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847D2E" w14:paraId="09148817" w14:textId="77777777" w:rsidTr="0080079E">
        <w:trPr>
          <w:cantSplit/>
        </w:trPr>
        <w:tc>
          <w:tcPr>
            <w:tcW w:w="1418" w:type="dxa"/>
            <w:vAlign w:val="center"/>
          </w:tcPr>
          <w:p w14:paraId="4F2C70B5" w14:textId="77777777" w:rsidR="0080079E" w:rsidRPr="00847D2E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847D2E">
              <w:drawing>
                <wp:inline distT="0" distB="0" distL="0" distR="0" wp14:anchorId="15D7A44F" wp14:editId="0CC72C4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6ECA0D3" w14:textId="77777777" w:rsidR="0080079E" w:rsidRPr="00847D2E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47D2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847D2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47D2E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EE2AD05" w14:textId="77777777" w:rsidR="0080079E" w:rsidRPr="00847D2E" w:rsidRDefault="0080079E" w:rsidP="0080079E">
            <w:pPr>
              <w:spacing w:before="0" w:line="240" w:lineRule="atLeast"/>
            </w:pPr>
            <w:r w:rsidRPr="00847D2E">
              <w:drawing>
                <wp:inline distT="0" distB="0" distL="0" distR="0" wp14:anchorId="4FF9DDB5" wp14:editId="3FBB3AA7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47D2E" w14:paraId="7B26BCC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3B583CA" w14:textId="77777777" w:rsidR="0090121B" w:rsidRPr="00847D2E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58DC762" w14:textId="77777777" w:rsidR="0090121B" w:rsidRPr="00847D2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47D2E" w14:paraId="66DD697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8246D98" w14:textId="77777777" w:rsidR="0090121B" w:rsidRPr="00847D2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88D114C" w14:textId="77777777" w:rsidR="0090121B" w:rsidRPr="00847D2E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47D2E" w14:paraId="49931536" w14:textId="77777777" w:rsidTr="0090121B">
        <w:trPr>
          <w:cantSplit/>
        </w:trPr>
        <w:tc>
          <w:tcPr>
            <w:tcW w:w="6911" w:type="dxa"/>
            <w:gridSpan w:val="2"/>
          </w:tcPr>
          <w:p w14:paraId="57243121" w14:textId="77777777" w:rsidR="0090121B" w:rsidRPr="00847D2E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847D2E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27DA797" w14:textId="77777777" w:rsidR="0090121B" w:rsidRPr="00847D2E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847D2E">
              <w:rPr>
                <w:rFonts w:ascii="Verdana" w:hAnsi="Verdana"/>
                <w:b/>
                <w:sz w:val="18"/>
                <w:szCs w:val="18"/>
              </w:rPr>
              <w:t>Addéndum 23 al</w:t>
            </w:r>
            <w:r w:rsidRPr="00847D2E">
              <w:rPr>
                <w:rFonts w:ascii="Verdana" w:hAnsi="Verdana"/>
                <w:b/>
                <w:sz w:val="18"/>
                <w:szCs w:val="18"/>
              </w:rPr>
              <w:br/>
              <w:t>Documento 85</w:t>
            </w:r>
            <w:r w:rsidR="0090121B" w:rsidRPr="00847D2E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847D2E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847D2E" w14:paraId="4FA11B78" w14:textId="77777777" w:rsidTr="0090121B">
        <w:trPr>
          <w:cantSplit/>
        </w:trPr>
        <w:tc>
          <w:tcPr>
            <w:tcW w:w="6911" w:type="dxa"/>
            <w:gridSpan w:val="2"/>
          </w:tcPr>
          <w:p w14:paraId="2AA18BCA" w14:textId="77777777" w:rsidR="000A5B9A" w:rsidRPr="00847D2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127C8FB0" w14:textId="77777777" w:rsidR="000A5B9A" w:rsidRPr="00847D2E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47D2E">
              <w:rPr>
                <w:rFonts w:ascii="Verdana" w:hAnsi="Verdana"/>
                <w:b/>
                <w:sz w:val="18"/>
                <w:szCs w:val="18"/>
              </w:rPr>
              <w:t>22 de octubre de 2023</w:t>
            </w:r>
          </w:p>
        </w:tc>
      </w:tr>
      <w:tr w:rsidR="000A5B9A" w:rsidRPr="00847D2E" w14:paraId="117734CD" w14:textId="77777777" w:rsidTr="0090121B">
        <w:trPr>
          <w:cantSplit/>
        </w:trPr>
        <w:tc>
          <w:tcPr>
            <w:tcW w:w="6911" w:type="dxa"/>
            <w:gridSpan w:val="2"/>
          </w:tcPr>
          <w:p w14:paraId="72A79DD6" w14:textId="77777777" w:rsidR="000A5B9A" w:rsidRPr="00847D2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35F1361" w14:textId="77777777" w:rsidR="000A5B9A" w:rsidRPr="00847D2E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47D2E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847D2E" w14:paraId="70FD01A0" w14:textId="77777777" w:rsidTr="006744FC">
        <w:trPr>
          <w:cantSplit/>
        </w:trPr>
        <w:tc>
          <w:tcPr>
            <w:tcW w:w="10031" w:type="dxa"/>
            <w:gridSpan w:val="4"/>
          </w:tcPr>
          <w:p w14:paraId="253157AB" w14:textId="77777777" w:rsidR="000A5B9A" w:rsidRPr="00847D2E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847D2E" w14:paraId="3396E83B" w14:textId="77777777" w:rsidTr="0050008E">
        <w:trPr>
          <w:cantSplit/>
        </w:trPr>
        <w:tc>
          <w:tcPr>
            <w:tcW w:w="10031" w:type="dxa"/>
            <w:gridSpan w:val="4"/>
          </w:tcPr>
          <w:p w14:paraId="35345468" w14:textId="77777777" w:rsidR="000A5B9A" w:rsidRPr="00847D2E" w:rsidRDefault="000A5B9A" w:rsidP="000A5B9A">
            <w:pPr>
              <w:pStyle w:val="Source"/>
            </w:pPr>
            <w:bookmarkStart w:id="1" w:name="dsource" w:colFirst="0" w:colLast="0"/>
            <w:r w:rsidRPr="00847D2E">
              <w:t>Propuestas Comunes de la Comunidad Regional de Comunicaciones</w:t>
            </w:r>
          </w:p>
        </w:tc>
      </w:tr>
      <w:tr w:rsidR="000A5B9A" w:rsidRPr="00847D2E" w14:paraId="2E085856" w14:textId="77777777" w:rsidTr="0050008E">
        <w:trPr>
          <w:cantSplit/>
        </w:trPr>
        <w:tc>
          <w:tcPr>
            <w:tcW w:w="10031" w:type="dxa"/>
            <w:gridSpan w:val="4"/>
          </w:tcPr>
          <w:p w14:paraId="3F580017" w14:textId="671AFF37" w:rsidR="000A5B9A" w:rsidRPr="00847D2E" w:rsidRDefault="00515E96" w:rsidP="000A5B9A">
            <w:pPr>
              <w:pStyle w:val="Title1"/>
            </w:pPr>
            <w:bookmarkStart w:id="2" w:name="dtitle1" w:colFirst="0" w:colLast="0"/>
            <w:bookmarkEnd w:id="1"/>
            <w:r w:rsidRPr="00847D2E">
              <w:t>Propuestas para los trabajos de la Conferencia</w:t>
            </w:r>
          </w:p>
        </w:tc>
      </w:tr>
      <w:tr w:rsidR="000A5B9A" w:rsidRPr="00847D2E" w14:paraId="36764C6C" w14:textId="77777777" w:rsidTr="0050008E">
        <w:trPr>
          <w:cantSplit/>
        </w:trPr>
        <w:tc>
          <w:tcPr>
            <w:tcW w:w="10031" w:type="dxa"/>
            <w:gridSpan w:val="4"/>
          </w:tcPr>
          <w:p w14:paraId="113196E3" w14:textId="77777777" w:rsidR="000A5B9A" w:rsidRPr="00847D2E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847D2E" w14:paraId="0CCAEB4D" w14:textId="77777777" w:rsidTr="0050008E">
        <w:trPr>
          <w:cantSplit/>
        </w:trPr>
        <w:tc>
          <w:tcPr>
            <w:tcW w:w="10031" w:type="dxa"/>
            <w:gridSpan w:val="4"/>
          </w:tcPr>
          <w:p w14:paraId="735E896C" w14:textId="77777777" w:rsidR="000A5B9A" w:rsidRPr="00847D2E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847D2E">
              <w:t>Punto 8 del orden del día</w:t>
            </w:r>
          </w:p>
        </w:tc>
      </w:tr>
    </w:tbl>
    <w:bookmarkEnd w:id="4"/>
    <w:p w14:paraId="5FB18E36" w14:textId="77777777" w:rsidR="00CA2965" w:rsidRPr="00847D2E" w:rsidRDefault="001C4F92" w:rsidP="00A468DA">
      <w:pPr>
        <w:pStyle w:val="Normalaftertitle"/>
      </w:pPr>
      <w:r w:rsidRPr="00847D2E">
        <w:t>8</w:t>
      </w:r>
      <w:r w:rsidRPr="00847D2E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847D2E">
        <w:rPr>
          <w:b/>
          <w:bCs/>
        </w:rPr>
        <w:t>26 (Rev.CMR-19)</w:t>
      </w:r>
      <w:r w:rsidRPr="00847D2E">
        <w:t>, y adoptar las medidas oportunas al respecto;</w:t>
      </w:r>
    </w:p>
    <w:p w14:paraId="019A7078" w14:textId="2F5061D2" w:rsidR="00515E96" w:rsidRPr="00847D2E" w:rsidRDefault="00515E96" w:rsidP="00A468DA">
      <w:pPr>
        <w:pStyle w:val="Headingb"/>
      </w:pPr>
      <w:r w:rsidRPr="00847D2E">
        <w:t>Introducción</w:t>
      </w:r>
    </w:p>
    <w:p w14:paraId="3CCD3577" w14:textId="239F84A6" w:rsidR="00515E96" w:rsidRPr="00847D2E" w:rsidRDefault="00515E96" w:rsidP="00515E96">
      <w:r w:rsidRPr="00847D2E">
        <w:t xml:space="preserve">El objetivo de este punto del orden del día es la armonización mundial de la utilización del espectro de radiofrecuencias mediante la supresión de los nombres de países </w:t>
      </w:r>
      <w:r w:rsidR="00A22F3B" w:rsidRPr="00847D2E">
        <w:t>de</w:t>
      </w:r>
      <w:r w:rsidRPr="00847D2E">
        <w:t xml:space="preserve"> las notas. Sin embargo, la redacción del punto 8 del orden del día contiene una referencia a la Resolución </w:t>
      </w:r>
      <w:r w:rsidRPr="00847D2E">
        <w:rPr>
          <w:b/>
          <w:bCs/>
        </w:rPr>
        <w:t>26 (Rev.CMR</w:t>
      </w:r>
      <w:r w:rsidRPr="00847D2E">
        <w:t>-</w:t>
      </w:r>
      <w:r w:rsidRPr="00847D2E">
        <w:rPr>
          <w:b/>
          <w:bCs/>
        </w:rPr>
        <w:t>19)</w:t>
      </w:r>
      <w:r w:rsidRPr="00847D2E">
        <w:t>, que abarca otros aspectos además de la supresión de los países de las notas, en particular posibles medidas como la adición de nuevas notas y la modificación de las existentes. En anteriores CMR se han examinado en el marco de este punto del orden del día propuestas</w:t>
      </w:r>
      <w:r w:rsidR="00D93331" w:rsidRPr="00847D2E">
        <w:t xml:space="preserve"> pertinentes</w:t>
      </w:r>
      <w:r w:rsidRPr="00847D2E">
        <w:t xml:space="preserve"> de las administraciones para añadir o modificar notas que no </w:t>
      </w:r>
      <w:r w:rsidR="00D93331" w:rsidRPr="00847D2E">
        <w:t>están sujetas</w:t>
      </w:r>
      <w:r w:rsidRPr="00847D2E">
        <w:t xml:space="preserve"> a lo dispuesto en la Resolución</w:t>
      </w:r>
      <w:r w:rsidR="00A468DA" w:rsidRPr="00847D2E">
        <w:t> </w:t>
      </w:r>
      <w:r w:rsidRPr="00847D2E">
        <w:rPr>
          <w:b/>
          <w:bCs/>
        </w:rPr>
        <w:t>26 (Rev.CMR-</w:t>
      </w:r>
      <w:r w:rsidR="00D93331" w:rsidRPr="00847D2E">
        <w:rPr>
          <w:b/>
          <w:bCs/>
        </w:rPr>
        <w:t>19</w:t>
      </w:r>
      <w:r w:rsidRPr="00847D2E">
        <w:rPr>
          <w:b/>
          <w:bCs/>
        </w:rPr>
        <w:t>)</w:t>
      </w:r>
      <w:r w:rsidRPr="00847D2E">
        <w:t xml:space="preserve">. Cabe destacar que, en anteriores CMR, algunas administraciones propusieron en sala </w:t>
      </w:r>
      <w:r w:rsidR="00D93331" w:rsidRPr="00847D2E">
        <w:t xml:space="preserve">añadir </w:t>
      </w:r>
      <w:r w:rsidRPr="00847D2E">
        <w:t xml:space="preserve">el nombre de su país sin haber presentado propuestas en forma de documento. Convendría evitar estas situaciones y que sea obligatorio presentar las propuestas en documentos, en estricto cumplimiento de la Resolución </w:t>
      </w:r>
      <w:r w:rsidRPr="00847D2E">
        <w:rPr>
          <w:b/>
          <w:bCs/>
        </w:rPr>
        <w:t>26 (Rev.CMR-</w:t>
      </w:r>
      <w:r w:rsidR="00D93331" w:rsidRPr="00847D2E">
        <w:rPr>
          <w:b/>
          <w:bCs/>
        </w:rPr>
        <w:t>19</w:t>
      </w:r>
      <w:r w:rsidRPr="00847D2E">
        <w:rPr>
          <w:b/>
          <w:bCs/>
        </w:rPr>
        <w:t>)</w:t>
      </w:r>
      <w:r w:rsidRPr="00847D2E">
        <w:t xml:space="preserve">. </w:t>
      </w:r>
      <w:r w:rsidR="00D93331" w:rsidRPr="00847D2E">
        <w:t>También cabe destacar</w:t>
      </w:r>
      <w:r w:rsidRPr="00847D2E">
        <w:t xml:space="preserve"> que, para incluir nombres de países en notas </w:t>
      </w:r>
      <w:r w:rsidR="00D93331" w:rsidRPr="00847D2E">
        <w:t>independientes</w:t>
      </w:r>
      <w:r w:rsidRPr="00847D2E">
        <w:t xml:space="preserve">, </w:t>
      </w:r>
      <w:r w:rsidR="00D93331" w:rsidRPr="00847D2E">
        <w:t>la</w:t>
      </w:r>
      <w:r w:rsidRPr="00847D2E">
        <w:t xml:space="preserve"> propuestas </w:t>
      </w:r>
      <w:r w:rsidR="00D93331" w:rsidRPr="00847D2E">
        <w:t>deberían presentarse</w:t>
      </w:r>
      <w:r w:rsidRPr="00847D2E">
        <w:t xml:space="preserve"> a la CMR </w:t>
      </w:r>
      <w:r w:rsidR="00A22F3B" w:rsidRPr="00847D2E">
        <w:t>con tiempo suficiente</w:t>
      </w:r>
      <w:r w:rsidRPr="00847D2E">
        <w:t xml:space="preserve"> y </w:t>
      </w:r>
      <w:r w:rsidR="00D93331" w:rsidRPr="00847D2E">
        <w:t>acordarse</w:t>
      </w:r>
      <w:r w:rsidRPr="00847D2E">
        <w:t xml:space="preserve"> con las administraciones afectadas. El examen y </w:t>
      </w:r>
      <w:r w:rsidR="00D93331" w:rsidRPr="00847D2E">
        <w:t>la aprobación</w:t>
      </w:r>
      <w:r w:rsidRPr="00847D2E">
        <w:t xml:space="preserve"> de las propuestas para </w:t>
      </w:r>
      <w:r w:rsidR="00D93331" w:rsidRPr="00847D2E">
        <w:t xml:space="preserve">añadir </w:t>
      </w:r>
      <w:r w:rsidRPr="00847D2E">
        <w:t xml:space="preserve">nombres de países en </w:t>
      </w:r>
      <w:r w:rsidR="00A22F3B" w:rsidRPr="00847D2E">
        <w:t xml:space="preserve">las </w:t>
      </w:r>
      <w:r w:rsidRPr="00847D2E">
        <w:t xml:space="preserve">notas no debería crear dificultades adicionales para </w:t>
      </w:r>
      <w:r w:rsidR="00761DE1" w:rsidRPr="00847D2E">
        <w:t>las delegaciones</w:t>
      </w:r>
      <w:r w:rsidRPr="00847D2E">
        <w:t xml:space="preserve"> que trabajan en la CMR.</w:t>
      </w:r>
    </w:p>
    <w:p w14:paraId="4CB0A5BA" w14:textId="77777777" w:rsidR="00515E96" w:rsidRPr="00847D2E" w:rsidRDefault="00515E96" w:rsidP="00515E96">
      <w:r w:rsidRPr="00847D2E">
        <w:t xml:space="preserve">Las Administraciones de la CRC apoyan los esfuerzos del UIT-R para lograr la armonización mundial de la utilización del espectro de radiofrecuencias a través de la supresión de notas referentes a países o de nombres de países de las notas al Artículo </w:t>
      </w:r>
      <w:r w:rsidRPr="00847D2E">
        <w:rPr>
          <w:b/>
          <w:bCs/>
        </w:rPr>
        <w:t>5</w:t>
      </w:r>
      <w:r w:rsidRPr="00847D2E">
        <w:t xml:space="preserve"> del RR.</w:t>
      </w:r>
    </w:p>
    <w:p w14:paraId="475ABB4E" w14:textId="1F5A2C4A" w:rsidR="00761DE1" w:rsidRPr="00847D2E" w:rsidRDefault="00761DE1" w:rsidP="00761DE1">
      <w:r w:rsidRPr="00847D2E">
        <w:t>Las Administraciones de</w:t>
      </w:r>
      <w:r w:rsidR="00A22F3B" w:rsidRPr="00847D2E">
        <w:t xml:space="preserve"> </w:t>
      </w:r>
      <w:r w:rsidRPr="00847D2E">
        <w:t>l</w:t>
      </w:r>
      <w:r w:rsidR="00A22F3B" w:rsidRPr="00847D2E">
        <w:t>a</w:t>
      </w:r>
      <w:r w:rsidRPr="00847D2E">
        <w:t xml:space="preserve"> CRC consideran que el objeto de este punto del orden del día no es la inclusión de nombres de países en notas ni la adición de nuevas notas al Artículo </w:t>
      </w:r>
      <w:r w:rsidRPr="00847D2E">
        <w:rPr>
          <w:b/>
          <w:bCs/>
        </w:rPr>
        <w:t>5</w:t>
      </w:r>
      <w:r w:rsidRPr="00847D2E">
        <w:t xml:space="preserve"> del RR.</w:t>
      </w:r>
    </w:p>
    <w:p w14:paraId="7ED07D11" w14:textId="4B87B22E" w:rsidR="00761DE1" w:rsidRPr="00847D2E" w:rsidRDefault="00761DE1" w:rsidP="00A468DA">
      <w:pPr>
        <w:keepNext/>
        <w:keepLines/>
      </w:pPr>
      <w:r w:rsidRPr="00847D2E">
        <w:lastRenderedPageBreak/>
        <w:t xml:space="preserve">Cualquier cambio realizado en las notas al Artículo </w:t>
      </w:r>
      <w:r w:rsidRPr="00847D2E">
        <w:rPr>
          <w:b/>
          <w:bCs/>
        </w:rPr>
        <w:t>5</w:t>
      </w:r>
      <w:r w:rsidRPr="00847D2E">
        <w:t xml:space="preserve"> del RR en virtud de este punto del orden del día requiere el examen de sus posibles consecuencias y,</w:t>
      </w:r>
      <w:r w:rsidR="00A22F3B" w:rsidRPr="00847D2E">
        <w:t xml:space="preserve"> por consiguiente</w:t>
      </w:r>
      <w:r w:rsidRPr="00847D2E">
        <w:t>, el consentimiento de las administraciones afectadas.</w:t>
      </w:r>
    </w:p>
    <w:p w14:paraId="2FD2A8C3" w14:textId="4A785A42" w:rsidR="00515E96" w:rsidRPr="00847D2E" w:rsidRDefault="00761DE1" w:rsidP="00761DE1">
      <w:r w:rsidRPr="00847D2E">
        <w:t xml:space="preserve">Las Administraciones de la CRC consideran que la Resolución </w:t>
      </w:r>
      <w:r w:rsidRPr="00847D2E">
        <w:rPr>
          <w:b/>
          <w:bCs/>
        </w:rPr>
        <w:t>26 (Rev.CMR-19)</w:t>
      </w:r>
      <w:r w:rsidRPr="00847D2E">
        <w:t xml:space="preserve"> </w:t>
      </w:r>
      <w:r w:rsidR="00A22F3B" w:rsidRPr="00847D2E">
        <w:t>aún es</w:t>
      </w:r>
      <w:r w:rsidRPr="00847D2E">
        <w:t xml:space="preserve"> pertinente y no debe revisarse. A continuación se presenta una propuesta a tal efecto.</w:t>
      </w:r>
    </w:p>
    <w:p w14:paraId="3953B2F1" w14:textId="77777777" w:rsidR="008750A8" w:rsidRPr="00847D2E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47D2E">
        <w:br w:type="page"/>
      </w:r>
    </w:p>
    <w:p w14:paraId="5B049B52" w14:textId="77777777" w:rsidR="00D34A0B" w:rsidRPr="00847D2E" w:rsidRDefault="001C4F92">
      <w:pPr>
        <w:pStyle w:val="Proposal"/>
      </w:pPr>
      <w:r w:rsidRPr="00847D2E">
        <w:rPr>
          <w:u w:val="single"/>
        </w:rPr>
        <w:lastRenderedPageBreak/>
        <w:t>NOC</w:t>
      </w:r>
      <w:r w:rsidRPr="00847D2E">
        <w:tab/>
        <w:t>RCC/85A23/1</w:t>
      </w:r>
    </w:p>
    <w:p w14:paraId="5AC77579" w14:textId="77777777" w:rsidR="00265C64" w:rsidRPr="00847D2E" w:rsidRDefault="001C4F92" w:rsidP="00983DEC">
      <w:pPr>
        <w:pStyle w:val="ResNo"/>
      </w:pPr>
      <w:bookmarkStart w:id="5" w:name="_Toc36190161"/>
      <w:bookmarkStart w:id="6" w:name="_Toc39734783"/>
      <w:r w:rsidRPr="00847D2E">
        <w:rPr>
          <w:caps w:val="0"/>
        </w:rPr>
        <w:t xml:space="preserve">RESOLUCIÓN </w:t>
      </w:r>
      <w:r w:rsidRPr="00847D2E">
        <w:rPr>
          <w:rStyle w:val="href"/>
          <w:caps w:val="0"/>
        </w:rPr>
        <w:t>26</w:t>
      </w:r>
      <w:r w:rsidRPr="00847D2E">
        <w:rPr>
          <w:caps w:val="0"/>
        </w:rPr>
        <w:t xml:space="preserve"> (REV.CMR-19)</w:t>
      </w:r>
      <w:bookmarkEnd w:id="5"/>
      <w:bookmarkEnd w:id="6"/>
    </w:p>
    <w:p w14:paraId="30F2973F" w14:textId="77777777" w:rsidR="00265C64" w:rsidRPr="00847D2E" w:rsidRDefault="001C4F92" w:rsidP="00265C64">
      <w:pPr>
        <w:pStyle w:val="Restitle"/>
      </w:pPr>
      <w:bookmarkStart w:id="7" w:name="_Toc328141232"/>
      <w:bookmarkStart w:id="8" w:name="_Toc36190162"/>
      <w:bookmarkStart w:id="9" w:name="_Toc39734784"/>
      <w:r w:rsidRPr="00847D2E">
        <w:t>Notas del Cuadro de atribución de bandas de frecuencias</w:t>
      </w:r>
      <w:r w:rsidRPr="00847D2E">
        <w:br/>
        <w:t>en el Artículo 5 del Reglamento de Radiocomunicaciones</w:t>
      </w:r>
      <w:bookmarkEnd w:id="7"/>
      <w:bookmarkEnd w:id="8"/>
      <w:bookmarkEnd w:id="9"/>
    </w:p>
    <w:p w14:paraId="4A7297BD" w14:textId="4601BE08" w:rsidR="00DF37A2" w:rsidRPr="00847D2E" w:rsidRDefault="001C4F92" w:rsidP="00167B6E">
      <w:pPr>
        <w:pStyle w:val="Reasons"/>
        <w:rPr>
          <w:spacing w:val="-4"/>
        </w:rPr>
      </w:pPr>
      <w:r w:rsidRPr="00847D2E">
        <w:rPr>
          <w:b/>
          <w:spacing w:val="-4"/>
        </w:rPr>
        <w:t>Motivos:</w:t>
      </w:r>
      <w:r w:rsidRPr="00847D2E">
        <w:rPr>
          <w:spacing w:val="-4"/>
        </w:rPr>
        <w:tab/>
      </w:r>
      <w:r w:rsidR="00761DE1" w:rsidRPr="00847D2E">
        <w:rPr>
          <w:spacing w:val="-4"/>
        </w:rPr>
        <w:t xml:space="preserve">La adición, modificación y supresión de notas en el Cuadro de atribución de bandas de frecuencias de conformidad con la Resolución </w:t>
      </w:r>
      <w:r w:rsidR="00761DE1" w:rsidRPr="00847D2E">
        <w:rPr>
          <w:b/>
          <w:bCs/>
          <w:spacing w:val="-4"/>
        </w:rPr>
        <w:t>26 (Rev.CMR-19)</w:t>
      </w:r>
      <w:r w:rsidR="00761DE1" w:rsidRPr="00847D2E">
        <w:rPr>
          <w:spacing w:val="-4"/>
        </w:rPr>
        <w:t xml:space="preserve"> no plantea dificultades en la práctica.</w:t>
      </w:r>
    </w:p>
    <w:p w14:paraId="4BE41511" w14:textId="77777777" w:rsidR="00167B6E" w:rsidRPr="00847D2E" w:rsidRDefault="00167B6E" w:rsidP="00167B6E"/>
    <w:p w14:paraId="2933FA77" w14:textId="77777777" w:rsidR="00DF37A2" w:rsidRPr="00847D2E" w:rsidRDefault="00DF37A2" w:rsidP="00DF37A2">
      <w:pPr>
        <w:jc w:val="center"/>
      </w:pPr>
      <w:r w:rsidRPr="00847D2E">
        <w:t>______________</w:t>
      </w:r>
    </w:p>
    <w:sectPr w:rsidR="00DF37A2" w:rsidRPr="00847D2E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87A4" w14:textId="77777777" w:rsidR="00666B37" w:rsidRDefault="00666B37">
      <w:r>
        <w:separator/>
      </w:r>
    </w:p>
  </w:endnote>
  <w:endnote w:type="continuationSeparator" w:id="0">
    <w:p w14:paraId="6D5BF206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756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46EE72" w14:textId="216EC449" w:rsidR="0077084A" w:rsidRPr="00A468DA" w:rsidRDefault="0077084A">
    <w:pPr>
      <w:ind w:right="360"/>
    </w:pPr>
    <w:r>
      <w:fldChar w:fldCharType="begin"/>
    </w:r>
    <w:r w:rsidRPr="00A468DA">
      <w:instrText xml:space="preserve"> FILENAME \p  \* MERGEFORMAT </w:instrText>
    </w:r>
    <w:r>
      <w:fldChar w:fldCharType="separate"/>
    </w:r>
    <w:r w:rsidR="00167B6E">
      <w:rPr>
        <w:noProof/>
      </w:rPr>
      <w:t>P:\ESP\ITU-R\CONF-R\CMR23\000\085ADD23S.docx</w:t>
    </w:r>
    <w:r>
      <w:fldChar w:fldCharType="end"/>
    </w:r>
    <w:r w:rsidRPr="00A468DA">
      <w:tab/>
    </w:r>
    <w:r>
      <w:fldChar w:fldCharType="begin"/>
    </w:r>
    <w:r>
      <w:instrText xml:space="preserve"> SAVEDATE \@ DD.MM.YY </w:instrText>
    </w:r>
    <w:r>
      <w:fldChar w:fldCharType="separate"/>
    </w:r>
    <w:r w:rsidR="00167B6E">
      <w:rPr>
        <w:noProof/>
      </w:rPr>
      <w:t>08.11.23</w:t>
    </w:r>
    <w:r>
      <w:fldChar w:fldCharType="end"/>
    </w:r>
    <w:r w:rsidRPr="00A468DA">
      <w:tab/>
    </w:r>
    <w:r>
      <w:fldChar w:fldCharType="begin"/>
    </w:r>
    <w:r>
      <w:instrText xml:space="preserve"> PRINTDATE \@ DD.MM.YY </w:instrText>
    </w:r>
    <w:r>
      <w:fldChar w:fldCharType="separate"/>
    </w:r>
    <w:r w:rsidR="00167B6E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DDE3" w14:textId="1128BBF7" w:rsidR="0077084A" w:rsidRDefault="001C4F92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67B6E">
      <w:rPr>
        <w:lang w:val="en-US"/>
      </w:rPr>
      <w:t>P:\ESP\ITU-R\CONF-R\CMR23\000\085ADD23S.docx</w:t>
    </w:r>
    <w:r>
      <w:fldChar w:fldCharType="end"/>
    </w:r>
    <w:r w:rsidRPr="001C4F92">
      <w:rPr>
        <w:lang w:val="en-US"/>
      </w:rPr>
      <w:t xml:space="preserve"> </w:t>
    </w:r>
    <w:r>
      <w:rPr>
        <w:lang w:val="en-US"/>
      </w:rPr>
      <w:t>(529910)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53CF" w14:textId="563B6AD8" w:rsidR="0077084A" w:rsidRPr="001C4F92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67B6E">
      <w:rPr>
        <w:lang w:val="en-US"/>
      </w:rPr>
      <w:t>P:\ESP\ITU-R\CONF-R\CMR23\000\085ADD23S.docx</w:t>
    </w:r>
    <w:r>
      <w:fldChar w:fldCharType="end"/>
    </w:r>
    <w:r w:rsidR="001C4F92" w:rsidRPr="001C4F92">
      <w:rPr>
        <w:lang w:val="en-US"/>
      </w:rPr>
      <w:t xml:space="preserve"> </w:t>
    </w:r>
    <w:r w:rsidR="001C4F92">
      <w:rPr>
        <w:lang w:val="en-US"/>
      </w:rPr>
      <w:t>(529910)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E09A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068B1314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6E9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A7E87A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85(Add.23)-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03426280">
    <w:abstractNumId w:val="8"/>
  </w:num>
  <w:num w:numId="2" w16cid:durableId="46959169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127894095">
    <w:abstractNumId w:val="9"/>
  </w:num>
  <w:num w:numId="4" w16cid:durableId="821429691">
    <w:abstractNumId w:val="7"/>
  </w:num>
  <w:num w:numId="5" w16cid:durableId="734353983">
    <w:abstractNumId w:val="6"/>
  </w:num>
  <w:num w:numId="6" w16cid:durableId="462382938">
    <w:abstractNumId w:val="5"/>
  </w:num>
  <w:num w:numId="7" w16cid:durableId="981732599">
    <w:abstractNumId w:val="4"/>
  </w:num>
  <w:num w:numId="8" w16cid:durableId="2138135717">
    <w:abstractNumId w:val="3"/>
  </w:num>
  <w:num w:numId="9" w16cid:durableId="765230290">
    <w:abstractNumId w:val="2"/>
  </w:num>
  <w:num w:numId="10" w16cid:durableId="1162431437">
    <w:abstractNumId w:val="1"/>
  </w:num>
  <w:num w:numId="11" w16cid:durableId="8677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1CB0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67B6E"/>
    <w:rsid w:val="00191A97"/>
    <w:rsid w:val="0019729C"/>
    <w:rsid w:val="001A083F"/>
    <w:rsid w:val="001C41FA"/>
    <w:rsid w:val="001C4F92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15E96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356B0"/>
    <w:rsid w:val="007424E8"/>
    <w:rsid w:val="0074579D"/>
    <w:rsid w:val="00761DE1"/>
    <w:rsid w:val="00765578"/>
    <w:rsid w:val="00766333"/>
    <w:rsid w:val="0077084A"/>
    <w:rsid w:val="007952C7"/>
    <w:rsid w:val="007C0B95"/>
    <w:rsid w:val="007C2317"/>
    <w:rsid w:val="007D330A"/>
    <w:rsid w:val="0080079E"/>
    <w:rsid w:val="00847D2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22F3B"/>
    <w:rsid w:val="00A4450C"/>
    <w:rsid w:val="00A468DA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05BC2"/>
    <w:rsid w:val="00D21379"/>
    <w:rsid w:val="00D34A0B"/>
    <w:rsid w:val="00D72A5D"/>
    <w:rsid w:val="00D93331"/>
    <w:rsid w:val="00DA71A3"/>
    <w:rsid w:val="00DC1922"/>
    <w:rsid w:val="00DC629B"/>
    <w:rsid w:val="00DE1C31"/>
    <w:rsid w:val="00DF37A2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E6F384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15E9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R23-WRC23-C-0085!A23!MSW-S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8F408-931B-4DAF-B7A0-FE8F7E8966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D5C85-56F0-4046-8DB0-BC115C58F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13A73A-7682-4340-90C7-012F69DE09C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9863FC0-CC36-4744-BEF0-295E34B96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R23-WRC23-C-0085!A23!MSW-S</vt:lpstr>
    </vt:vector>
  </TitlesOfParts>
  <Manager>Secretaría General - Pool</Manager>
  <Company>Unión Internacional de Telecomunicaciones (UIT)</Company>
  <LinksUpToDate>false</LinksUpToDate>
  <CharactersWithSpaces>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R23-WRC23-C-0085!A23!MSW-S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5</cp:revision>
  <cp:lastPrinted>2003-02-19T20:20:00Z</cp:lastPrinted>
  <dcterms:created xsi:type="dcterms:W3CDTF">2023-11-08T15:25:00Z</dcterms:created>
  <dcterms:modified xsi:type="dcterms:W3CDTF">2023-11-08T15:54:00Z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