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6C749E21" w14:textId="77777777" w:rsidTr="00C1305F">
        <w:trPr>
          <w:cantSplit/>
        </w:trPr>
        <w:tc>
          <w:tcPr>
            <w:tcW w:w="1418" w:type="dxa"/>
            <w:vAlign w:val="center"/>
          </w:tcPr>
          <w:p w14:paraId="0CC1D649" w14:textId="77777777" w:rsidR="00C1305F" w:rsidRPr="008C7123" w:rsidRDefault="00C1305F" w:rsidP="00C1305F">
            <w:pPr>
              <w:spacing w:before="0" w:line="240" w:lineRule="atLeast"/>
              <w:rPr>
                <w:rFonts w:ascii="Verdana" w:hAnsi="Verdana"/>
                <w:b/>
                <w:bCs/>
                <w:sz w:val="20"/>
                <w:lang w:val="fr-CH"/>
              </w:rPr>
            </w:pPr>
            <w:r>
              <w:rPr>
                <w:noProof/>
                <w:lang w:val="fr-CH"/>
              </w:rPr>
              <w:drawing>
                <wp:inline distT="0" distB="0" distL="0" distR="0" wp14:anchorId="327727AA" wp14:editId="203967D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34671BC" w14:textId="1BB28692"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634A11" w:rsidRPr="00634A11">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4085EA27" w14:textId="77777777" w:rsidR="00C1305F" w:rsidRPr="00E60CB2" w:rsidRDefault="00C1305F" w:rsidP="00C1305F">
            <w:pPr>
              <w:spacing w:before="0" w:line="240" w:lineRule="atLeast"/>
              <w:rPr>
                <w:lang w:val="fr-CH"/>
              </w:rPr>
            </w:pPr>
            <w:r>
              <w:rPr>
                <w:noProof/>
              </w:rPr>
              <w:drawing>
                <wp:inline distT="0" distB="0" distL="0" distR="0" wp14:anchorId="5550AC91" wp14:editId="12F9293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1224B0BD" w14:textId="77777777" w:rsidTr="0050008E">
        <w:trPr>
          <w:cantSplit/>
        </w:trPr>
        <w:tc>
          <w:tcPr>
            <w:tcW w:w="6911" w:type="dxa"/>
            <w:gridSpan w:val="2"/>
            <w:tcBorders>
              <w:bottom w:val="single" w:sz="12" w:space="0" w:color="auto"/>
            </w:tcBorders>
          </w:tcPr>
          <w:p w14:paraId="50E33F2A" w14:textId="77777777" w:rsidR="00BB1D82" w:rsidRPr="00E60CB2" w:rsidRDefault="00BB1D82" w:rsidP="00BB1D82">
            <w:pPr>
              <w:spacing w:before="0" w:after="48" w:line="240" w:lineRule="atLeast"/>
              <w:rPr>
                <w:b/>
                <w:smallCaps/>
                <w:szCs w:val="24"/>
                <w:lang w:val="fr-CH"/>
              </w:rPr>
            </w:pPr>
            <w:bookmarkStart w:id="0" w:name="dhead"/>
          </w:p>
        </w:tc>
        <w:tc>
          <w:tcPr>
            <w:tcW w:w="3120" w:type="dxa"/>
            <w:gridSpan w:val="2"/>
            <w:tcBorders>
              <w:bottom w:val="single" w:sz="12" w:space="0" w:color="auto"/>
            </w:tcBorders>
          </w:tcPr>
          <w:p w14:paraId="38FB0CBE" w14:textId="77777777" w:rsidR="00BB1D82" w:rsidRPr="00E60CB2" w:rsidRDefault="00BB1D82" w:rsidP="00BB1D82">
            <w:pPr>
              <w:spacing w:before="0" w:line="240" w:lineRule="atLeast"/>
              <w:rPr>
                <w:rFonts w:ascii="Verdana" w:hAnsi="Verdana"/>
                <w:szCs w:val="24"/>
                <w:lang w:val="fr-CH"/>
              </w:rPr>
            </w:pPr>
          </w:p>
        </w:tc>
      </w:tr>
      <w:tr w:rsidR="00BB1D82" w:rsidRPr="00E60CB2" w14:paraId="281C22FD" w14:textId="77777777" w:rsidTr="00BB1D82">
        <w:trPr>
          <w:cantSplit/>
        </w:trPr>
        <w:tc>
          <w:tcPr>
            <w:tcW w:w="6911" w:type="dxa"/>
            <w:gridSpan w:val="2"/>
            <w:tcBorders>
              <w:top w:val="single" w:sz="12" w:space="0" w:color="auto"/>
            </w:tcBorders>
          </w:tcPr>
          <w:p w14:paraId="249D02BA"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367E58A9" w14:textId="77777777" w:rsidR="00BB1D82" w:rsidRPr="00E60CB2" w:rsidRDefault="00BB1D82" w:rsidP="00BB1D82">
            <w:pPr>
              <w:spacing w:before="0" w:line="240" w:lineRule="atLeast"/>
              <w:rPr>
                <w:rFonts w:ascii="Verdana" w:hAnsi="Verdana"/>
                <w:sz w:val="20"/>
                <w:lang w:val="fr-CH"/>
              </w:rPr>
            </w:pPr>
          </w:p>
        </w:tc>
      </w:tr>
      <w:tr w:rsidR="00BB1D82" w:rsidRPr="00E60CB2" w14:paraId="39536FB1" w14:textId="77777777" w:rsidTr="00BB1D82">
        <w:trPr>
          <w:cantSplit/>
        </w:trPr>
        <w:tc>
          <w:tcPr>
            <w:tcW w:w="6911" w:type="dxa"/>
            <w:gridSpan w:val="2"/>
          </w:tcPr>
          <w:p w14:paraId="5A770459"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22EEAC44" w14:textId="77777777" w:rsidR="00BB1D82" w:rsidRPr="00E60CB2" w:rsidRDefault="006D4724" w:rsidP="00BA5BD0">
            <w:pPr>
              <w:spacing w:before="0"/>
              <w:rPr>
                <w:rFonts w:ascii="Verdana" w:hAnsi="Verdana"/>
                <w:sz w:val="20"/>
                <w:lang w:val="fr-CH"/>
              </w:rPr>
            </w:pPr>
            <w:r>
              <w:rPr>
                <w:rFonts w:ascii="Verdana" w:hAnsi="Verdana"/>
                <w:b/>
                <w:sz w:val="20"/>
                <w:lang w:val="fr-CH"/>
              </w:rPr>
              <w:t>Addendum 6 au</w:t>
            </w:r>
            <w:r>
              <w:rPr>
                <w:rFonts w:ascii="Verdana" w:hAnsi="Verdana"/>
                <w:b/>
                <w:sz w:val="20"/>
                <w:lang w:val="fr-CH"/>
              </w:rPr>
              <w:br/>
              <w:t>Document 85(Add.22)</w:t>
            </w:r>
            <w:r w:rsidR="00BB1D82" w:rsidRPr="00E60CB2">
              <w:rPr>
                <w:rFonts w:ascii="Verdana" w:hAnsi="Verdana"/>
                <w:b/>
                <w:sz w:val="20"/>
                <w:lang w:val="fr-CH"/>
              </w:rPr>
              <w:t>-</w:t>
            </w:r>
            <w:r w:rsidRPr="00E60CB2">
              <w:rPr>
                <w:rFonts w:ascii="Verdana" w:hAnsi="Verdana"/>
                <w:b/>
                <w:sz w:val="20"/>
                <w:lang w:val="fr-CH"/>
              </w:rPr>
              <w:t>F</w:t>
            </w:r>
          </w:p>
        </w:tc>
      </w:tr>
      <w:bookmarkEnd w:id="0"/>
      <w:tr w:rsidR="00690C7B" w:rsidRPr="00E60CB2" w14:paraId="3090E679" w14:textId="77777777" w:rsidTr="00BB1D82">
        <w:trPr>
          <w:cantSplit/>
        </w:trPr>
        <w:tc>
          <w:tcPr>
            <w:tcW w:w="6911" w:type="dxa"/>
            <w:gridSpan w:val="2"/>
          </w:tcPr>
          <w:p w14:paraId="50F09B9D" w14:textId="77777777" w:rsidR="00690C7B" w:rsidRPr="00E60CB2" w:rsidRDefault="00690C7B" w:rsidP="00BA5BD0">
            <w:pPr>
              <w:spacing w:before="0"/>
              <w:rPr>
                <w:rFonts w:ascii="Verdana" w:hAnsi="Verdana"/>
                <w:b/>
                <w:sz w:val="20"/>
                <w:lang w:val="fr-CH"/>
              </w:rPr>
            </w:pPr>
          </w:p>
        </w:tc>
        <w:tc>
          <w:tcPr>
            <w:tcW w:w="3120" w:type="dxa"/>
            <w:gridSpan w:val="2"/>
          </w:tcPr>
          <w:p w14:paraId="398EA65C"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22 octobre 2023</w:t>
            </w:r>
          </w:p>
        </w:tc>
      </w:tr>
      <w:tr w:rsidR="00690C7B" w:rsidRPr="00E60CB2" w14:paraId="28CA2CB6" w14:textId="77777777" w:rsidTr="00BB1D82">
        <w:trPr>
          <w:cantSplit/>
        </w:trPr>
        <w:tc>
          <w:tcPr>
            <w:tcW w:w="6911" w:type="dxa"/>
            <w:gridSpan w:val="2"/>
          </w:tcPr>
          <w:p w14:paraId="41E67BA3"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4221E139"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russe</w:t>
            </w:r>
          </w:p>
        </w:tc>
      </w:tr>
      <w:tr w:rsidR="00690C7B" w:rsidRPr="00E60CB2" w14:paraId="09BCE182" w14:textId="77777777" w:rsidTr="00C11970">
        <w:trPr>
          <w:cantSplit/>
        </w:trPr>
        <w:tc>
          <w:tcPr>
            <w:tcW w:w="10031" w:type="dxa"/>
            <w:gridSpan w:val="4"/>
          </w:tcPr>
          <w:p w14:paraId="6F221642" w14:textId="77777777" w:rsidR="00690C7B" w:rsidRPr="00E60CB2" w:rsidRDefault="00690C7B" w:rsidP="00BA5BD0">
            <w:pPr>
              <w:spacing w:before="0"/>
              <w:rPr>
                <w:rFonts w:ascii="Verdana" w:hAnsi="Verdana"/>
                <w:b/>
                <w:sz w:val="20"/>
                <w:lang w:val="fr-CH"/>
              </w:rPr>
            </w:pPr>
          </w:p>
        </w:tc>
      </w:tr>
      <w:tr w:rsidR="00690C7B" w:rsidRPr="00E60CB2" w14:paraId="33FC1FB8" w14:textId="77777777" w:rsidTr="0050008E">
        <w:trPr>
          <w:cantSplit/>
        </w:trPr>
        <w:tc>
          <w:tcPr>
            <w:tcW w:w="10031" w:type="dxa"/>
            <w:gridSpan w:val="4"/>
          </w:tcPr>
          <w:p w14:paraId="2E23F1B3" w14:textId="77777777" w:rsidR="00690C7B" w:rsidRPr="00E60CB2" w:rsidRDefault="00690C7B" w:rsidP="00690C7B">
            <w:pPr>
              <w:pStyle w:val="Source"/>
              <w:rPr>
                <w:lang w:val="fr-CH"/>
              </w:rPr>
            </w:pPr>
            <w:bookmarkStart w:id="1" w:name="dsource" w:colFirst="0" w:colLast="0"/>
            <w:r w:rsidRPr="00E60CB2">
              <w:rPr>
                <w:lang w:val="fr-CH"/>
              </w:rPr>
              <w:t>Propositions communes de la Communauté régionale des communications</w:t>
            </w:r>
          </w:p>
        </w:tc>
      </w:tr>
      <w:tr w:rsidR="00690C7B" w:rsidRPr="00E60CB2" w14:paraId="0A3A8657" w14:textId="77777777" w:rsidTr="0050008E">
        <w:trPr>
          <w:cantSplit/>
        </w:trPr>
        <w:tc>
          <w:tcPr>
            <w:tcW w:w="10031" w:type="dxa"/>
            <w:gridSpan w:val="4"/>
          </w:tcPr>
          <w:p w14:paraId="6A599874" w14:textId="12CB9D5C" w:rsidR="00690C7B" w:rsidRPr="00E60CB2" w:rsidRDefault="00634A11" w:rsidP="00690C7B">
            <w:pPr>
              <w:pStyle w:val="Title1"/>
              <w:rPr>
                <w:lang w:val="fr-CH"/>
              </w:rPr>
            </w:pPr>
            <w:bookmarkStart w:id="2" w:name="dtitle1" w:colFirst="0" w:colLast="0"/>
            <w:bookmarkEnd w:id="1"/>
            <w:r w:rsidRPr="00113237">
              <w:t>PROPOSITIONS POUR LES TRAVAUX DE LA CONFéRENCE</w:t>
            </w:r>
          </w:p>
        </w:tc>
      </w:tr>
      <w:tr w:rsidR="00690C7B" w:rsidRPr="00E60CB2" w14:paraId="7E024328" w14:textId="77777777" w:rsidTr="0050008E">
        <w:trPr>
          <w:cantSplit/>
        </w:trPr>
        <w:tc>
          <w:tcPr>
            <w:tcW w:w="10031" w:type="dxa"/>
            <w:gridSpan w:val="4"/>
          </w:tcPr>
          <w:p w14:paraId="0240762D" w14:textId="77777777" w:rsidR="00690C7B" w:rsidRPr="00E60CB2" w:rsidRDefault="00690C7B" w:rsidP="00690C7B">
            <w:pPr>
              <w:pStyle w:val="Title2"/>
              <w:rPr>
                <w:lang w:val="fr-CH"/>
              </w:rPr>
            </w:pPr>
            <w:bookmarkStart w:id="3" w:name="dtitle2" w:colFirst="0" w:colLast="0"/>
            <w:bookmarkEnd w:id="2"/>
          </w:p>
        </w:tc>
      </w:tr>
      <w:tr w:rsidR="00690C7B" w:rsidRPr="00E60CB2" w14:paraId="5B853005" w14:textId="77777777" w:rsidTr="0050008E">
        <w:trPr>
          <w:cantSplit/>
        </w:trPr>
        <w:tc>
          <w:tcPr>
            <w:tcW w:w="10031" w:type="dxa"/>
            <w:gridSpan w:val="4"/>
          </w:tcPr>
          <w:p w14:paraId="37D7592F" w14:textId="77777777" w:rsidR="00690C7B" w:rsidRPr="00E60CB2" w:rsidRDefault="00690C7B" w:rsidP="00690C7B">
            <w:pPr>
              <w:pStyle w:val="Agendaitem"/>
            </w:pPr>
            <w:bookmarkStart w:id="4" w:name="dtitle3" w:colFirst="0" w:colLast="0"/>
            <w:bookmarkEnd w:id="3"/>
            <w:r w:rsidRPr="00E60CB2">
              <w:t>Point 7(D3) de l'ordre du jour</w:t>
            </w:r>
          </w:p>
        </w:tc>
      </w:tr>
    </w:tbl>
    <w:bookmarkEnd w:id="4"/>
    <w:p w14:paraId="1F9028C1" w14:textId="77777777" w:rsidR="00400618" w:rsidRPr="00783A6F" w:rsidRDefault="00400618" w:rsidP="00783A6F">
      <w:r w:rsidRPr="00783A6F">
        <w:t>7</w:t>
      </w:r>
      <w:r w:rsidRPr="00783A6F">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83A6F">
        <w:rPr>
          <w:b/>
          <w:bCs/>
        </w:rPr>
        <w:t>86 (Rév.CMR-07)</w:t>
      </w:r>
      <w:r w:rsidRPr="00783A6F">
        <w:t>, afin de faciliter l'utilisation rationnelle, efficace et économique des fréquences radioélectriques et des orbites associées, y compris de l'orbite des satellites géostationnaires;</w:t>
      </w:r>
    </w:p>
    <w:p w14:paraId="78782E08" w14:textId="77777777" w:rsidR="00400618" w:rsidRPr="00091329" w:rsidRDefault="00400618" w:rsidP="00091329">
      <w:r w:rsidRPr="00A40E6E">
        <w:t>7(D</w:t>
      </w:r>
      <w:r>
        <w:t>3</w:t>
      </w:r>
      <w:r w:rsidRPr="00A40E6E">
        <w:t>)</w:t>
      </w:r>
      <w:r w:rsidRPr="00A40E6E">
        <w:tab/>
      </w:r>
      <w:r>
        <w:t>Question</w:t>
      </w:r>
      <w:r w:rsidRPr="00B342F5">
        <w:t xml:space="preserve"> D3 – Rappels du BR concernant la mise en service/remise en service</w:t>
      </w:r>
    </w:p>
    <w:p w14:paraId="358AD268" w14:textId="1B3BE727" w:rsidR="003A583E" w:rsidRDefault="00CA6913" w:rsidP="005A7C75">
      <w:pPr>
        <w:rPr>
          <w:lang w:val="fr-CH"/>
        </w:rPr>
      </w:pPr>
      <w:r w:rsidRPr="00CA6913">
        <w:rPr>
          <w:lang w:val="fr-CH"/>
        </w:rPr>
        <w:t>Les Administrations de</w:t>
      </w:r>
      <w:r w:rsidR="001F50C7">
        <w:rPr>
          <w:lang w:val="fr-CH"/>
        </w:rPr>
        <w:t>s pays membres de</w:t>
      </w:r>
      <w:r w:rsidRPr="00CA6913">
        <w:rPr>
          <w:lang w:val="fr-CH"/>
        </w:rPr>
        <w:t xml:space="preserve"> la RCC </w:t>
      </w:r>
      <w:r w:rsidR="001F50C7">
        <w:rPr>
          <w:lang w:val="fr-CH"/>
        </w:rPr>
        <w:t>appuient l'ajout de</w:t>
      </w:r>
      <w:r w:rsidRPr="00CA6913">
        <w:rPr>
          <w:lang w:val="fr-CH"/>
        </w:rPr>
        <w:t xml:space="preserve"> nouvelles dispositions dans le RR </w:t>
      </w:r>
      <w:r w:rsidR="001F50C7">
        <w:rPr>
          <w:lang w:val="fr-CH"/>
        </w:rPr>
        <w:t>en ce qui concerne</w:t>
      </w:r>
      <w:r w:rsidRPr="00CA6913">
        <w:rPr>
          <w:lang w:val="fr-CH"/>
        </w:rPr>
        <w:t xml:space="preserve"> l</w:t>
      </w:r>
      <w:r w:rsidR="000B1E59">
        <w:rPr>
          <w:lang w:val="fr-CH"/>
        </w:rPr>
        <w:t>'</w:t>
      </w:r>
      <w:r w:rsidRPr="00CA6913">
        <w:rPr>
          <w:lang w:val="fr-CH"/>
        </w:rPr>
        <w:t>envoi par le Bureau d</w:t>
      </w:r>
      <w:r w:rsidR="000B1E59">
        <w:rPr>
          <w:lang w:val="fr-CH"/>
        </w:rPr>
        <w:t>'</w:t>
      </w:r>
      <w:r w:rsidRPr="00CA6913">
        <w:rPr>
          <w:lang w:val="fr-CH"/>
        </w:rPr>
        <w:t>un rappel officiel à l</w:t>
      </w:r>
      <w:r w:rsidR="000B1E59">
        <w:rPr>
          <w:lang w:val="fr-CH"/>
        </w:rPr>
        <w:t>'</w:t>
      </w:r>
      <w:r w:rsidRPr="00CA6913">
        <w:rPr>
          <w:lang w:val="fr-CH"/>
        </w:rPr>
        <w:t xml:space="preserve">administration notificatrice </w:t>
      </w:r>
      <w:r w:rsidR="001F50C7">
        <w:rPr>
          <w:lang w:val="fr-CH"/>
        </w:rPr>
        <w:t>à</w:t>
      </w:r>
      <w:r w:rsidRPr="00CA6913">
        <w:rPr>
          <w:lang w:val="fr-CH"/>
        </w:rPr>
        <w:t xml:space="preserve"> l</w:t>
      </w:r>
      <w:r w:rsidR="000B1E59">
        <w:rPr>
          <w:lang w:val="fr-CH"/>
        </w:rPr>
        <w:t>'</w:t>
      </w:r>
      <w:r w:rsidRPr="00CA6913">
        <w:rPr>
          <w:lang w:val="fr-CH"/>
        </w:rPr>
        <w:t xml:space="preserve">approche de la date limite de confirmation de la mise en service ou de la remise en service </w:t>
      </w:r>
      <w:r w:rsidR="001F50C7">
        <w:rPr>
          <w:lang w:val="fr-CH"/>
        </w:rPr>
        <w:t>d'</w:t>
      </w:r>
      <w:r w:rsidRPr="00CA6913">
        <w:rPr>
          <w:lang w:val="fr-CH"/>
        </w:rPr>
        <w:t>assignations de fréquence à des réseaux</w:t>
      </w:r>
      <w:r w:rsidR="001F50C7">
        <w:rPr>
          <w:lang w:val="fr-CH"/>
        </w:rPr>
        <w:t xml:space="preserve"> à satellite ou à des </w:t>
      </w:r>
      <w:r w:rsidRPr="00CA6913">
        <w:rPr>
          <w:lang w:val="fr-CH"/>
        </w:rPr>
        <w:t>systèmes à satellites.</w:t>
      </w:r>
    </w:p>
    <w:p w14:paraId="5B135592" w14:textId="17389BCD" w:rsidR="00400618" w:rsidRDefault="001F50C7" w:rsidP="005A7C75">
      <w:pPr>
        <w:rPr>
          <w:lang w:val="fr-CH"/>
        </w:rPr>
      </w:pPr>
      <w:r w:rsidRPr="001F50C7">
        <w:rPr>
          <w:lang w:val="fr-CH"/>
        </w:rPr>
        <w:t>L</w:t>
      </w:r>
      <w:r w:rsidR="000B1E59">
        <w:rPr>
          <w:lang w:val="fr-CH"/>
        </w:rPr>
        <w:t>'</w:t>
      </w:r>
      <w:r w:rsidRPr="001F50C7">
        <w:rPr>
          <w:lang w:val="fr-CH"/>
        </w:rPr>
        <w:t>administration notificatrice informe le Bureau, dans un délai de 30 jours à compter de la fin de la période de 90 jours suivant la mise en service ou la remise en service, qu</w:t>
      </w:r>
      <w:r w:rsidR="000B1E59">
        <w:rPr>
          <w:lang w:val="fr-CH"/>
        </w:rPr>
        <w:t>'</w:t>
      </w:r>
      <w:r w:rsidRPr="001F50C7">
        <w:rPr>
          <w:lang w:val="fr-CH"/>
        </w:rPr>
        <w:t xml:space="preserve">une station spatiale </w:t>
      </w:r>
      <w:r w:rsidR="00E66A15">
        <w:rPr>
          <w:lang w:val="fr-CH"/>
        </w:rPr>
        <w:t xml:space="preserve">située </w:t>
      </w:r>
      <w:r w:rsidRPr="001F50C7">
        <w:rPr>
          <w:lang w:val="fr-CH"/>
        </w:rPr>
        <w:t>sur l</w:t>
      </w:r>
      <w:r w:rsidR="000B1E59">
        <w:rPr>
          <w:lang w:val="fr-CH"/>
        </w:rPr>
        <w:t>'</w:t>
      </w:r>
      <w:r w:rsidRPr="001F50C7">
        <w:rPr>
          <w:lang w:val="fr-CH"/>
        </w:rPr>
        <w:t>orbite des satellites géostationnaires ou</w:t>
      </w:r>
      <w:r>
        <w:rPr>
          <w:lang w:val="fr-CH"/>
        </w:rPr>
        <w:t xml:space="preserve"> sur une orbite de satellites</w:t>
      </w:r>
      <w:r w:rsidRPr="001F50C7">
        <w:rPr>
          <w:lang w:val="fr-CH"/>
        </w:rPr>
        <w:t xml:space="preserve"> non géostationnaires ayant la capacité d</w:t>
      </w:r>
      <w:r w:rsidR="000B1E59">
        <w:rPr>
          <w:lang w:val="fr-CH"/>
        </w:rPr>
        <w:t>'</w:t>
      </w:r>
      <w:r w:rsidRPr="001F50C7">
        <w:rPr>
          <w:lang w:val="fr-CH"/>
        </w:rPr>
        <w:t xml:space="preserve">émettre ou de recevoir sur </w:t>
      </w:r>
      <w:r>
        <w:rPr>
          <w:lang w:val="fr-CH"/>
        </w:rPr>
        <w:t>la</w:t>
      </w:r>
      <w:r w:rsidRPr="001F50C7">
        <w:rPr>
          <w:lang w:val="fr-CH"/>
        </w:rPr>
        <w:t xml:space="preserve"> fréquence assignée a été déployée</w:t>
      </w:r>
      <w:r w:rsidR="00A611A8">
        <w:rPr>
          <w:lang w:val="fr-CH"/>
        </w:rPr>
        <w:t xml:space="preserve"> et maintenue</w:t>
      </w:r>
      <w:r w:rsidRPr="001F50C7">
        <w:rPr>
          <w:lang w:val="fr-CH"/>
        </w:rPr>
        <w:t xml:space="preserve"> à la position orbitale notifiée ou dans l</w:t>
      </w:r>
      <w:r w:rsidR="000B1E59">
        <w:rPr>
          <w:lang w:val="fr-CH"/>
        </w:rPr>
        <w:t>'</w:t>
      </w:r>
      <w:r w:rsidRPr="001F50C7">
        <w:rPr>
          <w:lang w:val="fr-CH"/>
        </w:rPr>
        <w:t>un des plans orbitaux notifiés, selon le cas, pendant une période continue de 90 jours.</w:t>
      </w:r>
    </w:p>
    <w:p w14:paraId="5893DF62" w14:textId="1A820250" w:rsidR="00A611A8" w:rsidRPr="00E60CB2" w:rsidRDefault="00A611A8" w:rsidP="005A7C75">
      <w:pPr>
        <w:rPr>
          <w:lang w:val="fr-CH"/>
        </w:rPr>
      </w:pPr>
      <w:r>
        <w:rPr>
          <w:lang w:val="fr-CH"/>
        </w:rPr>
        <w:t>Il est proposé d'appliquer la m</w:t>
      </w:r>
      <w:r w:rsidRPr="00A611A8">
        <w:rPr>
          <w:lang w:val="fr-CH"/>
        </w:rPr>
        <w:t xml:space="preserve">éthode </w:t>
      </w:r>
      <w:r>
        <w:rPr>
          <w:lang w:val="fr-CH"/>
        </w:rPr>
        <w:t xml:space="preserve">suivante </w:t>
      </w:r>
      <w:r w:rsidRPr="00A611A8">
        <w:rPr>
          <w:lang w:val="fr-CH"/>
        </w:rPr>
        <w:t>pour traiter l</w:t>
      </w:r>
      <w:r>
        <w:rPr>
          <w:lang w:val="fr-CH"/>
        </w:rPr>
        <w:t xml:space="preserve">a Question </w:t>
      </w:r>
      <w:r w:rsidRPr="00A611A8">
        <w:rPr>
          <w:lang w:val="fr-CH"/>
        </w:rPr>
        <w:t xml:space="preserve">D3: </w:t>
      </w:r>
      <w:r w:rsidR="00E66A15">
        <w:rPr>
          <w:lang w:val="fr-CH"/>
        </w:rPr>
        <w:t>ajout</w:t>
      </w:r>
      <w:r w:rsidRPr="00A611A8">
        <w:rPr>
          <w:lang w:val="fr-CH"/>
        </w:rPr>
        <w:t xml:space="preserve"> de </w:t>
      </w:r>
      <w:r w:rsidR="00E66A15">
        <w:rPr>
          <w:lang w:val="fr-CH"/>
        </w:rPr>
        <w:t xml:space="preserve">notes de bas de page </w:t>
      </w:r>
      <w:r w:rsidRPr="00A611A8">
        <w:rPr>
          <w:lang w:val="fr-CH"/>
        </w:rPr>
        <w:t xml:space="preserve">aux numéros </w:t>
      </w:r>
      <w:r w:rsidRPr="00A611A8">
        <w:rPr>
          <w:b/>
          <w:bCs/>
          <w:lang w:val="fr-CH"/>
        </w:rPr>
        <w:t>11.44B</w:t>
      </w:r>
      <w:r w:rsidRPr="00A611A8">
        <w:rPr>
          <w:lang w:val="fr-CH"/>
        </w:rPr>
        <w:t xml:space="preserve">, </w:t>
      </w:r>
      <w:r w:rsidRPr="00A611A8">
        <w:rPr>
          <w:b/>
          <w:bCs/>
          <w:lang w:val="fr-CH"/>
        </w:rPr>
        <w:t>11.44C</w:t>
      </w:r>
      <w:r w:rsidRPr="00A611A8">
        <w:rPr>
          <w:lang w:val="fr-CH"/>
        </w:rPr>
        <w:t xml:space="preserve"> et </w:t>
      </w:r>
      <w:r w:rsidRPr="00A611A8">
        <w:rPr>
          <w:b/>
          <w:bCs/>
          <w:lang w:val="fr-CH"/>
        </w:rPr>
        <w:t>11.49</w:t>
      </w:r>
      <w:r w:rsidRPr="00A611A8">
        <w:rPr>
          <w:lang w:val="fr-CH"/>
        </w:rPr>
        <w:t xml:space="preserve"> du RR </w:t>
      </w:r>
      <w:r w:rsidR="00E66A15">
        <w:rPr>
          <w:lang w:val="fr-CH"/>
        </w:rPr>
        <w:t>figurant dans</w:t>
      </w:r>
      <w:r>
        <w:rPr>
          <w:lang w:val="fr-CH"/>
        </w:rPr>
        <w:t xml:space="preserve"> </w:t>
      </w:r>
      <w:r w:rsidRPr="00A611A8">
        <w:rPr>
          <w:lang w:val="fr-CH"/>
        </w:rPr>
        <w:t>l</w:t>
      </w:r>
      <w:r w:rsidR="000B1E59">
        <w:rPr>
          <w:lang w:val="fr-CH"/>
        </w:rPr>
        <w:t>'</w:t>
      </w:r>
      <w:r w:rsidRPr="00A611A8">
        <w:rPr>
          <w:lang w:val="fr-CH"/>
        </w:rPr>
        <w:t xml:space="preserve">Article </w:t>
      </w:r>
      <w:r w:rsidRPr="00A611A8">
        <w:rPr>
          <w:b/>
          <w:bCs/>
          <w:lang w:val="fr-CH"/>
        </w:rPr>
        <w:t>11</w:t>
      </w:r>
      <w:r w:rsidRPr="00A611A8">
        <w:rPr>
          <w:lang w:val="fr-CH"/>
        </w:rPr>
        <w:t xml:space="preserve"> du RR, </w:t>
      </w:r>
      <w:r w:rsidR="00E66A15">
        <w:rPr>
          <w:lang w:val="fr-CH"/>
        </w:rPr>
        <w:t>au</w:t>
      </w:r>
      <w:r w:rsidRPr="00A611A8">
        <w:rPr>
          <w:lang w:val="fr-CH"/>
        </w:rPr>
        <w:t xml:space="preserve"> § 5.2.10 des Appendices </w:t>
      </w:r>
      <w:r w:rsidRPr="00A611A8">
        <w:rPr>
          <w:b/>
          <w:bCs/>
          <w:lang w:val="fr-CH"/>
        </w:rPr>
        <w:t>30</w:t>
      </w:r>
      <w:r w:rsidRPr="00A611A8">
        <w:rPr>
          <w:lang w:val="fr-CH"/>
        </w:rPr>
        <w:t xml:space="preserve"> et </w:t>
      </w:r>
      <w:r w:rsidRPr="00A611A8">
        <w:rPr>
          <w:b/>
          <w:bCs/>
          <w:lang w:val="fr-CH"/>
        </w:rPr>
        <w:t>30A</w:t>
      </w:r>
      <w:r w:rsidRPr="00A611A8">
        <w:rPr>
          <w:lang w:val="fr-CH"/>
        </w:rPr>
        <w:t xml:space="preserve"> du RR et </w:t>
      </w:r>
      <w:r w:rsidR="00E66A15">
        <w:rPr>
          <w:lang w:val="fr-CH"/>
        </w:rPr>
        <w:t>au</w:t>
      </w:r>
      <w:r w:rsidRPr="00A611A8">
        <w:rPr>
          <w:lang w:val="fr-CH"/>
        </w:rPr>
        <w:t xml:space="preserve"> § 8.17 de l</w:t>
      </w:r>
      <w:r w:rsidR="000B1E59">
        <w:rPr>
          <w:lang w:val="fr-CH"/>
        </w:rPr>
        <w:t>'</w:t>
      </w:r>
      <w:r w:rsidRPr="00A611A8">
        <w:rPr>
          <w:lang w:val="fr-CH"/>
        </w:rPr>
        <w:t xml:space="preserve">Appendice </w:t>
      </w:r>
      <w:r w:rsidRPr="00A611A8">
        <w:rPr>
          <w:b/>
          <w:bCs/>
          <w:lang w:val="fr-CH"/>
        </w:rPr>
        <w:t>30B</w:t>
      </w:r>
      <w:r w:rsidRPr="00A611A8">
        <w:rPr>
          <w:lang w:val="fr-CH"/>
        </w:rPr>
        <w:t xml:space="preserve"> du RR </w:t>
      </w:r>
      <w:r w:rsidR="00E66A15">
        <w:rPr>
          <w:lang w:val="fr-CH"/>
        </w:rPr>
        <w:t>en ce qui concerne</w:t>
      </w:r>
      <w:r w:rsidRPr="00A611A8">
        <w:rPr>
          <w:lang w:val="fr-CH"/>
        </w:rPr>
        <w:t xml:space="preserve"> l</w:t>
      </w:r>
      <w:r w:rsidR="000B1E59">
        <w:rPr>
          <w:lang w:val="fr-CH"/>
        </w:rPr>
        <w:t>'</w:t>
      </w:r>
      <w:r w:rsidRPr="00A611A8">
        <w:rPr>
          <w:lang w:val="fr-CH"/>
        </w:rPr>
        <w:t>envoi par le Bureau d</w:t>
      </w:r>
      <w:r w:rsidR="000B1E59">
        <w:rPr>
          <w:lang w:val="fr-CH"/>
        </w:rPr>
        <w:t>'</w:t>
      </w:r>
      <w:r w:rsidRPr="00A611A8">
        <w:rPr>
          <w:lang w:val="fr-CH"/>
        </w:rPr>
        <w:t>un rappel officiel à l</w:t>
      </w:r>
      <w:r w:rsidR="000B1E59">
        <w:rPr>
          <w:lang w:val="fr-CH"/>
        </w:rPr>
        <w:t>'</w:t>
      </w:r>
      <w:r w:rsidRPr="00A611A8">
        <w:rPr>
          <w:lang w:val="fr-CH"/>
        </w:rPr>
        <w:t xml:space="preserve">administration notificatrice du délai </w:t>
      </w:r>
      <w:r w:rsidR="0038537C">
        <w:rPr>
          <w:lang w:val="fr-CH"/>
        </w:rPr>
        <w:t>prévu pour</w:t>
      </w:r>
      <w:r w:rsidRPr="00A611A8">
        <w:rPr>
          <w:lang w:val="fr-CH"/>
        </w:rPr>
        <w:t xml:space="preserve"> informer le Bureau du début de la période de mise en service ou de remise en service.</w:t>
      </w:r>
    </w:p>
    <w:p w14:paraId="29B6B008"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608BEAFC" w14:textId="77777777" w:rsidR="00400618" w:rsidRPr="00885459" w:rsidRDefault="00400618" w:rsidP="003248FA">
      <w:pPr>
        <w:pStyle w:val="ArtNo"/>
      </w:pPr>
      <w:bookmarkStart w:id="5" w:name="_Toc455752927"/>
      <w:bookmarkStart w:id="6" w:name="_Toc455756166"/>
      <w:r w:rsidRPr="003248FA">
        <w:lastRenderedPageBreak/>
        <w:t>ARTICLE</w:t>
      </w:r>
      <w:r w:rsidRPr="00885459">
        <w:t xml:space="preserve"> </w:t>
      </w:r>
      <w:r w:rsidRPr="00885459">
        <w:rPr>
          <w:rStyle w:val="href"/>
        </w:rPr>
        <w:t>11</w:t>
      </w:r>
      <w:bookmarkEnd w:id="5"/>
      <w:bookmarkEnd w:id="6"/>
    </w:p>
    <w:p w14:paraId="72C2BBB5" w14:textId="75610C64" w:rsidR="00400618" w:rsidRPr="00885459" w:rsidRDefault="00400618" w:rsidP="003248FA">
      <w:pPr>
        <w:pStyle w:val="Arttitle"/>
      </w:pPr>
      <w:bookmarkStart w:id="7" w:name="_Toc35933675"/>
      <w:r w:rsidRPr="00885459">
        <w:t xml:space="preserve">Notification et </w:t>
      </w:r>
      <w:r w:rsidRPr="003248FA">
        <w:t>inscription</w:t>
      </w:r>
      <w:r w:rsidRPr="00885459">
        <w:t xml:space="preserve"> des assignations</w:t>
      </w:r>
      <w:r w:rsidRPr="00885459">
        <w:br/>
        <w:t>de fréquence</w:t>
      </w:r>
      <w:r w:rsidRPr="00885459">
        <w:rPr>
          <w:rStyle w:val="FootnoteReference"/>
          <w:b w:val="0"/>
          <w:bCs/>
        </w:rPr>
        <w:t>1, 2, 3, 4, 5, 6, 7</w:t>
      </w:r>
      <w:r w:rsidRPr="00885459">
        <w:rPr>
          <w:b w:val="0"/>
          <w:bCs/>
          <w:sz w:val="16"/>
          <w:szCs w:val="16"/>
        </w:rPr>
        <w:t>    </w:t>
      </w:r>
      <w:r w:rsidRPr="00885459">
        <w:rPr>
          <w:b w:val="0"/>
          <w:sz w:val="16"/>
          <w:szCs w:val="16"/>
        </w:rPr>
        <w:t>(CMR</w:t>
      </w:r>
      <w:r w:rsidRPr="00885459">
        <w:rPr>
          <w:b w:val="0"/>
          <w:sz w:val="16"/>
          <w:szCs w:val="16"/>
        </w:rPr>
        <w:noBreakHyphen/>
        <w:t>19)</w:t>
      </w:r>
      <w:bookmarkEnd w:id="7"/>
    </w:p>
    <w:p w14:paraId="33A7F9C1" w14:textId="77777777" w:rsidR="00400618" w:rsidRPr="00885459" w:rsidRDefault="00400618" w:rsidP="008D5FFA">
      <w:pPr>
        <w:pStyle w:val="Section1"/>
      </w:pPr>
      <w:r w:rsidRPr="00885459">
        <w:t>Section II – Examen des fiches de notification et inscription des</w:t>
      </w:r>
      <w:r w:rsidRPr="00885459">
        <w:br/>
        <w:t>assignations de fréquence dans le Fichier de référence</w:t>
      </w:r>
    </w:p>
    <w:p w14:paraId="4E252346" w14:textId="2B476A3A" w:rsidR="0087535A" w:rsidRDefault="00400618">
      <w:pPr>
        <w:pStyle w:val="Proposal"/>
      </w:pPr>
      <w:r>
        <w:t>MOD</w:t>
      </w:r>
      <w:r>
        <w:tab/>
        <w:t>RCC/85A22A6/1</w:t>
      </w:r>
    </w:p>
    <w:p w14:paraId="01C71D2F" w14:textId="77777777" w:rsidR="00400618" w:rsidRPr="00743259" w:rsidRDefault="00400618" w:rsidP="00756C3A">
      <w:pPr>
        <w:keepNext/>
        <w:keepLines/>
        <w:rPr>
          <w:sz w:val="16"/>
          <w:szCs w:val="16"/>
        </w:rPr>
      </w:pPr>
      <w:r w:rsidRPr="00743259">
        <w:rPr>
          <w:rStyle w:val="Artdef"/>
        </w:rPr>
        <w:t>11.44B</w:t>
      </w:r>
      <w:r w:rsidRPr="00743259">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 jours</w:t>
      </w:r>
      <w:r w:rsidRPr="00743259">
        <w:rPr>
          <w:rStyle w:val="FootnoteReference"/>
        </w:rPr>
        <w:t>25, 26</w:t>
      </w:r>
      <w:ins w:id="8" w:author="French" w:date="2022-10-20T08:40:00Z">
        <w:r w:rsidRPr="00743259">
          <w:rPr>
            <w:rStyle w:val="FootnoteReference"/>
          </w:rPr>
          <w:t>, ADD26</w:t>
        </w:r>
        <w:r w:rsidRPr="00400618">
          <w:rPr>
            <w:rStyle w:val="FootnoteReference"/>
            <w:i/>
            <w:iCs/>
          </w:rPr>
          <w:t>bis</w:t>
        </w:r>
      </w:ins>
      <w:r w:rsidRPr="00743259">
        <w:t xml:space="preserve">. Lorsqu'il reçoit les renseignements envoyés au titre de la présente disposition, le Bureau les met à disposition sur le site web de l'UIT </w:t>
      </w:r>
      <w:r w:rsidRPr="00743259">
        <w:rPr>
          <w:spacing w:val="-3"/>
        </w:rPr>
        <w:t xml:space="preserve">dès que possible et les publie dans la BR IFIC. La Résolution </w:t>
      </w:r>
      <w:r w:rsidRPr="00743259">
        <w:rPr>
          <w:b/>
          <w:bCs/>
          <w:spacing w:val="-3"/>
          <w:lang w:eastAsia="en-CA"/>
        </w:rPr>
        <w:t xml:space="preserve">40 (Rév.CMR-19) </w:t>
      </w:r>
      <w:r w:rsidRPr="00743259">
        <w:rPr>
          <w:bCs/>
          <w:spacing w:val="-3"/>
          <w:lang w:eastAsia="en-CA"/>
        </w:rPr>
        <w:t>s'applique.</w:t>
      </w:r>
      <w:r w:rsidRPr="00743259">
        <w:rPr>
          <w:iCs/>
          <w:spacing w:val="-3"/>
          <w:sz w:val="16"/>
          <w:szCs w:val="16"/>
        </w:rPr>
        <w:t>     </w:t>
      </w:r>
      <w:r w:rsidRPr="00743259">
        <w:rPr>
          <w:spacing w:val="-3"/>
          <w:sz w:val="16"/>
          <w:szCs w:val="16"/>
        </w:rPr>
        <w:t>(CMR</w:t>
      </w:r>
      <w:r w:rsidRPr="00743259">
        <w:rPr>
          <w:spacing w:val="-3"/>
          <w:sz w:val="16"/>
          <w:szCs w:val="16"/>
        </w:rPr>
        <w:noBreakHyphen/>
      </w:r>
      <w:del w:id="9" w:author="French" w:date="2022-10-20T08:41:00Z">
        <w:r w:rsidRPr="00743259" w:rsidDel="00046234">
          <w:rPr>
            <w:spacing w:val="-3"/>
            <w:sz w:val="16"/>
            <w:szCs w:val="16"/>
          </w:rPr>
          <w:delText>19</w:delText>
        </w:r>
      </w:del>
      <w:ins w:id="10" w:author="French" w:date="2022-10-20T08:41:00Z">
        <w:r w:rsidRPr="00743259">
          <w:rPr>
            <w:spacing w:val="-3"/>
            <w:sz w:val="16"/>
            <w:szCs w:val="16"/>
          </w:rPr>
          <w:t>23</w:t>
        </w:r>
      </w:ins>
      <w:r w:rsidRPr="00743259">
        <w:rPr>
          <w:spacing w:val="-3"/>
          <w:sz w:val="16"/>
          <w:szCs w:val="16"/>
        </w:rPr>
        <w:t>)</w:t>
      </w:r>
    </w:p>
    <w:p w14:paraId="4EB74500" w14:textId="10C83217" w:rsidR="0087535A" w:rsidRDefault="0087535A">
      <w:pPr>
        <w:pStyle w:val="Reasons"/>
      </w:pPr>
    </w:p>
    <w:p w14:paraId="67DF024B" w14:textId="77777777" w:rsidR="0087535A" w:rsidRDefault="00400618">
      <w:pPr>
        <w:pStyle w:val="Proposal"/>
      </w:pPr>
      <w:r>
        <w:t>ADD</w:t>
      </w:r>
      <w:r>
        <w:tab/>
        <w:t>RCC/85A22A6/2</w:t>
      </w:r>
      <w:r>
        <w:rPr>
          <w:vanish/>
          <w:color w:val="7F7F7F" w:themeColor="text1" w:themeTint="80"/>
          <w:vertAlign w:val="superscript"/>
        </w:rPr>
        <w:t>#2015</w:t>
      </w:r>
    </w:p>
    <w:p w14:paraId="7167DA4C" w14:textId="77777777" w:rsidR="00400618" w:rsidRPr="00743259" w:rsidRDefault="00400618" w:rsidP="00756C3A">
      <w:pPr>
        <w:rPr>
          <w:rFonts w:ascii="Verdana" w:hAnsi="Verdana"/>
          <w:b/>
          <w:bCs/>
          <w:sz w:val="18"/>
        </w:rPr>
      </w:pPr>
      <w:r w:rsidRPr="00743259">
        <w:t>_______________</w:t>
      </w:r>
    </w:p>
    <w:p w14:paraId="382E9AC2" w14:textId="77777777" w:rsidR="00400618" w:rsidRPr="00743259" w:rsidRDefault="00400618" w:rsidP="00756C3A">
      <w:pPr>
        <w:pStyle w:val="FootnoteText"/>
        <w:tabs>
          <w:tab w:val="clear" w:pos="1134"/>
          <w:tab w:val="clear" w:pos="2268"/>
          <w:tab w:val="left" w:pos="709"/>
          <w:tab w:val="left" w:pos="3261"/>
        </w:tabs>
        <w:rPr>
          <w:rStyle w:val="apple-converted-space"/>
          <w:rFonts w:eastAsiaTheme="majorEastAsia"/>
          <w:sz w:val="16"/>
          <w:szCs w:val="16"/>
        </w:rPr>
      </w:pPr>
      <w:r w:rsidRPr="001C5975">
        <w:rPr>
          <w:rStyle w:val="FootnoteReference"/>
        </w:rPr>
        <w:t>26</w:t>
      </w:r>
      <w:r w:rsidRPr="001C5975">
        <w:rPr>
          <w:rStyle w:val="FootnoteReference"/>
          <w:i/>
          <w:iCs/>
        </w:rPr>
        <w:t>bis</w:t>
      </w:r>
      <w:r w:rsidRPr="001C5975">
        <w:tab/>
      </w:r>
      <w:r w:rsidRPr="001C5975">
        <w:rPr>
          <w:rStyle w:val="Artdef"/>
          <w:szCs w:val="24"/>
        </w:rPr>
        <w:t>11.44B.3</w:t>
      </w:r>
      <w:r w:rsidRPr="001C5975">
        <w:rPr>
          <w:szCs w:val="24"/>
        </w:rPr>
        <w:t xml:space="preserve"> et </w:t>
      </w:r>
      <w:r w:rsidRPr="001C5975">
        <w:rPr>
          <w:rStyle w:val="Artdef"/>
          <w:szCs w:val="24"/>
        </w:rPr>
        <w:t>11.44C.5</w:t>
      </w:r>
      <w:r w:rsidRPr="001C5975">
        <w:tab/>
        <w:t xml:space="preserve">Si l'administration notificatrice a informé le Bureau de la date de début de la période de mise en service de 90 jours, mais, dans les quinze jours suivant la fin de la période de mise en service de 90 jours, n'a pas encore informé le Bureau que la période de mise en service était arrivée à son terme, conformément au numéro </w:t>
      </w:r>
      <w:r w:rsidRPr="001C5975">
        <w:rPr>
          <w:b/>
          <w:bCs/>
        </w:rPr>
        <w:t>11.44B</w:t>
      </w:r>
      <w:r w:rsidRPr="001C5975">
        <w:t xml:space="preserve"> ou </w:t>
      </w:r>
      <w:r w:rsidRPr="001C5975">
        <w:rPr>
          <w:b/>
          <w:bCs/>
        </w:rPr>
        <w:t>11.44C</w:t>
      </w:r>
      <w:r w:rsidRPr="001C5975">
        <w:t xml:space="preserve">, le Bureau lui envoie sans délai un rappel de l'obligation qui lui incombe d'informer le Bureau que la période de mise en service est arrivée à son terme, conformément au numéro </w:t>
      </w:r>
      <w:r w:rsidRPr="001C5975">
        <w:rPr>
          <w:b/>
          <w:bCs/>
        </w:rPr>
        <w:t>11.44B</w:t>
      </w:r>
      <w:r w:rsidRPr="001C5975">
        <w:t xml:space="preserve"> ou </w:t>
      </w:r>
      <w:r w:rsidRPr="001C5975">
        <w:rPr>
          <w:b/>
          <w:bCs/>
        </w:rPr>
        <w:t>11.44C</w:t>
      </w:r>
      <w:r w:rsidRPr="001C5975">
        <w:t>.</w:t>
      </w:r>
      <w:r w:rsidRPr="001C5975">
        <w:rPr>
          <w:rStyle w:val="apple-converted-space"/>
          <w:rFonts w:eastAsiaTheme="majorEastAsia"/>
          <w:sz w:val="16"/>
          <w:szCs w:val="16"/>
        </w:rPr>
        <w:t>     (CMR-23)</w:t>
      </w:r>
    </w:p>
    <w:p w14:paraId="6EF3D5C5" w14:textId="6B365453" w:rsidR="0087535A" w:rsidRDefault="0087535A">
      <w:pPr>
        <w:pStyle w:val="Reasons"/>
      </w:pPr>
    </w:p>
    <w:p w14:paraId="1B5CE9D8" w14:textId="398B1C16" w:rsidR="0087535A" w:rsidRDefault="00400618">
      <w:pPr>
        <w:pStyle w:val="Proposal"/>
      </w:pPr>
      <w:r>
        <w:t>MOD</w:t>
      </w:r>
      <w:r>
        <w:tab/>
        <w:t>RCC/85A22A6/3</w:t>
      </w:r>
    </w:p>
    <w:p w14:paraId="5683BFEF" w14:textId="24F1B723" w:rsidR="00400618" w:rsidRPr="00743259" w:rsidRDefault="00400618" w:rsidP="00756C3A">
      <w:pPr>
        <w:keepNext/>
        <w:keepLines/>
        <w:rPr>
          <w:sz w:val="16"/>
          <w:szCs w:val="16"/>
        </w:rPr>
      </w:pPr>
      <w:r w:rsidRPr="00743259">
        <w:rPr>
          <w:rStyle w:val="Artdef"/>
        </w:rPr>
        <w:t>11.44C</w:t>
      </w:r>
      <w:r w:rsidRPr="00743259">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r w:rsidRPr="00743259">
        <w:rPr>
          <w:position w:val="6"/>
          <w:sz w:val="18"/>
        </w:rPr>
        <w:t>27</w:t>
      </w:r>
      <w:r w:rsidRPr="00743259">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743259">
        <w:rPr>
          <w:rStyle w:val="FootnoteReference"/>
        </w:rPr>
        <w:t>25</w:t>
      </w:r>
      <w:r w:rsidRPr="00CC2ED3">
        <w:rPr>
          <w:rStyle w:val="FootnoteReference"/>
        </w:rPr>
        <w:t>,</w:t>
      </w:r>
      <w:r w:rsidR="00CC2ED3" w:rsidRPr="00CC2ED3">
        <w:rPr>
          <w:rStyle w:val="FootnoteReference"/>
        </w:rPr>
        <w:t xml:space="preserve"> </w:t>
      </w:r>
      <w:ins w:id="11" w:author="Author2" w:date="2022-09-15T14:17:00Z">
        <w:r w:rsidRPr="00CC2ED3">
          <w:rPr>
            <w:rStyle w:val="FootnoteReference"/>
          </w:rPr>
          <w:t>ADD</w:t>
        </w:r>
      </w:ins>
      <w:ins w:id="12" w:author="Turnbull, Karen" w:date="2022-10-17T10:35:00Z">
        <w:r w:rsidRPr="00CC2ED3">
          <w:rPr>
            <w:rStyle w:val="FootnoteReference"/>
          </w:rPr>
          <w:t> </w:t>
        </w:r>
      </w:ins>
      <w:ins w:id="13" w:author="Author2" w:date="2022-09-15T14:17:00Z">
        <w:r w:rsidRPr="00CC2ED3">
          <w:rPr>
            <w:rStyle w:val="FootnoteReference"/>
          </w:rPr>
          <w:t>26bis</w:t>
        </w:r>
      </w:ins>
      <w:ins w:id="14" w:author="Turnbull, Karen" w:date="2022-10-17T10:35:00Z">
        <w:r w:rsidRPr="00CC2ED3">
          <w:rPr>
            <w:rStyle w:val="FootnoteReference"/>
          </w:rPr>
          <w:t>,</w:t>
        </w:r>
      </w:ins>
      <w:ins w:id="15" w:author="French" w:date="2023-11-16T19:06:00Z">
        <w:r w:rsidR="00CC2ED3">
          <w:t xml:space="preserve"> </w:t>
        </w:r>
      </w:ins>
      <w:r w:rsidRPr="00CC2ED3">
        <w:rPr>
          <w:rStyle w:val="FootnoteReference"/>
        </w:rPr>
        <w:t>28,</w:t>
      </w:r>
      <w:r w:rsidR="00CC2ED3" w:rsidRPr="00CC2ED3">
        <w:rPr>
          <w:rStyle w:val="FootnoteReference"/>
        </w:rPr>
        <w:t xml:space="preserve"> </w:t>
      </w:r>
      <w:r w:rsidRPr="00743259">
        <w:rPr>
          <w:rStyle w:val="FootnoteReference"/>
        </w:rPr>
        <w:t>29</w:t>
      </w:r>
      <w:r w:rsidRPr="00743259">
        <w:t>. Lorsqu'il reçoit les renseignements envoyés au titre de la présente disposition, le Bureau les met à disposition sur le site web de l'UIT dès que possible et les publie par la suite dans la BR IFIC.</w:t>
      </w:r>
      <w:r w:rsidRPr="00743259">
        <w:rPr>
          <w:sz w:val="16"/>
          <w:szCs w:val="16"/>
        </w:rPr>
        <w:t>     (CMR</w:t>
      </w:r>
      <w:r w:rsidRPr="00743259">
        <w:rPr>
          <w:sz w:val="16"/>
          <w:szCs w:val="16"/>
        </w:rPr>
        <w:noBreakHyphen/>
      </w:r>
      <w:del w:id="16" w:author="French" w:date="2022-10-20T08:46:00Z">
        <w:r w:rsidRPr="00743259" w:rsidDel="00745E62">
          <w:rPr>
            <w:sz w:val="16"/>
            <w:szCs w:val="16"/>
          </w:rPr>
          <w:delText>19</w:delText>
        </w:r>
      </w:del>
      <w:ins w:id="17" w:author="French" w:date="2022-10-20T08:46:00Z">
        <w:r w:rsidRPr="00743259">
          <w:rPr>
            <w:sz w:val="16"/>
            <w:szCs w:val="16"/>
          </w:rPr>
          <w:t>23</w:t>
        </w:r>
      </w:ins>
      <w:r w:rsidRPr="00743259">
        <w:rPr>
          <w:sz w:val="16"/>
          <w:szCs w:val="16"/>
        </w:rPr>
        <w:t>)</w:t>
      </w:r>
    </w:p>
    <w:p w14:paraId="17672412" w14:textId="1E4DE84B" w:rsidR="0087535A" w:rsidRDefault="0087535A">
      <w:pPr>
        <w:pStyle w:val="Reasons"/>
      </w:pPr>
    </w:p>
    <w:p w14:paraId="6ADF7DC2" w14:textId="78BB03BB" w:rsidR="0087535A" w:rsidRDefault="00400618" w:rsidP="003248FA">
      <w:pPr>
        <w:pStyle w:val="Proposal"/>
        <w:keepLines/>
      </w:pPr>
      <w:r>
        <w:lastRenderedPageBreak/>
        <w:t>MOD</w:t>
      </w:r>
      <w:r>
        <w:tab/>
        <w:t>RCC/85A22A6/4</w:t>
      </w:r>
    </w:p>
    <w:p w14:paraId="1AE876A9" w14:textId="4E583A3A" w:rsidR="00400618" w:rsidRPr="00743259" w:rsidRDefault="00400618" w:rsidP="003248FA">
      <w:pPr>
        <w:keepNext/>
        <w:keepLines/>
        <w:rPr>
          <w:sz w:val="16"/>
          <w:szCs w:val="16"/>
        </w:rPr>
      </w:pPr>
      <w:r w:rsidRPr="00743259">
        <w:rPr>
          <w:rStyle w:val="Artdef"/>
        </w:rPr>
        <w:t>11.49</w:t>
      </w:r>
      <w:r w:rsidRPr="00743259">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743259">
        <w:rPr>
          <w:b/>
          <w:bCs/>
        </w:rPr>
        <w:t>11.49.1</w:t>
      </w:r>
      <w:r w:rsidRPr="00743259">
        <w:t xml:space="preserve">, </w:t>
      </w:r>
      <w:r w:rsidRPr="00743259">
        <w:rPr>
          <w:rStyle w:val="Artref"/>
          <w:b/>
          <w:bCs/>
        </w:rPr>
        <w:t>11.49.2</w:t>
      </w:r>
      <w:r w:rsidRPr="00743259">
        <w:rPr>
          <w:rStyle w:val="Artref"/>
        </w:rPr>
        <w:t xml:space="preserve">, </w:t>
      </w:r>
      <w:r w:rsidRPr="00743259">
        <w:rPr>
          <w:rStyle w:val="Artref"/>
          <w:b/>
          <w:bCs/>
        </w:rPr>
        <w:t xml:space="preserve">11.49.3 </w:t>
      </w:r>
      <w:r w:rsidRPr="00743259">
        <w:rPr>
          <w:rStyle w:val="Artref"/>
          <w:bCs/>
        </w:rPr>
        <w:t>ou</w:t>
      </w:r>
      <w:r w:rsidRPr="00743259">
        <w:rPr>
          <w:rStyle w:val="Artref"/>
          <w:b/>
          <w:bCs/>
        </w:rPr>
        <w:t xml:space="preserve"> 11.49.4</w:t>
      </w:r>
      <w:r w:rsidRPr="00743259">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743259">
        <w:rPr>
          <w:rStyle w:val="FootnoteReference"/>
        </w:rPr>
        <w:t>32</w:t>
      </w:r>
      <w:r w:rsidRPr="00CC2ED3">
        <w:rPr>
          <w:rStyle w:val="FootnoteReference"/>
        </w:rPr>
        <w:t>,</w:t>
      </w:r>
      <w:r w:rsidR="00CC2ED3" w:rsidRPr="00CC2ED3">
        <w:rPr>
          <w:rStyle w:val="FootnoteReference"/>
        </w:rPr>
        <w:t xml:space="preserve"> </w:t>
      </w:r>
      <w:ins w:id="18" w:author="Author2" w:date="2022-09-15T14:17:00Z">
        <w:r w:rsidRPr="00CC2ED3">
          <w:rPr>
            <w:rStyle w:val="FootnoteReference"/>
          </w:rPr>
          <w:t>ADD</w:t>
        </w:r>
      </w:ins>
      <w:ins w:id="19" w:author="Turnbull, Karen" w:date="2022-10-17T10:41:00Z">
        <w:r w:rsidRPr="00CC2ED3">
          <w:rPr>
            <w:rStyle w:val="FootnoteReference"/>
          </w:rPr>
          <w:t> </w:t>
        </w:r>
      </w:ins>
      <w:ins w:id="20" w:author="Author2" w:date="2022-09-15T14:17:00Z">
        <w:r w:rsidRPr="00CC2ED3">
          <w:rPr>
            <w:rStyle w:val="FootnoteReference"/>
          </w:rPr>
          <w:t>32bis,</w:t>
        </w:r>
      </w:ins>
      <w:ins w:id="21" w:author="French" w:date="2023-11-16T19:06:00Z">
        <w:r w:rsidR="00CC2ED3" w:rsidRPr="00CC2ED3">
          <w:rPr>
            <w:rStyle w:val="FootnoteReference"/>
          </w:rPr>
          <w:t xml:space="preserve"> </w:t>
        </w:r>
      </w:ins>
      <w:r w:rsidRPr="00CC2ED3">
        <w:rPr>
          <w:rStyle w:val="FootnoteReference"/>
        </w:rPr>
        <w:t>33,</w:t>
      </w:r>
      <w:r w:rsidR="00CC2ED3" w:rsidRPr="00CC2ED3">
        <w:rPr>
          <w:rStyle w:val="FootnoteReference"/>
        </w:rPr>
        <w:t xml:space="preserve"> </w:t>
      </w:r>
      <w:r w:rsidRPr="00CC2ED3">
        <w:rPr>
          <w:rStyle w:val="FootnoteReference"/>
        </w:rPr>
        <w:t>34,</w:t>
      </w:r>
      <w:r w:rsidR="00CC2ED3" w:rsidRPr="00CC2ED3">
        <w:rPr>
          <w:rStyle w:val="FootnoteReference"/>
        </w:rPr>
        <w:t xml:space="preserve"> </w:t>
      </w:r>
      <w:r w:rsidRPr="00CC2ED3">
        <w:rPr>
          <w:rStyle w:val="FootnoteReference"/>
        </w:rPr>
        <w:t>35,</w:t>
      </w:r>
      <w:r w:rsidR="00CC2ED3" w:rsidRPr="00CC2ED3">
        <w:rPr>
          <w:rStyle w:val="FootnoteReference"/>
        </w:rPr>
        <w:t xml:space="preserve"> </w:t>
      </w:r>
      <w:r w:rsidRPr="00CC2ED3">
        <w:rPr>
          <w:rStyle w:val="FootnoteReference"/>
        </w:rPr>
        <w:t>3</w:t>
      </w:r>
      <w:r w:rsidRPr="00743259">
        <w:rPr>
          <w:rStyle w:val="FootnoteReference"/>
        </w:rPr>
        <w:t xml:space="preserve">6 </w:t>
      </w:r>
      <w:r w:rsidRPr="00743259">
        <w:t>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w:t>
      </w:r>
      <w:r w:rsidRPr="00743259">
        <w:rPr>
          <w:lang w:eastAsia="ko-KR"/>
        </w:rPr>
        <w:t xml:space="preserve"> déclaration du début de la période de remise en service dans les trente jours suivant la date limite de la période de suspension établie conformément à la présente disposition,</w:t>
      </w:r>
      <w:r w:rsidRPr="00743259">
        <w:t xml:space="preserve"> </w:t>
      </w:r>
      <w:r w:rsidRPr="00743259">
        <w:rPr>
          <w:lang w:eastAsia="ko-KR"/>
        </w:rPr>
        <w:t>le Bureau procède à l'annulation de l'inscription dans le Fichier de référence. Toutefois, le Bureau informe l'administration concernée avant de prendre une telle mesure.</w:t>
      </w:r>
      <w:r w:rsidRPr="00743259">
        <w:rPr>
          <w:sz w:val="16"/>
          <w:szCs w:val="16"/>
        </w:rPr>
        <w:t>     (CMR</w:t>
      </w:r>
      <w:r w:rsidRPr="00743259">
        <w:rPr>
          <w:sz w:val="16"/>
          <w:szCs w:val="16"/>
        </w:rPr>
        <w:noBreakHyphen/>
      </w:r>
      <w:del w:id="22" w:author="French" w:date="2022-10-20T08:49:00Z">
        <w:r w:rsidRPr="00743259" w:rsidDel="00745E62">
          <w:rPr>
            <w:sz w:val="16"/>
            <w:szCs w:val="16"/>
          </w:rPr>
          <w:delText>19</w:delText>
        </w:r>
      </w:del>
      <w:ins w:id="23" w:author="French" w:date="2022-10-20T08:49:00Z">
        <w:r w:rsidRPr="00743259">
          <w:rPr>
            <w:sz w:val="16"/>
            <w:szCs w:val="16"/>
          </w:rPr>
          <w:t>23</w:t>
        </w:r>
      </w:ins>
      <w:r w:rsidRPr="00743259">
        <w:rPr>
          <w:sz w:val="16"/>
          <w:szCs w:val="16"/>
        </w:rPr>
        <w:t>)</w:t>
      </w:r>
    </w:p>
    <w:p w14:paraId="631CFC8C" w14:textId="2DD54DB4" w:rsidR="0087535A" w:rsidRDefault="0087535A">
      <w:pPr>
        <w:pStyle w:val="Reasons"/>
      </w:pPr>
    </w:p>
    <w:p w14:paraId="6A1167D0" w14:textId="77777777" w:rsidR="0087535A" w:rsidRDefault="00400618">
      <w:pPr>
        <w:pStyle w:val="Proposal"/>
      </w:pPr>
      <w:r>
        <w:t>ADD</w:t>
      </w:r>
      <w:r>
        <w:tab/>
        <w:t>RCC/85A22A6/5</w:t>
      </w:r>
      <w:r>
        <w:rPr>
          <w:vanish/>
          <w:color w:val="7F7F7F" w:themeColor="text1" w:themeTint="80"/>
          <w:vertAlign w:val="superscript"/>
        </w:rPr>
        <w:t>#2018</w:t>
      </w:r>
    </w:p>
    <w:p w14:paraId="38C8986A" w14:textId="77777777" w:rsidR="00400618" w:rsidRPr="00743259" w:rsidRDefault="00400618" w:rsidP="00756C3A">
      <w:pPr>
        <w:keepNext/>
        <w:keepLines/>
      </w:pPr>
      <w:bookmarkStart w:id="24" w:name="_Hlk116382922"/>
      <w:r w:rsidRPr="00743259">
        <w:t>_______________</w:t>
      </w:r>
      <w:bookmarkEnd w:id="24"/>
    </w:p>
    <w:p w14:paraId="028BEC09" w14:textId="77777777" w:rsidR="00400618" w:rsidRPr="00743259" w:rsidRDefault="00400618" w:rsidP="00756C3A">
      <w:pPr>
        <w:pStyle w:val="FootnoteText"/>
        <w:keepNext/>
        <w:tabs>
          <w:tab w:val="clear" w:pos="1134"/>
          <w:tab w:val="clear" w:pos="2268"/>
          <w:tab w:val="left" w:pos="709"/>
          <w:tab w:val="left" w:pos="3261"/>
        </w:tabs>
        <w:rPr>
          <w:rStyle w:val="apple-converted-space"/>
          <w:rFonts w:eastAsiaTheme="majorEastAsia"/>
          <w:sz w:val="16"/>
          <w:szCs w:val="16"/>
        </w:rPr>
      </w:pPr>
      <w:r w:rsidRPr="00743259">
        <w:rPr>
          <w:rStyle w:val="FootnoteReference"/>
        </w:rPr>
        <w:t>32</w:t>
      </w:r>
      <w:r w:rsidRPr="00743259">
        <w:rPr>
          <w:rStyle w:val="FootnoteReference"/>
          <w:i/>
          <w:iCs/>
        </w:rPr>
        <w:t>bis</w:t>
      </w:r>
      <w:r w:rsidRPr="00743259">
        <w:tab/>
      </w:r>
      <w:r w:rsidRPr="00743259">
        <w:rPr>
          <w:rStyle w:val="Artdef"/>
        </w:rPr>
        <w:t>11.49.1</w:t>
      </w:r>
      <w:r w:rsidRPr="00743259">
        <w:rPr>
          <w:rStyle w:val="Artdef"/>
          <w:i/>
          <w:iCs/>
        </w:rPr>
        <w:t>bis</w:t>
      </w:r>
      <w:r w:rsidRPr="00743259">
        <w:rPr>
          <w:rStyle w:val="Artdef"/>
        </w:rPr>
        <w:t xml:space="preserve"> </w:t>
      </w:r>
      <w:r w:rsidRPr="00743259">
        <w:rPr>
          <w:rStyle w:val="Artdef"/>
          <w:bCs/>
        </w:rPr>
        <w:t>et</w:t>
      </w:r>
      <w:r w:rsidRPr="00743259">
        <w:rPr>
          <w:rStyle w:val="Artdef"/>
        </w:rPr>
        <w:t xml:space="preserve"> 11.49.2</w:t>
      </w:r>
      <w:r w:rsidRPr="00743259">
        <w:rPr>
          <w:rStyle w:val="Artdef"/>
          <w:i/>
          <w:iCs/>
        </w:rPr>
        <w:t>bis</w:t>
      </w:r>
      <w:r w:rsidRPr="00743259">
        <w:rPr>
          <w:b/>
        </w:rPr>
        <w:tab/>
      </w:r>
      <w:r w:rsidRPr="00743259">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au numéro </w:t>
      </w:r>
      <w:r w:rsidRPr="00743259">
        <w:rPr>
          <w:b/>
          <w:bCs/>
          <w:color w:val="000000" w:themeColor="text1"/>
        </w:rPr>
        <w:t>11.49.1</w:t>
      </w:r>
      <w:r w:rsidRPr="00743259">
        <w:rPr>
          <w:color w:val="000000" w:themeColor="text1"/>
        </w:rPr>
        <w:t xml:space="preserve"> ou </w:t>
      </w:r>
      <w:r w:rsidRPr="00743259">
        <w:rPr>
          <w:b/>
          <w:bCs/>
          <w:color w:val="000000" w:themeColor="text1"/>
        </w:rPr>
        <w:t>11.49.2</w:t>
      </w:r>
      <w:r w:rsidRPr="00743259">
        <w:rPr>
          <w:color w:val="000000" w:themeColor="text1"/>
        </w:rPr>
        <w:t>,</w:t>
      </w:r>
      <w:r w:rsidRPr="00743259">
        <w:t xml:space="preserve"> le Bureau lui envoie sans délai un rappel de l'obligation qui lui incombe d'informer le Bureau que la période de remise en service est arrivée à son terme, conformément au numéro </w:t>
      </w:r>
      <w:r w:rsidRPr="00743259">
        <w:rPr>
          <w:b/>
          <w:bCs/>
          <w:color w:val="000000" w:themeColor="text1"/>
        </w:rPr>
        <w:t>11.49.1</w:t>
      </w:r>
      <w:r w:rsidRPr="00743259">
        <w:rPr>
          <w:color w:val="000000" w:themeColor="text1"/>
        </w:rPr>
        <w:t xml:space="preserve"> ou </w:t>
      </w:r>
      <w:r w:rsidRPr="00743259">
        <w:rPr>
          <w:b/>
          <w:bCs/>
          <w:color w:val="000000" w:themeColor="text1"/>
        </w:rPr>
        <w:t>11.49.2</w:t>
      </w:r>
      <w:r w:rsidRPr="00743259">
        <w:rPr>
          <w:color w:val="000000" w:themeColor="text1"/>
        </w:rPr>
        <w:t>,</w:t>
      </w:r>
      <w:r w:rsidRPr="00743259">
        <w:t xml:space="preserve"> </w:t>
      </w:r>
      <w:r w:rsidRPr="00743259">
        <w:rPr>
          <w:color w:val="000000" w:themeColor="text1"/>
        </w:rPr>
        <w:t>selon le cas</w:t>
      </w:r>
      <w:r w:rsidRPr="00743259">
        <w:t>.</w:t>
      </w:r>
      <w:r w:rsidRPr="00743259">
        <w:rPr>
          <w:rStyle w:val="apple-converted-space"/>
          <w:rFonts w:eastAsiaTheme="majorEastAsia"/>
          <w:sz w:val="16"/>
          <w:szCs w:val="16"/>
        </w:rPr>
        <w:t>     (CMR-23)</w:t>
      </w:r>
    </w:p>
    <w:p w14:paraId="4CEABA5C" w14:textId="6B12BEAA" w:rsidR="0087535A" w:rsidRDefault="0087535A">
      <w:pPr>
        <w:pStyle w:val="Reasons"/>
      </w:pPr>
    </w:p>
    <w:p w14:paraId="63FC31E4" w14:textId="77777777" w:rsidR="00400618" w:rsidRPr="001B0CB1" w:rsidRDefault="00400618" w:rsidP="003248FA">
      <w:pPr>
        <w:pStyle w:val="AppendixNo"/>
      </w:pPr>
      <w:bookmarkStart w:id="25" w:name="_Hlk42600528"/>
      <w:bookmarkStart w:id="26" w:name="_Toc46345851"/>
      <w:r w:rsidRPr="001B0CB1">
        <w:lastRenderedPageBreak/>
        <w:t xml:space="preserve">APPENDICE </w:t>
      </w:r>
      <w:r w:rsidRPr="003248FA">
        <w:rPr>
          <w:rStyle w:val="href"/>
        </w:rPr>
        <w:t>30</w:t>
      </w:r>
      <w:bookmarkEnd w:id="25"/>
      <w:r w:rsidRPr="001B0CB1">
        <w:t xml:space="preserve"> (R</w:t>
      </w:r>
      <w:r w:rsidRPr="001B0CB1">
        <w:rPr>
          <w:caps w:val="0"/>
        </w:rPr>
        <w:t>ÉV</w:t>
      </w:r>
      <w:r w:rsidRPr="001B0CB1">
        <w:t>.CMR</w:t>
      </w:r>
      <w:r w:rsidRPr="001B0CB1">
        <w:noBreakHyphen/>
        <w:t>19)</w:t>
      </w:r>
      <w:r w:rsidRPr="001B0CB1">
        <w:rPr>
          <w:rStyle w:val="FootnoteReference"/>
        </w:rPr>
        <w:footnoteReference w:customMarkFollows="1" w:id="1"/>
        <w:t>*</w:t>
      </w:r>
      <w:bookmarkEnd w:id="26"/>
    </w:p>
    <w:p w14:paraId="5D12D9D5" w14:textId="77777777" w:rsidR="00400618" w:rsidRPr="001B0CB1" w:rsidRDefault="00400618" w:rsidP="009F1174">
      <w:pPr>
        <w:pStyle w:val="Appendixtitle"/>
        <w:rPr>
          <w:rFonts w:asciiTheme="majorBidi" w:hAnsiTheme="majorBidi"/>
        </w:rPr>
      </w:pPr>
      <w:bookmarkStart w:id="27" w:name="_Toc459986341"/>
      <w:bookmarkStart w:id="28" w:name="_Toc459987791"/>
      <w:bookmarkStart w:id="29" w:name="_Toc46345852"/>
      <w:r w:rsidRPr="001B0CB1">
        <w:t>Dispositions applicables à tous les services et Plans et Liste</w:t>
      </w:r>
      <w:r w:rsidRPr="001B0CB1">
        <w:rPr>
          <w:rStyle w:val="FootnoteReference"/>
          <w:rFonts w:ascii="Times New Roman" w:hAnsi="Times New Roman"/>
          <w:b w:val="0"/>
          <w:bCs/>
          <w:color w:val="000000"/>
        </w:rPr>
        <w:footnoteReference w:customMarkFollows="1" w:id="2"/>
        <w:t>1</w:t>
      </w:r>
      <w:r w:rsidRPr="001B0CB1">
        <w:t xml:space="preserve"> associés</w:t>
      </w:r>
      <w:r w:rsidRPr="001B0CB1">
        <w:br/>
        <w:t>concernant le service de radiodiffusion par satellite dans les</w:t>
      </w:r>
      <w:r w:rsidRPr="001B0CB1">
        <w:br/>
        <w:t>bandes 11,7-12,2 GHz (dans la Région 3), 11,7-12,5 GHz</w:t>
      </w:r>
      <w:r w:rsidRPr="001B0CB1">
        <w:br/>
        <w:t>(dans la Région 1) et 12,2-12,7 GHz (dans la Région 2)</w:t>
      </w:r>
      <w:r w:rsidRPr="001B0CB1">
        <w:rPr>
          <w:b w:val="0"/>
          <w:sz w:val="16"/>
        </w:rPr>
        <w:t>     </w:t>
      </w:r>
      <w:r w:rsidRPr="001B0CB1">
        <w:rPr>
          <w:rFonts w:asciiTheme="majorBidi" w:hAnsiTheme="majorBidi"/>
          <w:b w:val="0"/>
          <w:sz w:val="16"/>
        </w:rPr>
        <w:t>(CMR</w:t>
      </w:r>
      <w:r w:rsidRPr="001B0CB1">
        <w:rPr>
          <w:rFonts w:asciiTheme="majorBidi" w:hAnsiTheme="majorBidi"/>
          <w:b w:val="0"/>
          <w:sz w:val="16"/>
        </w:rPr>
        <w:noBreakHyphen/>
        <w:t>03)</w:t>
      </w:r>
      <w:bookmarkEnd w:id="27"/>
      <w:bookmarkEnd w:id="28"/>
      <w:bookmarkEnd w:id="29"/>
    </w:p>
    <w:p w14:paraId="373BB0B3" w14:textId="77777777" w:rsidR="00400618" w:rsidRPr="001B0CB1" w:rsidRDefault="00400618" w:rsidP="009F30F5">
      <w:pPr>
        <w:pStyle w:val="AppArtNo"/>
      </w:pPr>
      <w:r w:rsidRPr="001B0CB1">
        <w:t>            ARTICLE 5</w:t>
      </w:r>
      <w:r w:rsidRPr="001B0CB1">
        <w:rPr>
          <w:sz w:val="16"/>
          <w:szCs w:val="16"/>
        </w:rPr>
        <w:t>     </w:t>
      </w:r>
      <w:r w:rsidRPr="001B0CB1">
        <w:rPr>
          <w:bCs/>
          <w:sz w:val="16"/>
          <w:szCs w:val="16"/>
        </w:rPr>
        <w:t>(RÉV.CMR</w:t>
      </w:r>
      <w:r w:rsidRPr="001B0CB1">
        <w:rPr>
          <w:bCs/>
          <w:sz w:val="16"/>
          <w:szCs w:val="16"/>
        </w:rPr>
        <w:noBreakHyphen/>
        <w:t>19)</w:t>
      </w:r>
    </w:p>
    <w:p w14:paraId="07F68139" w14:textId="77777777" w:rsidR="00400618" w:rsidRPr="001B0CB1" w:rsidRDefault="00400618" w:rsidP="009F1174">
      <w:pPr>
        <w:pStyle w:val="AppArttitle"/>
        <w:rPr>
          <w:lang w:val="fr-FR"/>
        </w:rPr>
      </w:pPr>
      <w:bookmarkStart w:id="30" w:name="_Toc459986347"/>
      <w:r w:rsidRPr="001B0CB1">
        <w:rPr>
          <w:lang w:val="fr-FR"/>
        </w:rPr>
        <w:t>Notification, examen et inscription dans le Fichier de référence international</w:t>
      </w:r>
      <w:r w:rsidRPr="001B0CB1">
        <w:rPr>
          <w:lang w:val="fr-FR"/>
        </w:rPr>
        <w:br/>
        <w:t>des fréquences d'assignations de fréquence aux stations spatiales</w:t>
      </w:r>
      <w:r w:rsidRPr="001B0CB1">
        <w:rPr>
          <w:lang w:val="fr-FR"/>
        </w:rPr>
        <w:br/>
        <w:t>du service de radiodiffusion par satellite</w:t>
      </w:r>
      <w:r w:rsidRPr="001B0CB1">
        <w:rPr>
          <w:rStyle w:val="FootnoteReference"/>
          <w:b w:val="0"/>
          <w:bCs/>
          <w:color w:val="000000"/>
          <w:lang w:val="fr-FR"/>
        </w:rPr>
        <w:footnoteReference w:customMarkFollows="1" w:id="3"/>
        <w:t>18</w:t>
      </w:r>
      <w:r w:rsidRPr="001B0CB1">
        <w:rPr>
          <w:b w:val="0"/>
          <w:sz w:val="16"/>
          <w:szCs w:val="16"/>
          <w:lang w:val="fr-FR"/>
        </w:rPr>
        <w:t>     (CMR</w:t>
      </w:r>
      <w:r w:rsidRPr="001B0CB1">
        <w:rPr>
          <w:b w:val="0"/>
          <w:sz w:val="16"/>
          <w:szCs w:val="16"/>
          <w:lang w:val="fr-FR"/>
        </w:rPr>
        <w:noBreakHyphen/>
        <w:t>07)</w:t>
      </w:r>
      <w:bookmarkEnd w:id="30"/>
    </w:p>
    <w:p w14:paraId="16C8120B" w14:textId="77777777" w:rsidR="00400618" w:rsidRPr="001B0CB1" w:rsidRDefault="00400618" w:rsidP="009F1174">
      <w:pPr>
        <w:pStyle w:val="Heading2"/>
      </w:pPr>
      <w:r w:rsidRPr="001B0CB1">
        <w:t>5.2</w:t>
      </w:r>
      <w:r w:rsidRPr="001B0CB1">
        <w:tab/>
        <w:t>Examen et inscription</w:t>
      </w:r>
    </w:p>
    <w:p w14:paraId="1468FB87" w14:textId="49297C83" w:rsidR="0087535A" w:rsidRDefault="00400618">
      <w:pPr>
        <w:pStyle w:val="Proposal"/>
      </w:pPr>
      <w:r>
        <w:t>MOD</w:t>
      </w:r>
      <w:r>
        <w:tab/>
        <w:t>RCC/85A22A6/6</w:t>
      </w:r>
    </w:p>
    <w:p w14:paraId="3E4053A1" w14:textId="5558C9E4" w:rsidR="001C5975" w:rsidRDefault="001C5975" w:rsidP="001C5975">
      <w:r w:rsidRPr="001C5975">
        <w:rPr>
          <w:rStyle w:val="Provsplit"/>
        </w:rPr>
        <w:t>5.2.10</w:t>
      </w:r>
      <w:r>
        <w:tab/>
      </w:r>
      <w:r w:rsidRPr="001B0CB1">
        <w:t xml:space="preserve">Chaque fois que l'utilisation d'une assignation de fréquence à une station spatiale inscrite dans le Fichier de référence et provenant de la Liste pour les Régions 1 et 3 est suspendue 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w:t>
      </w:r>
      <w:r w:rsidRPr="001B0CB1">
        <w:lastRenderedPageBreak/>
        <w:t>est remise en service</w:t>
      </w:r>
      <w:r w:rsidRPr="001B0CB1">
        <w:rPr>
          <w:rStyle w:val="FootnoteReference"/>
          <w:iCs/>
        </w:rPr>
        <w:footnoteReference w:customMarkFollows="1" w:id="4"/>
        <w:t>20</w:t>
      </w:r>
      <w:r w:rsidRPr="001B0CB1">
        <w:rPr>
          <w:rStyle w:val="FootnoteReference"/>
          <w:i/>
          <w:iCs/>
        </w:rPr>
        <w:t>bis</w:t>
      </w:r>
      <w:ins w:id="31" w:author="French" w:date="2023-11-16T18:30:00Z">
        <w:r w:rsidR="007059FC" w:rsidRPr="007059FC">
          <w:rPr>
            <w:rStyle w:val="FootnoteReference"/>
            <w:rPrChange w:id="32" w:author="French" w:date="2023-11-16T18:31:00Z">
              <w:rPr>
                <w:i/>
                <w:iCs/>
              </w:rPr>
            </w:rPrChange>
          </w:rPr>
          <w:t xml:space="preserve">, </w:t>
        </w:r>
        <w:r w:rsidR="007059FC">
          <w:rPr>
            <w:rStyle w:val="FootnoteReference"/>
            <w:i/>
            <w:iCs/>
          </w:rPr>
          <w:footnoteReference w:customMarkFollows="1" w:id="5"/>
          <w:t>20ter</w:t>
        </w:r>
      </w:ins>
      <w:r w:rsidR="00CC2ED3">
        <w:rPr>
          <w:i/>
          <w:iCs/>
        </w:rPr>
        <w:t xml:space="preserve"> </w:t>
      </w:r>
      <w:r w:rsidRPr="001B0CB1">
        <w:t xml:space="preserve">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1B0CB1">
        <w:rPr>
          <w:lang w:eastAsia="ko-KR"/>
        </w:rPr>
        <w:t>Si l'administration notificatrice informe le Bureau de la suspension plus de 21 mois après la date à laquelle l'utilisation de l'assignation de fréquence a été suspendue, l'assignation de fréquence est annulée.</w:t>
      </w:r>
      <w:r w:rsidRPr="001B0CB1">
        <w:rPr>
          <w:sz w:val="16"/>
          <w:szCs w:val="16"/>
        </w:rPr>
        <w:t>     (CMR</w:t>
      </w:r>
      <w:r w:rsidRPr="001B0CB1">
        <w:rPr>
          <w:sz w:val="16"/>
          <w:szCs w:val="16"/>
        </w:rPr>
        <w:noBreakHyphen/>
      </w:r>
      <w:del w:id="37" w:author="French" w:date="2023-11-16T18:29:00Z">
        <w:r w:rsidRPr="001B0CB1" w:rsidDel="001C5975">
          <w:rPr>
            <w:sz w:val="16"/>
            <w:szCs w:val="16"/>
          </w:rPr>
          <w:delText>19</w:delText>
        </w:r>
      </w:del>
      <w:ins w:id="38" w:author="French" w:date="2023-11-16T18:29:00Z">
        <w:r>
          <w:rPr>
            <w:sz w:val="16"/>
            <w:szCs w:val="16"/>
          </w:rPr>
          <w:t>23</w:t>
        </w:r>
      </w:ins>
      <w:r w:rsidRPr="001B0CB1">
        <w:rPr>
          <w:sz w:val="16"/>
          <w:szCs w:val="16"/>
        </w:rPr>
        <w:t>)</w:t>
      </w:r>
    </w:p>
    <w:p w14:paraId="26B142C8" w14:textId="579A9810" w:rsidR="0087535A" w:rsidRDefault="0087535A">
      <w:pPr>
        <w:pStyle w:val="Reasons"/>
      </w:pPr>
    </w:p>
    <w:p w14:paraId="795BC60C" w14:textId="77777777" w:rsidR="00400618" w:rsidRPr="00400618" w:rsidRDefault="00400618" w:rsidP="00400618">
      <w:pPr>
        <w:pStyle w:val="AppendixNo"/>
      </w:pPr>
      <w:bookmarkStart w:id="39" w:name="_Toc46345861"/>
      <w:r w:rsidRPr="00400618">
        <w:lastRenderedPageBreak/>
        <w:t xml:space="preserve">APPENDICE </w:t>
      </w:r>
      <w:r w:rsidRPr="00400618">
        <w:rPr>
          <w:rStyle w:val="href"/>
        </w:rPr>
        <w:t>30A </w:t>
      </w:r>
      <w:r w:rsidRPr="00400618">
        <w:t>(RÉV.CMR-19)</w:t>
      </w:r>
      <w:r w:rsidRPr="00A93BAD">
        <w:rPr>
          <w:rStyle w:val="FootnoteReference"/>
          <w:position w:val="0"/>
          <w:sz w:val="28"/>
          <w:vertAlign w:val="superscript"/>
        </w:rPr>
        <w:footnoteReference w:customMarkFollows="1" w:id="6"/>
        <w:t>*</w:t>
      </w:r>
      <w:bookmarkEnd w:id="39"/>
    </w:p>
    <w:p w14:paraId="50C9C0EE" w14:textId="77777777" w:rsidR="00400618" w:rsidRPr="001B0CB1" w:rsidRDefault="00400618" w:rsidP="003248FA">
      <w:pPr>
        <w:pStyle w:val="Appendixtitle"/>
        <w:rPr>
          <w:b w:val="0"/>
          <w:sz w:val="16"/>
        </w:rPr>
      </w:pPr>
      <w:bookmarkStart w:id="40" w:name="_Toc459986364"/>
      <w:bookmarkStart w:id="41" w:name="_Toc459987807"/>
      <w:bookmarkStart w:id="42" w:name="_Toc46345862"/>
      <w:r w:rsidRPr="001B0CB1">
        <w:t xml:space="preserve">Dispositions et </w:t>
      </w:r>
      <w:r w:rsidRPr="003248FA">
        <w:t>Plans</w:t>
      </w:r>
      <w:r w:rsidRPr="001B0CB1">
        <w:t xml:space="preserve"> et Liste</w:t>
      </w:r>
      <w:r w:rsidRPr="001B0CB1">
        <w:rPr>
          <w:rFonts w:ascii="Times New Roman" w:hAnsi="Times New Roman"/>
          <w:b w:val="0"/>
          <w:bCs/>
          <w:vertAlign w:val="superscript"/>
        </w:rPr>
        <w:footnoteReference w:customMarkFollows="1" w:id="7"/>
        <w:t>1</w:t>
      </w:r>
      <w:r w:rsidRPr="001B0CB1">
        <w:t xml:space="preserve"> des liaisons de connexion associés du </w:t>
      </w:r>
      <w:r w:rsidRPr="001B0CB1">
        <w:br/>
        <w:t xml:space="preserve">service de radiodiffusion par satellite (11,7-12,5 GHz en Région 1, </w:t>
      </w:r>
      <w:r w:rsidRPr="001B0CB1">
        <w:br/>
        <w:t xml:space="preserve">12,2-12,7 GHz en Région 2 et 11,7-12,2 GHz en Région 3) dans </w:t>
      </w:r>
      <w:r w:rsidRPr="001B0CB1">
        <w:br/>
        <w:t>les bandes 14,5-14,8 GHz</w:t>
      </w:r>
      <w:r w:rsidRPr="001B0CB1">
        <w:rPr>
          <w:rStyle w:val="FootnoteReference"/>
          <w:rFonts w:ascii="Times New Roman" w:hAnsi="Times New Roman"/>
          <w:b w:val="0"/>
          <w:bCs/>
          <w:color w:val="000000"/>
        </w:rPr>
        <w:footnoteReference w:customMarkFollows="1" w:id="8"/>
        <w:t>2</w:t>
      </w:r>
      <w:r w:rsidRPr="001B0CB1">
        <w:t xml:space="preserve"> et 17,3-18,1 GHz en Régions 1 </w:t>
      </w:r>
      <w:r w:rsidRPr="001B0CB1">
        <w:br/>
        <w:t>et 3 et 17,3-17,8 GHz en Région 2</w:t>
      </w:r>
      <w:r w:rsidRPr="001B0CB1">
        <w:rPr>
          <w:rFonts w:ascii="Times New Roman"/>
          <w:b w:val="0"/>
          <w:sz w:val="16"/>
        </w:rPr>
        <w:t>     </w:t>
      </w:r>
      <w:r w:rsidRPr="001B0CB1">
        <w:rPr>
          <w:rFonts w:ascii="Times New Roman"/>
          <w:b w:val="0"/>
          <w:sz w:val="16"/>
        </w:rPr>
        <w:t>(CMR</w:t>
      </w:r>
      <w:r w:rsidRPr="001B0CB1">
        <w:rPr>
          <w:rFonts w:ascii="Times New Roman"/>
          <w:b w:val="0"/>
          <w:sz w:val="16"/>
        </w:rPr>
        <w:noBreakHyphen/>
        <w:t>03)</w:t>
      </w:r>
      <w:bookmarkEnd w:id="40"/>
      <w:bookmarkEnd w:id="41"/>
      <w:bookmarkEnd w:id="42"/>
    </w:p>
    <w:p w14:paraId="66FB4CFD" w14:textId="77777777" w:rsidR="00400618" w:rsidRPr="001B0CB1" w:rsidRDefault="00400618" w:rsidP="009F1174">
      <w:pPr>
        <w:pStyle w:val="AppArtNo"/>
        <w:keepNext w:val="0"/>
        <w:keepLines w:val="0"/>
        <w:tabs>
          <w:tab w:val="clear" w:pos="1134"/>
          <w:tab w:val="clear" w:pos="1871"/>
          <w:tab w:val="clear" w:pos="2268"/>
          <w:tab w:val="left" w:pos="1276"/>
        </w:tabs>
        <w:rPr>
          <w:sz w:val="16"/>
          <w:szCs w:val="16"/>
        </w:rPr>
      </w:pPr>
      <w:r w:rsidRPr="001B0CB1">
        <w:t>              ARTICLE 5</w:t>
      </w:r>
      <w:r w:rsidRPr="001B0CB1">
        <w:rPr>
          <w:sz w:val="16"/>
          <w:szCs w:val="16"/>
        </w:rPr>
        <w:t>     (</w:t>
      </w:r>
      <w:r w:rsidRPr="001B0CB1">
        <w:rPr>
          <w:caps w:val="0"/>
          <w:sz w:val="16"/>
          <w:szCs w:val="16"/>
        </w:rPr>
        <w:t>RÉV</w:t>
      </w:r>
      <w:r w:rsidRPr="001B0CB1">
        <w:rPr>
          <w:sz w:val="16"/>
          <w:szCs w:val="16"/>
        </w:rPr>
        <w:t>.CMR</w:t>
      </w:r>
      <w:r w:rsidRPr="001B0CB1">
        <w:rPr>
          <w:sz w:val="16"/>
          <w:szCs w:val="16"/>
        </w:rPr>
        <w:noBreakHyphen/>
        <w:t>19)</w:t>
      </w:r>
    </w:p>
    <w:p w14:paraId="51C580A4" w14:textId="77777777" w:rsidR="00400618" w:rsidRPr="001B0CB1" w:rsidRDefault="00400618" w:rsidP="009F1174">
      <w:pPr>
        <w:pStyle w:val="AppArttitle"/>
        <w:keepNext w:val="0"/>
        <w:keepLines w:val="0"/>
        <w:rPr>
          <w:bCs/>
          <w:sz w:val="16"/>
          <w:lang w:val="fr-FR"/>
        </w:rPr>
      </w:pPr>
      <w:r w:rsidRPr="001B0CB1">
        <w:rPr>
          <w:lang w:val="fr-FR"/>
        </w:rPr>
        <w:t>Coordination, notification, examen et inscription dans le Fichier de référence</w:t>
      </w:r>
      <w:r w:rsidRPr="001B0CB1">
        <w:rPr>
          <w:lang w:val="fr-FR"/>
        </w:rPr>
        <w:br/>
        <w:t>international des fréquences d'assignations de fréquence à des stations</w:t>
      </w:r>
      <w:r w:rsidRPr="001B0CB1">
        <w:rPr>
          <w:lang w:val="fr-FR"/>
        </w:rPr>
        <w:br/>
        <w:t>terriennes d'émission et des stations spatiales de réception des</w:t>
      </w:r>
      <w:r w:rsidRPr="001B0CB1">
        <w:rPr>
          <w:lang w:val="fr-FR"/>
        </w:rPr>
        <w:br/>
        <w:t>liaisons de connexion dans le service fixe par satellite</w:t>
      </w:r>
      <w:r w:rsidRPr="001B0CB1">
        <w:rPr>
          <w:rStyle w:val="FootnoteReference"/>
          <w:b w:val="0"/>
          <w:bCs/>
          <w:color w:val="000000"/>
          <w:lang w:val="fr-FR"/>
        </w:rPr>
        <w:footnoteReference w:customMarkFollows="1" w:id="9"/>
        <w:t>21</w:t>
      </w:r>
      <w:r w:rsidRPr="001B0CB1">
        <w:rPr>
          <w:rStyle w:val="FootnoteReference"/>
          <w:b w:val="0"/>
          <w:bCs/>
          <w:lang w:val="fr-FR"/>
        </w:rPr>
        <w:t xml:space="preserve">, </w:t>
      </w:r>
      <w:r w:rsidRPr="001B0CB1">
        <w:rPr>
          <w:rStyle w:val="FootnoteReference"/>
          <w:b w:val="0"/>
          <w:bCs/>
          <w:lang w:val="fr-FR"/>
        </w:rPr>
        <w:footnoteReference w:customMarkFollows="1" w:id="10"/>
        <w:t>22</w:t>
      </w:r>
      <w:r w:rsidRPr="001B0CB1">
        <w:rPr>
          <w:bCs/>
          <w:sz w:val="16"/>
          <w:lang w:val="fr-FR"/>
        </w:rPr>
        <w:t>     (</w:t>
      </w:r>
      <w:r w:rsidRPr="001B0CB1">
        <w:rPr>
          <w:b w:val="0"/>
          <w:sz w:val="16"/>
          <w:lang w:val="fr-FR"/>
        </w:rPr>
        <w:t>CMR</w:t>
      </w:r>
      <w:r w:rsidRPr="001B0CB1">
        <w:rPr>
          <w:b w:val="0"/>
          <w:sz w:val="16"/>
          <w:lang w:val="fr-FR"/>
        </w:rPr>
        <w:noBreakHyphen/>
        <w:t>19)</w:t>
      </w:r>
    </w:p>
    <w:p w14:paraId="20E501A6" w14:textId="77777777" w:rsidR="00400618" w:rsidRPr="001B0CB1" w:rsidRDefault="00400618" w:rsidP="009F1174">
      <w:pPr>
        <w:pStyle w:val="Heading2"/>
      </w:pPr>
      <w:r w:rsidRPr="001B0CB1">
        <w:t>5.2</w:t>
      </w:r>
      <w:r w:rsidRPr="001B0CB1">
        <w:tab/>
        <w:t>Examen et inscription</w:t>
      </w:r>
    </w:p>
    <w:p w14:paraId="0C7D10A1" w14:textId="2A23077D" w:rsidR="0087535A" w:rsidRDefault="00400618">
      <w:pPr>
        <w:pStyle w:val="Proposal"/>
      </w:pPr>
      <w:r>
        <w:t>MOD</w:t>
      </w:r>
      <w:r>
        <w:tab/>
        <w:t>RCC/85A22A6/7</w:t>
      </w:r>
    </w:p>
    <w:p w14:paraId="34F3A35E" w14:textId="77777777" w:rsidR="00400618" w:rsidRPr="00743259" w:rsidRDefault="00400618" w:rsidP="00F07F04">
      <w:pPr>
        <w:rPr>
          <w:bCs/>
          <w:sz w:val="16"/>
          <w:szCs w:val="16"/>
        </w:rPr>
      </w:pPr>
      <w:r w:rsidRPr="00743259">
        <w:rPr>
          <w:rStyle w:val="Provsplit"/>
        </w:rPr>
        <w:t>5.2.10</w:t>
      </w:r>
      <w:r w:rsidRPr="00743259">
        <w:rPr>
          <w:b/>
          <w:sz w:val="22"/>
        </w:rPr>
        <w:tab/>
      </w:r>
      <w:r w:rsidRPr="00743259">
        <w:t xml:space="preserve">Chaque fois que l'utilisation d'une assignation de fréquence à une station spatiale inscrite dans le Fichier de référence et provenant de la Liste pour les Régions 1 et 3 est suspendue </w:t>
      </w:r>
      <w:r w:rsidRPr="00743259">
        <w:lastRenderedPageBreak/>
        <w:t>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est remise en service</w:t>
      </w:r>
      <w:r w:rsidRPr="00743259">
        <w:rPr>
          <w:rStyle w:val="FootnoteReference"/>
        </w:rPr>
        <w:footnoteReference w:customMarkFollows="1" w:id="11"/>
        <w:t>24</w:t>
      </w:r>
      <w:r w:rsidRPr="00743259">
        <w:rPr>
          <w:rStyle w:val="FootnoteReference"/>
          <w:i/>
          <w:iCs/>
        </w:rPr>
        <w:t>bis</w:t>
      </w:r>
      <w:ins w:id="43" w:author="ITU" w:date="2022-09-20T17:50:00Z">
        <w:r w:rsidRPr="00743259">
          <w:rPr>
            <w:rStyle w:val="FootnoteReference"/>
            <w:rFonts w:eastAsiaTheme="minorHAnsi"/>
          </w:rPr>
          <w:t>,</w:t>
        </w:r>
      </w:ins>
      <w:ins w:id="44" w:author="Turnbull, Karen" w:date="2022-10-17T10:56:00Z">
        <w:r w:rsidRPr="00743259">
          <w:rPr>
            <w:rStyle w:val="FootnoteReference"/>
            <w:rFonts w:eastAsiaTheme="minorHAnsi"/>
          </w:rPr>
          <w:t> </w:t>
        </w:r>
      </w:ins>
      <w:ins w:id="45" w:author="ITU" w:date="2022-09-20T17:50:00Z">
        <w:r w:rsidRPr="00743259">
          <w:rPr>
            <w:rStyle w:val="FootnoteReference"/>
            <w:rFonts w:eastAsiaTheme="minorHAnsi"/>
          </w:rPr>
          <w:footnoteReference w:customMarkFollows="1" w:id="12"/>
          <w:t>24</w:t>
        </w:r>
        <w:r w:rsidRPr="00743259">
          <w:rPr>
            <w:rStyle w:val="FootnoteReference"/>
            <w:rFonts w:eastAsiaTheme="minorHAnsi"/>
            <w:i/>
            <w:iCs/>
          </w:rPr>
          <w:t>ter</w:t>
        </w:r>
      </w:ins>
      <w:r w:rsidRPr="00743259">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743259">
        <w:rPr>
          <w:lang w:eastAsia="ko-KR"/>
        </w:rPr>
        <w:t>Si l'administration notificatrice informe le Bureau de la suspension plus de 21 mois après la date à laquelle l'utilisation de l'assignation de fréquence a été suspendue, l'assignation de fréquence est annulée.</w:t>
      </w:r>
      <w:r w:rsidRPr="00743259">
        <w:rPr>
          <w:bCs/>
          <w:sz w:val="16"/>
          <w:szCs w:val="16"/>
        </w:rPr>
        <w:t>     (CMR</w:t>
      </w:r>
      <w:r w:rsidRPr="00743259">
        <w:rPr>
          <w:bCs/>
          <w:sz w:val="16"/>
          <w:szCs w:val="16"/>
        </w:rPr>
        <w:noBreakHyphen/>
      </w:r>
      <w:del w:id="47" w:author="French" w:date="2022-10-20T09:07:00Z">
        <w:r w:rsidRPr="00743259" w:rsidDel="007E75C9">
          <w:rPr>
            <w:bCs/>
            <w:sz w:val="16"/>
            <w:szCs w:val="16"/>
          </w:rPr>
          <w:delText>15</w:delText>
        </w:r>
      </w:del>
      <w:ins w:id="48" w:author="French" w:date="2022-10-20T09:07:00Z">
        <w:r w:rsidRPr="00743259">
          <w:rPr>
            <w:bCs/>
            <w:sz w:val="16"/>
            <w:szCs w:val="16"/>
          </w:rPr>
          <w:t>23</w:t>
        </w:r>
      </w:ins>
      <w:r w:rsidRPr="00743259">
        <w:rPr>
          <w:bCs/>
          <w:sz w:val="16"/>
          <w:szCs w:val="16"/>
        </w:rPr>
        <w:t>)</w:t>
      </w:r>
    </w:p>
    <w:p w14:paraId="01CF0D71" w14:textId="1CE31217" w:rsidR="0087535A" w:rsidRDefault="0087535A">
      <w:pPr>
        <w:pStyle w:val="Reasons"/>
      </w:pPr>
    </w:p>
    <w:p w14:paraId="7F4355AE" w14:textId="77777777" w:rsidR="00400618" w:rsidRPr="001B0CB1" w:rsidRDefault="00400618" w:rsidP="00FE41A8">
      <w:pPr>
        <w:pStyle w:val="AppendixNo"/>
      </w:pPr>
      <w:bookmarkStart w:id="49" w:name="_Toc459986382"/>
      <w:bookmarkStart w:id="50" w:name="_Toc459987816"/>
      <w:bookmarkStart w:id="51" w:name="_Toc46345867"/>
      <w:r w:rsidRPr="001B0CB1">
        <w:lastRenderedPageBreak/>
        <w:t xml:space="preserve">APPENDICE </w:t>
      </w:r>
      <w:r w:rsidRPr="001B0CB1">
        <w:rPr>
          <w:rStyle w:val="href"/>
        </w:rPr>
        <w:t>30B</w:t>
      </w:r>
      <w:r w:rsidRPr="001B0CB1">
        <w:t xml:space="preserve"> (R</w:t>
      </w:r>
      <w:r w:rsidRPr="001B0CB1">
        <w:rPr>
          <w:caps w:val="0"/>
        </w:rPr>
        <w:t>ÉV</w:t>
      </w:r>
      <w:r w:rsidRPr="001B0CB1">
        <w:t>.CMR-19)</w:t>
      </w:r>
      <w:bookmarkEnd w:id="49"/>
      <w:bookmarkEnd w:id="50"/>
      <w:bookmarkEnd w:id="51"/>
    </w:p>
    <w:p w14:paraId="553AE5CE" w14:textId="77777777" w:rsidR="00400618" w:rsidRPr="001B0CB1" w:rsidRDefault="00400618" w:rsidP="009F1174">
      <w:pPr>
        <w:pStyle w:val="Appendixtitle"/>
        <w:spacing w:before="120" w:after="120"/>
        <w:rPr>
          <w:color w:val="000000"/>
        </w:rPr>
      </w:pPr>
      <w:bookmarkStart w:id="52" w:name="_Toc459986383"/>
      <w:bookmarkStart w:id="53" w:name="_Toc459987817"/>
      <w:bookmarkStart w:id="54" w:name="_Toc46345868"/>
      <w:r w:rsidRPr="001B0CB1">
        <w:rPr>
          <w:color w:val="000000"/>
        </w:rPr>
        <w:t>Dispositions et Plan associé pour le service fixe par satellite</w:t>
      </w:r>
      <w:r w:rsidRPr="001B0CB1">
        <w:rPr>
          <w:color w:val="000000"/>
        </w:rPr>
        <w:br/>
        <w:t>dans les bandes 4</w:t>
      </w:r>
      <w:r w:rsidRPr="001B0CB1">
        <w:rPr>
          <w:rFonts w:ascii="Tms Rmn" w:hAnsi="Tms Rmn"/>
          <w:color w:val="000000"/>
          <w:sz w:val="12"/>
        </w:rPr>
        <w:t> </w:t>
      </w:r>
      <w:r w:rsidRPr="001B0CB1">
        <w:rPr>
          <w:color w:val="000000"/>
        </w:rPr>
        <w:t>500-4</w:t>
      </w:r>
      <w:r w:rsidRPr="001B0CB1">
        <w:rPr>
          <w:rFonts w:ascii="Tms Rmn" w:hAnsi="Tms Rmn"/>
          <w:color w:val="000000"/>
          <w:sz w:val="12"/>
        </w:rPr>
        <w:t> </w:t>
      </w:r>
      <w:r w:rsidRPr="001B0CB1">
        <w:rPr>
          <w:color w:val="000000"/>
        </w:rPr>
        <w:t>800 MHz, 6</w:t>
      </w:r>
      <w:r w:rsidRPr="001B0CB1">
        <w:rPr>
          <w:rFonts w:ascii="Tms Rmn" w:hAnsi="Tms Rmn"/>
          <w:color w:val="000000"/>
          <w:sz w:val="12"/>
        </w:rPr>
        <w:t> </w:t>
      </w:r>
      <w:r w:rsidRPr="001B0CB1">
        <w:rPr>
          <w:color w:val="000000"/>
        </w:rPr>
        <w:t>725-7</w:t>
      </w:r>
      <w:r w:rsidRPr="001B0CB1">
        <w:rPr>
          <w:rFonts w:ascii="Tms Rmn" w:hAnsi="Tms Rmn"/>
          <w:color w:val="000000"/>
          <w:sz w:val="12"/>
        </w:rPr>
        <w:t> </w:t>
      </w:r>
      <w:r w:rsidRPr="001B0CB1">
        <w:rPr>
          <w:color w:val="000000"/>
        </w:rPr>
        <w:t>025 MHz,</w:t>
      </w:r>
      <w:r w:rsidRPr="001B0CB1">
        <w:rPr>
          <w:color w:val="000000"/>
        </w:rPr>
        <w:br/>
        <w:t>10,70-10,95 GHz, 11,20-11,45 GHz et 12,75-13,25 GHz</w:t>
      </w:r>
      <w:bookmarkEnd w:id="52"/>
      <w:bookmarkEnd w:id="53"/>
      <w:bookmarkEnd w:id="54"/>
    </w:p>
    <w:p w14:paraId="4F8EE87A" w14:textId="77777777" w:rsidR="00400618" w:rsidRPr="001B0CB1" w:rsidRDefault="00400618" w:rsidP="009F1174">
      <w:pPr>
        <w:pStyle w:val="AppArtNo"/>
      </w:pPr>
      <w:r w:rsidRPr="001B0CB1">
        <w:t>                ARTICLE 8</w:t>
      </w:r>
      <w:r w:rsidRPr="001B0CB1">
        <w:rPr>
          <w:sz w:val="16"/>
          <w:szCs w:val="16"/>
        </w:rPr>
        <w:t>     (RÉV.CMR</w:t>
      </w:r>
      <w:r w:rsidRPr="001B0CB1">
        <w:rPr>
          <w:sz w:val="16"/>
          <w:szCs w:val="16"/>
        </w:rPr>
        <w:noBreakHyphen/>
        <w:t>19)</w:t>
      </w:r>
    </w:p>
    <w:p w14:paraId="38796597" w14:textId="77777777" w:rsidR="00400618" w:rsidRPr="001B0CB1" w:rsidRDefault="00400618" w:rsidP="009F1174">
      <w:pPr>
        <w:pStyle w:val="AppArttitle"/>
        <w:rPr>
          <w:b w:val="0"/>
          <w:bCs/>
          <w:sz w:val="16"/>
          <w:szCs w:val="16"/>
          <w:lang w:val="fr-FR"/>
        </w:rPr>
      </w:pPr>
      <w:r w:rsidRPr="001B0CB1">
        <w:rPr>
          <w:lang w:val="fr-FR"/>
        </w:rPr>
        <w:t xml:space="preserve">Procédure de notification et d'inscription dans le Fichier de </w:t>
      </w:r>
      <w:r w:rsidRPr="001B0CB1">
        <w:rPr>
          <w:lang w:val="fr-FR"/>
        </w:rPr>
        <w:br/>
        <w:t xml:space="preserve">référence des assignations dans les bandes planifiées </w:t>
      </w:r>
      <w:r w:rsidRPr="001B0CB1">
        <w:rPr>
          <w:lang w:val="fr-FR"/>
        </w:rPr>
        <w:br/>
        <w:t>du service fixe par satellite</w:t>
      </w:r>
      <w:r w:rsidRPr="001B0CB1">
        <w:rPr>
          <w:rStyle w:val="FootnoteReference"/>
          <w:b w:val="0"/>
          <w:bCs/>
          <w:lang w:val="fr-FR"/>
        </w:rPr>
        <w:footnoteReference w:customMarkFollows="1" w:id="13"/>
        <w:t xml:space="preserve">11, </w:t>
      </w:r>
      <w:r w:rsidRPr="001B0CB1">
        <w:rPr>
          <w:rStyle w:val="FootnoteReference"/>
          <w:b w:val="0"/>
          <w:szCs w:val="24"/>
          <w:shd w:val="clear" w:color="auto" w:fill="FFFFFF"/>
          <w:lang w:val="fr-FR"/>
        </w:rPr>
        <w:footnoteReference w:customMarkFollows="1" w:id="14"/>
        <w:t>12</w:t>
      </w:r>
      <w:r w:rsidRPr="001B0CB1">
        <w:rPr>
          <w:b w:val="0"/>
          <w:bCs/>
          <w:sz w:val="16"/>
          <w:szCs w:val="16"/>
          <w:lang w:val="fr-FR"/>
        </w:rPr>
        <w:t>     (CMR</w:t>
      </w:r>
      <w:r w:rsidRPr="001B0CB1">
        <w:rPr>
          <w:b w:val="0"/>
          <w:bCs/>
          <w:sz w:val="16"/>
          <w:szCs w:val="16"/>
          <w:lang w:val="fr-FR"/>
        </w:rPr>
        <w:noBreakHyphen/>
        <w:t>19)</w:t>
      </w:r>
    </w:p>
    <w:p w14:paraId="243B2075" w14:textId="4E39C15D" w:rsidR="0087535A" w:rsidRDefault="00400618">
      <w:pPr>
        <w:pStyle w:val="Proposal"/>
      </w:pPr>
      <w:r>
        <w:t>MOD</w:t>
      </w:r>
      <w:r>
        <w:tab/>
        <w:t>RCC/85A22A6/8</w:t>
      </w:r>
    </w:p>
    <w:p w14:paraId="0B58F0BD" w14:textId="77777777" w:rsidR="00400618" w:rsidRPr="00743259" w:rsidRDefault="00400618" w:rsidP="00756C3A">
      <w:pPr>
        <w:rPr>
          <w:sz w:val="16"/>
        </w:rPr>
      </w:pPr>
      <w:r w:rsidRPr="00743259">
        <w:rPr>
          <w:rStyle w:val="Provsplit"/>
        </w:rPr>
        <w:t>8.17</w:t>
      </w:r>
      <w:r w:rsidRPr="00743259">
        <w:tab/>
        <w:t xml:space="preserve">Chaque fois que l'utilisation d'une assignation de fréquence à une station spatiale inscrite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w:t>
      </w:r>
      <w:r w:rsidRPr="00743259">
        <w:rPr>
          <w:color w:val="000000"/>
        </w:rPr>
        <w:t xml:space="preserve">Lorsqu'il reçoit les renseignements envoyés au titre de la présente disposition, le Bureau les met à </w:t>
      </w:r>
      <w:r w:rsidRPr="00743259">
        <w:rPr>
          <w:color w:val="000000"/>
          <w:spacing w:val="-3"/>
        </w:rPr>
        <w:t>disposition dès que possible sur le site web de l</w:t>
      </w:r>
      <w:r w:rsidRPr="00743259">
        <w:rPr>
          <w:spacing w:val="-3"/>
        </w:rPr>
        <w:t>'</w:t>
      </w:r>
      <w:r w:rsidRPr="00743259">
        <w:rPr>
          <w:color w:val="000000"/>
          <w:spacing w:val="-3"/>
        </w:rPr>
        <w:t>UIT et les publie dans la BR IFIC.</w:t>
      </w:r>
      <w:r w:rsidRPr="00743259" w:rsidDel="00E74C78">
        <w:rPr>
          <w:spacing w:val="-3"/>
        </w:rPr>
        <w:t xml:space="preserve"> </w:t>
      </w:r>
      <w:r w:rsidRPr="00743259">
        <w:rPr>
          <w:color w:val="000000"/>
          <w:spacing w:val="-3"/>
        </w:rPr>
        <w:t>La date à laquelle</w:t>
      </w:r>
      <w:r w:rsidRPr="00743259">
        <w:rPr>
          <w:color w:val="000000"/>
        </w:rPr>
        <w:t xml:space="preserve"> l'assignation inscrite est remise en service</w:t>
      </w:r>
      <w:r w:rsidRPr="00743259">
        <w:rPr>
          <w:rStyle w:val="FootnoteReference"/>
          <w:color w:val="000000"/>
        </w:rPr>
        <w:footnoteReference w:customMarkFollows="1" w:id="15"/>
        <w:t>14</w:t>
      </w:r>
      <w:r w:rsidRPr="00743259">
        <w:rPr>
          <w:rStyle w:val="FootnoteReference"/>
          <w:i/>
          <w:iCs/>
          <w:color w:val="000000"/>
        </w:rPr>
        <w:t>ter</w:t>
      </w:r>
      <w:ins w:id="55" w:author="ITU" w:date="2022-09-20T17:51:00Z">
        <w:r w:rsidRPr="00743259">
          <w:rPr>
            <w:rStyle w:val="FootnoteReference"/>
            <w:rFonts w:eastAsia="Batang"/>
          </w:rPr>
          <w:t>,</w:t>
        </w:r>
      </w:ins>
      <w:ins w:id="56" w:author="Turnbull, Karen" w:date="2022-10-17T11:08:00Z">
        <w:r w:rsidRPr="00743259">
          <w:rPr>
            <w:rStyle w:val="FootnoteReference"/>
            <w:rFonts w:eastAsia="Batang"/>
          </w:rPr>
          <w:t> </w:t>
        </w:r>
      </w:ins>
      <w:ins w:id="57" w:author="Turnbull, Karen" w:date="2022-10-17T11:07:00Z">
        <w:r w:rsidRPr="00743259">
          <w:rPr>
            <w:rStyle w:val="FootnoteReference"/>
            <w:rFonts w:eastAsia="Batang"/>
          </w:rPr>
          <w:footnoteReference w:customMarkFollows="1" w:id="16"/>
          <w:t>14</w:t>
        </w:r>
        <w:r w:rsidRPr="00743259">
          <w:rPr>
            <w:rStyle w:val="FootnoteReference"/>
            <w:rFonts w:eastAsia="Batang"/>
            <w:i/>
            <w:iCs/>
          </w:rPr>
          <w:t>quater</w:t>
        </w:r>
      </w:ins>
      <w:r w:rsidRPr="00743259">
        <w:rPr>
          <w:color w:val="000000"/>
        </w:rPr>
        <w:t xml:space="preserve"> ne doit pas dépasser trois ans à compter de la </w:t>
      </w:r>
      <w:r w:rsidRPr="00743259">
        <w:rPr>
          <w:color w:val="000000"/>
        </w:rPr>
        <w:lastRenderedPageBreak/>
        <w:t>date à laquelle l'utilisation de l'assignation de fréquence a été suspendue,</w:t>
      </w:r>
      <w:r w:rsidRPr="00743259" w:rsidDel="00E74C78">
        <w:t xml:space="preserve"> </w:t>
      </w:r>
      <w:r w:rsidRPr="00743259">
        <w:rPr>
          <w:color w:val="000000"/>
        </w:rPr>
        <w:t>à condition que l'administration notificatrice informe le Bureau de la suspension dans un délai de six mois à compter de la date à laquelle l'utilisation a été suspendue.</w:t>
      </w:r>
      <w:r w:rsidRPr="00743259" w:rsidDel="00E74C78">
        <w:t xml:space="preserve"> </w:t>
      </w:r>
      <w:r w:rsidRPr="00743259">
        <w:rPr>
          <w:color w:val="000000"/>
        </w:rPr>
        <w:t>Si l'administration notificatrice informe le Bureau de la suspension plus de six mois après la date à laquelle l'utilisation de l'assignation de fréquence a été suspendue, cette période de trois ans est réduite.</w:t>
      </w:r>
      <w:r w:rsidRPr="00743259" w:rsidDel="00E74C78">
        <w:t xml:space="preserve"> </w:t>
      </w:r>
      <w:r w:rsidRPr="00743259">
        <w:t xml:space="preserve">En pareil </w:t>
      </w:r>
      <w:r w:rsidRPr="00743259">
        <w:rPr>
          <w:color w:val="000000"/>
        </w:rPr>
        <w:t>cas, la durée dont est réduite la période de trois ans est égale à la durée écoulée entre la fin de la période de six mois et la date à laquelle le Bureau est informé de la suspension.</w:t>
      </w:r>
      <w:r w:rsidRPr="00743259" w:rsidDel="00E74C78">
        <w:t xml:space="preserve"> </w:t>
      </w:r>
      <w:r w:rsidRPr="00743259">
        <w:rPr>
          <w:color w:val="000000"/>
        </w:rPr>
        <w:t xml:space="preserve">Si l'administration notificatrice informe le Bureau de la suspension plus de 21 mois après la date à laquelle l'utilisation de l'assignation de fréquence a été suspendue, l'assignation de fréquence est annulée </w:t>
      </w:r>
      <w:r w:rsidRPr="00743259">
        <w:t>du Fichier de référence et le Bureau applique les dispositions du § 6.33.</w:t>
      </w:r>
      <w:r w:rsidRPr="00743259">
        <w:rPr>
          <w:sz w:val="16"/>
        </w:rPr>
        <w:t>     (CMR</w:t>
      </w:r>
      <w:r w:rsidRPr="00743259">
        <w:rPr>
          <w:sz w:val="16"/>
        </w:rPr>
        <w:noBreakHyphen/>
      </w:r>
      <w:del w:id="62" w:author="French" w:date="2022-10-20T09:16:00Z">
        <w:r w:rsidRPr="00743259" w:rsidDel="00CC32F8">
          <w:rPr>
            <w:sz w:val="16"/>
          </w:rPr>
          <w:delText>19</w:delText>
        </w:r>
      </w:del>
      <w:ins w:id="63" w:author="French" w:date="2022-10-20T09:16:00Z">
        <w:r w:rsidRPr="00743259">
          <w:rPr>
            <w:sz w:val="16"/>
          </w:rPr>
          <w:t>23</w:t>
        </w:r>
      </w:ins>
      <w:r w:rsidRPr="00743259">
        <w:rPr>
          <w:sz w:val="16"/>
        </w:rPr>
        <w:t>)</w:t>
      </w:r>
    </w:p>
    <w:p w14:paraId="0AE9ACAF" w14:textId="77777777" w:rsidR="00400618" w:rsidRDefault="00400618" w:rsidP="00411C49">
      <w:pPr>
        <w:pStyle w:val="Reasons"/>
      </w:pPr>
    </w:p>
    <w:p w14:paraId="41927EA1" w14:textId="77777777" w:rsidR="00400618" w:rsidRDefault="00400618">
      <w:pPr>
        <w:jc w:val="center"/>
      </w:pPr>
      <w:r>
        <w:t>______________</w:t>
      </w:r>
    </w:p>
    <w:sectPr w:rsidR="0040061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E84F" w14:textId="77777777" w:rsidR="00CB685A" w:rsidRDefault="00CB685A">
      <w:r>
        <w:separator/>
      </w:r>
    </w:p>
  </w:endnote>
  <w:endnote w:type="continuationSeparator" w:id="0">
    <w:p w14:paraId="6CA803A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84C3" w14:textId="2971843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C2ED3">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DB77" w14:textId="2035D28C" w:rsidR="00400618" w:rsidRDefault="00113237" w:rsidP="00113237">
    <w:pPr>
      <w:pStyle w:val="Footer"/>
      <w:rPr>
        <w:lang w:val="en-US"/>
      </w:rPr>
    </w:pPr>
    <w:r w:rsidRPr="00113237">
      <w:rPr>
        <w:lang w:val="en-GB"/>
      </w:rPr>
      <w:fldChar w:fldCharType="begin"/>
    </w:r>
    <w:r w:rsidRPr="00113237">
      <w:rPr>
        <w:lang w:val="en-GB"/>
      </w:rPr>
      <w:instrText xml:space="preserve"> FILENAME \p  \* MERGEFORMAT </w:instrText>
    </w:r>
    <w:r w:rsidRPr="00113237">
      <w:rPr>
        <w:lang w:val="en-GB"/>
      </w:rPr>
      <w:fldChar w:fldCharType="separate"/>
    </w:r>
    <w:r>
      <w:rPr>
        <w:lang w:val="en-GB"/>
      </w:rPr>
      <w:t>P:\FRA\ITU-R\CONF-R\CMR23\000\085ADD22ADD06F.docx</w:t>
    </w:r>
    <w:r w:rsidRPr="00113237">
      <w:rPr>
        <w:lang w:val="en-GB"/>
      </w:rPr>
      <w:fldChar w:fldCharType="end"/>
    </w:r>
    <w:r w:rsidR="00400618" w:rsidRPr="00113237">
      <w:rPr>
        <w:lang w:val="en-GB"/>
      </w:rPr>
      <w:t xml:space="preserve"> (529898)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EEEA" w14:textId="3352650C" w:rsidR="00936D25" w:rsidRDefault="00113237" w:rsidP="00113237">
    <w:pPr>
      <w:pStyle w:val="Footer"/>
      <w:rPr>
        <w:lang w:val="en-US"/>
      </w:rPr>
    </w:pPr>
    <w:r w:rsidRPr="00113237">
      <w:rPr>
        <w:lang w:val="en-GB"/>
      </w:rPr>
      <w:fldChar w:fldCharType="begin"/>
    </w:r>
    <w:r w:rsidRPr="00113237">
      <w:rPr>
        <w:lang w:val="en-GB"/>
      </w:rPr>
      <w:instrText xml:space="preserve"> FILENAME \p  \* MERGEFORMAT </w:instrText>
    </w:r>
    <w:r w:rsidRPr="00113237">
      <w:rPr>
        <w:lang w:val="en-GB"/>
      </w:rPr>
      <w:fldChar w:fldCharType="separate"/>
    </w:r>
    <w:r>
      <w:rPr>
        <w:lang w:val="en-GB"/>
      </w:rPr>
      <w:t>P:\FRA\ITU-R\CONF-R\CMR23\000\085ADD22ADD06F.docx</w:t>
    </w:r>
    <w:r w:rsidRPr="00113237">
      <w:rPr>
        <w:lang w:val="en-GB"/>
      </w:rPr>
      <w:fldChar w:fldCharType="end"/>
    </w:r>
    <w:r w:rsidR="00400618" w:rsidRPr="00113237">
      <w:rPr>
        <w:lang w:val="en-GB"/>
      </w:rPr>
      <w:t xml:space="preserve"> (529898)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786F" w14:textId="77777777" w:rsidR="00CB685A" w:rsidRDefault="00CB685A">
      <w:r>
        <w:rPr>
          <w:b/>
        </w:rPr>
        <w:t>_______________</w:t>
      </w:r>
    </w:p>
  </w:footnote>
  <w:footnote w:type="continuationSeparator" w:id="0">
    <w:p w14:paraId="1128661B" w14:textId="77777777" w:rsidR="00CB685A" w:rsidRDefault="00CB685A">
      <w:r>
        <w:continuationSeparator/>
      </w:r>
    </w:p>
  </w:footnote>
  <w:footnote w:id="1">
    <w:p w14:paraId="3E48C792" w14:textId="77777777" w:rsidR="00400618" w:rsidRDefault="00400618" w:rsidP="009F1174">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rsidRPr="00C01159">
        <w:rPr>
          <w:sz w:val="16"/>
          <w:szCs w:val="16"/>
        </w:rPr>
        <w:t>     (CMR-2000)</w:t>
      </w:r>
    </w:p>
  </w:footnote>
  <w:footnote w:id="2">
    <w:p w14:paraId="091CFF5D" w14:textId="77777777" w:rsidR="00400618" w:rsidRDefault="00400618" w:rsidP="009F1174">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(CMR-03)</w:t>
      </w:r>
    </w:p>
    <w:p w14:paraId="387D45AA" w14:textId="77777777" w:rsidR="00400618" w:rsidRDefault="00400618" w:rsidP="009F1174">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38E64B0C" w14:textId="77777777" w:rsidR="00400618" w:rsidRDefault="00400618" w:rsidP="009F1174">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75D9DF5A" w14:textId="77777777" w:rsidR="00400618" w:rsidRDefault="00400618" w:rsidP="009F1174">
      <w:pPr>
        <w:pStyle w:val="FootnoteText"/>
        <w:rPr>
          <w:sz w:val="16"/>
          <w:lang w:val="fr-CH"/>
        </w:rPr>
      </w:pPr>
      <w:r>
        <w:rPr>
          <w:rStyle w:val="FootnoteReference"/>
        </w:rPr>
        <w:t>18</w:t>
      </w:r>
      <w:r>
        <w:tab/>
      </w:r>
      <w:r w:rsidRPr="00E50853">
        <w:rPr>
          <w:color w:val="000000"/>
          <w:lang w:val="fr-CH"/>
        </w:rPr>
        <w:t>S</w:t>
      </w:r>
      <w:r w:rsidRPr="00E50853">
        <w:rPr>
          <w:lang w:val="fr-CH"/>
        </w:rPr>
        <w:t xml:space="preserve">i les paiements ne sont pas reçus conformément aux dispositions de la Décision 482 du Conseil, telle qu'amendée, sur la mise en </w:t>
      </w:r>
      <w:r>
        <w:rPr>
          <w:lang w:val="fr-CH"/>
        </w:rPr>
        <w:t>œu</w:t>
      </w:r>
      <w:r w:rsidRPr="00E50853">
        <w:rPr>
          <w:lang w:val="fr-CH"/>
        </w:rPr>
        <w:t xml:space="preserve">vre du recouvrement des coûts pour le traitement des fiches de notification des réseaux à satellite, le Bureau annule la publication spécifiée au </w:t>
      </w:r>
      <w:r>
        <w:rPr>
          <w:lang w:val="fr-CH"/>
        </w:rPr>
        <w:t>§ </w:t>
      </w:r>
      <w:r w:rsidRPr="00E50853">
        <w:rPr>
          <w:lang w:val="fr-CH"/>
        </w:rPr>
        <w:t xml:space="preserve">5.1.6 et les inscriptions correspondantes figurant dans le Fichier de référence au titre des </w:t>
      </w:r>
      <w:r>
        <w:rPr>
          <w:lang w:val="fr-CH"/>
        </w:rPr>
        <w:t>§ </w:t>
      </w:r>
      <w:r w:rsidRPr="00E50853">
        <w:rPr>
          <w:lang w:val="fr-CH"/>
        </w:rPr>
        <w:t xml:space="preserve">5.2.2, 5.2.2.1, 5.2.2.2 </w:t>
      </w:r>
      <w:r>
        <w:rPr>
          <w:lang w:val="fr-CH"/>
        </w:rPr>
        <w:t>ou</w:t>
      </w:r>
      <w:r w:rsidRPr="00E50853">
        <w:rPr>
          <w:lang w:val="fr-CH"/>
        </w:rPr>
        <w:t xml:space="preserve"> 5.2.6, selon le cas, et </w:t>
      </w:r>
      <w:r w:rsidRPr="00892D55">
        <w:t>les</w:t>
      </w:r>
      <w:r w:rsidRPr="00E50853">
        <w:rPr>
          <w:lang w:val="fr-CH"/>
        </w:rPr>
        <w:t xml:space="preserve">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AC28E0">
        <w:rPr>
          <w:rStyle w:val="Artdef"/>
          <w:color w:val="000000"/>
          <w:lang w:val="fr-CH"/>
        </w:rPr>
        <w:t>.</w:t>
      </w:r>
      <w:r w:rsidRPr="00E50853">
        <w:rPr>
          <w:sz w:val="16"/>
          <w:lang w:val="fr-CH"/>
        </w:rPr>
        <w:t> </w:t>
      </w:r>
      <w:r w:rsidRPr="00E50853">
        <w:rPr>
          <w:lang w:val="fr-CH"/>
        </w:rPr>
        <w:t>Voir aussi la Résolution </w:t>
      </w:r>
      <w:r>
        <w:rPr>
          <w:b/>
          <w:bCs/>
          <w:lang w:val="fr-CH"/>
        </w:rPr>
        <w:t>905</w:t>
      </w:r>
      <w:r w:rsidRPr="00E50853">
        <w:rPr>
          <w:b/>
          <w:bCs/>
          <w:lang w:val="fr-CH"/>
        </w:rPr>
        <w:t xml:space="preserve"> (</w:t>
      </w:r>
      <w:r>
        <w:rPr>
          <w:b/>
          <w:bCs/>
          <w:lang w:val="fr-CH"/>
        </w:rPr>
        <w:t>CMR</w:t>
      </w:r>
      <w:r>
        <w:rPr>
          <w:b/>
          <w:bCs/>
          <w:lang w:val="fr-CH"/>
        </w:rPr>
        <w:noBreakHyphen/>
      </w:r>
      <w:r w:rsidRPr="00E50853">
        <w:rPr>
          <w:b/>
          <w:bCs/>
          <w:lang w:val="fr-CH"/>
        </w:rPr>
        <w:t>07)</w:t>
      </w:r>
      <w:r w:rsidRPr="00F657CD">
        <w:rPr>
          <w:rStyle w:val="FootnoteReference"/>
        </w:rPr>
        <w:t>*</w:t>
      </w:r>
      <w:r>
        <w:rPr>
          <w:sz w:val="16"/>
          <w:lang w:val="fr-CH"/>
        </w:rPr>
        <w:t>     </w:t>
      </w:r>
      <w:r w:rsidRPr="00E50853">
        <w:rPr>
          <w:sz w:val="16"/>
          <w:lang w:val="fr-CH"/>
        </w:rPr>
        <w:t>(</w:t>
      </w:r>
      <w:r>
        <w:rPr>
          <w:sz w:val="16"/>
          <w:lang w:val="fr-CH"/>
        </w:rPr>
        <w:t>CMR</w:t>
      </w:r>
      <w:r>
        <w:rPr>
          <w:sz w:val="16"/>
          <w:lang w:val="fr-CH"/>
        </w:rPr>
        <w:noBreakHyphen/>
      </w:r>
      <w:r w:rsidRPr="00E50853">
        <w:rPr>
          <w:sz w:val="16"/>
          <w:lang w:val="fr-CH"/>
        </w:rPr>
        <w:t>07)</w:t>
      </w:r>
    </w:p>
    <w:p w14:paraId="425A7149" w14:textId="77777777" w:rsidR="00400618" w:rsidRDefault="00400618" w:rsidP="009F1174">
      <w:pPr>
        <w:pStyle w:val="FootnoteText"/>
        <w:tabs>
          <w:tab w:val="left" w:pos="567"/>
        </w:tabs>
      </w:pPr>
      <w:r>
        <w:rPr>
          <w:lang w:val="fr-CH"/>
        </w:rPr>
        <w:tab/>
      </w:r>
      <w:r w:rsidRPr="00CB3867">
        <w:rPr>
          <w:rStyle w:val="FootnoteReference"/>
        </w:rPr>
        <w:t>*</w:t>
      </w:r>
      <w:r>
        <w:rPr>
          <w:lang w:val="fr-CH"/>
        </w:rPr>
        <w:tab/>
      </w:r>
      <w:r>
        <w:rPr>
          <w:i/>
          <w:iCs/>
        </w:rPr>
        <w:t>Note du Secrétariat</w:t>
      </w:r>
      <w:r w:rsidRPr="004F685F">
        <w:t>:</w:t>
      </w:r>
      <w:r>
        <w:t xml:space="preserve"> Cette </w:t>
      </w:r>
      <w:r w:rsidRPr="00F80034">
        <w:t>Résolution</w:t>
      </w:r>
      <w:r>
        <w:t xml:space="preserve"> a été abrogée par la CMR</w:t>
      </w:r>
      <w:r>
        <w:noBreakHyphen/>
        <w:t>12.</w:t>
      </w:r>
    </w:p>
  </w:footnote>
  <w:footnote w:id="4">
    <w:p w14:paraId="7F3C3F38" w14:textId="77777777" w:rsidR="001C5975" w:rsidRPr="00C8423A" w:rsidRDefault="001C5975" w:rsidP="001C5975">
      <w:pPr>
        <w:pStyle w:val="FootnoteText"/>
      </w:pPr>
      <w:r w:rsidRPr="00C8423A">
        <w:rPr>
          <w:rStyle w:val="FootnoteReference"/>
        </w:rPr>
        <w:t>20</w:t>
      </w:r>
      <w:r w:rsidRPr="00C8423A">
        <w:rPr>
          <w:rStyle w:val="FootnoteReference"/>
          <w:i/>
          <w:iCs/>
        </w:rPr>
        <w:t>bis</w:t>
      </w:r>
      <w:r w:rsidRPr="00C8423A">
        <w:t xml:space="preserve"> </w:t>
      </w:r>
      <w:r w:rsidRPr="00503E47">
        <w:t>La date de remise en service d'une assignation de fréquence à une station spatiale sur l'orbite des satellites géostationnaires est la date de début de la période de quatre</w:t>
      </w:r>
      <w:r w:rsidRPr="00503E47">
        <w:noBreakHyphen/>
        <w:t>vingt</w:t>
      </w:r>
      <w:r w:rsidRPr="00503E47">
        <w:noBreakHyphen/>
        <w:t>dix jours définie ci</w:t>
      </w:r>
      <w:r>
        <w:noBreakHyphen/>
      </w:r>
      <w:r w:rsidRPr="00503E47">
        <w:t xml:space="preserve">dessous. Une assignation de fréquence à une station spatiale sur l'orbite des satellites géostationnaires est considérée comme ayant été remise en service lorsqu'une station spatiale sur l'orbite des satellites géostationnaires ayant la </w:t>
      </w:r>
      <w:r w:rsidRPr="00C8423A">
        <w:t>capacité</w:t>
      </w:r>
      <w:r w:rsidRPr="00503E47">
        <w:t xml:space="preserve">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w:t>
      </w:r>
      <w:r w:rsidRPr="00C8423A">
        <w:t xml:space="preserve"> La </w:t>
      </w:r>
      <w:r w:rsidRPr="00503E47">
        <w:t xml:space="preserve">Résolution </w:t>
      </w:r>
      <w:r w:rsidRPr="00503E47">
        <w:rPr>
          <w:b/>
          <w:bCs/>
        </w:rPr>
        <w:t>40 (Rév.CMR-19)</w:t>
      </w:r>
      <w:r w:rsidRPr="00503E47">
        <w:t xml:space="preserve"> s'applique.</w:t>
      </w:r>
      <w:r w:rsidRPr="009D3491">
        <w:rPr>
          <w:bCs/>
          <w:sz w:val="16"/>
          <w:szCs w:val="16"/>
        </w:rPr>
        <w:t>     </w:t>
      </w:r>
      <w:r w:rsidRPr="00503E47">
        <w:rPr>
          <w:bCs/>
          <w:sz w:val="16"/>
          <w:szCs w:val="16"/>
        </w:rPr>
        <w:t>(CMR</w:t>
      </w:r>
      <w:r w:rsidRPr="00503E47">
        <w:rPr>
          <w:bCs/>
          <w:sz w:val="16"/>
          <w:szCs w:val="16"/>
        </w:rPr>
        <w:noBreakHyphen/>
        <w:t>19)</w:t>
      </w:r>
    </w:p>
  </w:footnote>
  <w:footnote w:id="5">
    <w:p w14:paraId="6854E3C8" w14:textId="7FA6A20B" w:rsidR="007059FC" w:rsidRPr="007059FC" w:rsidRDefault="007059FC">
      <w:pPr>
        <w:pStyle w:val="FootnoteText"/>
        <w:rPr>
          <w:lang w:val="fr-CH"/>
          <w:rPrChange w:id="33" w:author="French" w:date="2023-11-16T18:30:00Z">
            <w:rPr/>
          </w:rPrChange>
        </w:rPr>
      </w:pPr>
      <w:ins w:id="34" w:author="French" w:date="2023-11-16T18:30:00Z">
        <w:r>
          <w:rPr>
            <w:rStyle w:val="FootnoteReference"/>
          </w:rPr>
          <w:t>20</w:t>
        </w:r>
        <w:r w:rsidRPr="007059FC">
          <w:rPr>
            <w:rStyle w:val="FootnoteReference"/>
            <w:i/>
            <w:iCs/>
            <w:rPrChange w:id="35" w:author="French" w:date="2023-11-16T18:31:00Z">
              <w:rPr>
                <w:rStyle w:val="FootnoteReference"/>
              </w:rPr>
            </w:rPrChange>
          </w:rPr>
          <w:t>ter</w:t>
        </w:r>
        <w:r>
          <w:tab/>
        </w:r>
      </w:ins>
      <w:ins w:id="36" w:author="French" w:date="2023-11-16T18:31:00Z">
        <w:r w:rsidRPr="00FF3C9B">
          <w:rPr>
            <w:lang w:val="fr-CH"/>
          </w:rPr>
          <w:t xml:space="preserve">Si </w:t>
        </w:r>
        <w:r w:rsidRPr="003B28D0">
          <w:rPr>
            <w:lang w:val="fr-CH"/>
          </w:rPr>
          <w:t>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20</w:t>
        </w:r>
        <w:r w:rsidRPr="003B28D0">
          <w:rPr>
            <w:i/>
            <w:iCs/>
            <w:lang w:val="fr-CH"/>
          </w:rPr>
          <w:t>bis</w:t>
        </w:r>
        <w:r w:rsidRPr="003B28D0">
          <w:rPr>
            <w:color w:val="000000" w:themeColor="text1"/>
          </w:rPr>
          <w:t>,</w:t>
        </w:r>
        <w:r w:rsidRPr="003B28D0">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lang w:val="fr-CH"/>
          </w:rPr>
          <w:t>20</w:t>
        </w:r>
        <w:r w:rsidRPr="003B28D0">
          <w:rPr>
            <w:i/>
            <w:iCs/>
            <w:color w:val="000000" w:themeColor="text1"/>
            <w:lang w:val="fr-CH"/>
          </w:rPr>
          <w:t>bis</w:t>
        </w:r>
        <w:r w:rsidRPr="003B28D0">
          <w:t>.</w:t>
        </w:r>
        <w:r w:rsidRPr="003B28D0">
          <w:rPr>
            <w:rStyle w:val="apple-converted-space"/>
            <w:rFonts w:eastAsiaTheme="majorEastAsia"/>
            <w:sz w:val="16"/>
            <w:szCs w:val="16"/>
            <w:lang w:val="fr-CH"/>
          </w:rPr>
          <w:t>    (CMR-23)</w:t>
        </w:r>
      </w:ins>
    </w:p>
  </w:footnote>
  <w:footnote w:id="6">
    <w:p w14:paraId="054E538F" w14:textId="77777777" w:rsidR="00400618" w:rsidRDefault="00400618"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7">
    <w:p w14:paraId="28E83685" w14:textId="77777777" w:rsidR="00400618" w:rsidRDefault="00400618" w:rsidP="009F117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6F804E2D" w14:textId="77777777" w:rsidR="00400618" w:rsidRDefault="00400618"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8">
    <w:p w14:paraId="28440797" w14:textId="77777777" w:rsidR="00400618" w:rsidRDefault="00400618" w:rsidP="009F1174">
      <w:pPr>
        <w:pStyle w:val="FootnoteText"/>
      </w:pPr>
      <w:r>
        <w:rPr>
          <w:rStyle w:val="FootnoteReference"/>
          <w:color w:val="000000"/>
        </w:rPr>
        <w:t>2</w:t>
      </w:r>
      <w:r>
        <w:tab/>
        <w:t>Cette utilisation de la bande 14,5-14,8 GHz est réservée aux pays extérieurs à l'Europe.</w:t>
      </w:r>
    </w:p>
    <w:p w14:paraId="54E3ED6B" w14:textId="77777777" w:rsidR="00400618" w:rsidRDefault="00400618"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9">
    <w:p w14:paraId="4717F93D" w14:textId="77777777" w:rsidR="00400618" w:rsidRDefault="00400618" w:rsidP="00C033DD">
      <w:pPr>
        <w:pStyle w:val="FootnoteText"/>
      </w:pPr>
      <w:r>
        <w:rPr>
          <w:rStyle w:val="FootnoteReference"/>
        </w:rPr>
        <w:t>21</w:t>
      </w:r>
      <w:r>
        <w:tab/>
      </w:r>
      <w:r>
        <w:rPr>
          <w:lang w:val="fr-CH"/>
        </w:rPr>
        <w:t>Pour notifier des assignations à des stations terriennes émettrices de liaison de connexion figurant dans le Plan des liaisons de connexion de la Région 2 après le 2 juin 2000 ou dans la Liste des liaisons de connexion, après que l'Article </w:t>
      </w:r>
      <w:r>
        <w:rPr>
          <w:rStyle w:val="Artref"/>
          <w:bCs/>
          <w:color w:val="000000"/>
        </w:rPr>
        <w:t>4</w:t>
      </w:r>
      <w:r>
        <w:rPr>
          <w:lang w:val="fr-CH"/>
        </w:rPr>
        <w:t xml:space="preserve"> a été appliqué avec succès, il faut appliquer les dispositions de l'Article </w:t>
      </w:r>
      <w:r w:rsidRPr="005937CF">
        <w:rPr>
          <w:rStyle w:val="Artref"/>
          <w:b/>
          <w:color w:val="000000"/>
        </w:rPr>
        <w:t>11</w:t>
      </w:r>
      <w:r>
        <w:rPr>
          <w:lang w:val="fr-CH"/>
        </w:rPr>
        <w:t xml:space="preserve"> après que la procédure de l'Article </w:t>
      </w:r>
      <w:r w:rsidRPr="005937CF">
        <w:rPr>
          <w:rStyle w:val="Artref"/>
          <w:b/>
          <w:color w:val="000000"/>
        </w:rPr>
        <w:t>9</w:t>
      </w:r>
      <w:r>
        <w:rPr>
          <w:lang w:val="fr-CH"/>
        </w:rPr>
        <w:t xml:space="preserve"> a été menée à bien.</w:t>
      </w:r>
      <w:r>
        <w:rPr>
          <w:sz w:val="16"/>
        </w:rPr>
        <w:t>     (CMR-03)</w:t>
      </w:r>
    </w:p>
  </w:footnote>
  <w:footnote w:id="10">
    <w:p w14:paraId="7DC16B0E" w14:textId="77777777" w:rsidR="00400618" w:rsidRPr="00204469" w:rsidRDefault="00400618" w:rsidP="006D4DD5">
      <w:pPr>
        <w:pStyle w:val="FootnoteText"/>
        <w:tabs>
          <w:tab w:val="clear" w:pos="255"/>
          <w:tab w:val="left" w:pos="284"/>
        </w:tabs>
        <w:rPr>
          <w:sz w:val="16"/>
          <w:szCs w:val="16"/>
          <w:lang w:val="fr-CH"/>
        </w:rPr>
      </w:pPr>
      <w:r w:rsidRPr="002735C9">
        <w:rPr>
          <w:rStyle w:val="FootnoteReference"/>
        </w:rPr>
        <w:t>22</w:t>
      </w:r>
      <w:r w:rsidRPr="00EF54FA">
        <w:rPr>
          <w:rStyle w:val="FootnoteTextChar"/>
          <w:lang w:val="fr-CH"/>
        </w:rPr>
        <w:tab/>
      </w:r>
      <w:r w:rsidRPr="006D4DD5">
        <w:rPr>
          <w:rStyle w:val="MODRef"/>
          <w:b w:val="0"/>
          <w:color w:val="000000"/>
          <w:lang w:val="fr-CH"/>
        </w:rPr>
        <w:t>S</w:t>
      </w:r>
      <w:r w:rsidRPr="00EF54FA">
        <w:rPr>
          <w:lang w:val="fr-CH"/>
        </w:rPr>
        <w:t>i</w:t>
      </w:r>
      <w:r w:rsidRPr="002735C9">
        <w:rPr>
          <w:lang w:val="fr-CH"/>
        </w:rPr>
        <w:t xml:space="preserve"> les paiements ne sont pas reçus conformément aux dispositions de la Décision 482 du Conseil, telle qu'amendée, sur la mise en </w:t>
      </w:r>
      <w:r w:rsidRPr="00CB72E0">
        <w:t xml:space="preserve">œuvre </w:t>
      </w:r>
      <w:r w:rsidRPr="002735C9">
        <w:rPr>
          <w:lang w:val="fr-CH"/>
        </w:rPr>
        <w:t xml:space="preserve">du recouvrement des coûts pour le traitement des fiches de notification des réseaux à satellite, le Bureau annule la publication </w:t>
      </w:r>
      <w:r>
        <w:rPr>
          <w:lang w:val="fr-CH"/>
        </w:rPr>
        <w:t>visée</w:t>
      </w:r>
      <w:r w:rsidRPr="002735C9">
        <w:rPr>
          <w:lang w:val="fr-CH"/>
        </w:rPr>
        <w:t xml:space="preserve"> au § 5.1.10 et les inscriptions correspondantes figurant dans le Fichier de référence au titre </w:t>
      </w:r>
      <w:r>
        <w:rPr>
          <w:lang w:val="fr-CH"/>
        </w:rPr>
        <w:t>du</w:t>
      </w:r>
      <w:r w:rsidRPr="002735C9">
        <w:rPr>
          <w:lang w:val="fr-CH"/>
        </w:rPr>
        <w:t xml:space="preserve"> § 5.2.2, 5.2.2.1, 5.2.2.2 ou 5.2.6</w:t>
      </w:r>
      <w:r w:rsidRPr="002735C9">
        <w:rPr>
          <w:rStyle w:val="FootnoteTextChar"/>
          <w:lang w:val="fr-CH"/>
        </w:rPr>
        <w:t xml:space="preserve">, </w:t>
      </w:r>
      <w:r w:rsidRPr="002735C9">
        <w:rPr>
          <w:lang w:val="fr-CH"/>
        </w:rPr>
        <w:t>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F05DA9">
        <w:rPr>
          <w:rStyle w:val="FootnoteTextChar"/>
          <w:lang w:val="fr-CH"/>
        </w:rPr>
        <w:t>.</w:t>
      </w:r>
      <w:r w:rsidRPr="00F05DA9">
        <w:rPr>
          <w:rStyle w:val="FootnoteTextChar"/>
          <w:sz w:val="16"/>
          <w:szCs w:val="16"/>
          <w:lang w:val="fr-CH"/>
        </w:rPr>
        <w:t>     (CMR</w:t>
      </w:r>
      <w:r w:rsidRPr="00F05DA9">
        <w:rPr>
          <w:rStyle w:val="FootnoteTextChar"/>
          <w:sz w:val="16"/>
          <w:szCs w:val="16"/>
          <w:lang w:val="fr-CH"/>
        </w:rPr>
        <w:noBreakHyphen/>
      </w:r>
      <w:r>
        <w:rPr>
          <w:rStyle w:val="FootnoteTextChar"/>
          <w:sz w:val="16"/>
          <w:szCs w:val="16"/>
          <w:lang w:val="fr-CH"/>
        </w:rPr>
        <w:t>19</w:t>
      </w:r>
      <w:r w:rsidRPr="00F05DA9">
        <w:rPr>
          <w:rStyle w:val="FootnoteTextChar"/>
          <w:sz w:val="16"/>
          <w:szCs w:val="16"/>
          <w:lang w:val="fr-CH"/>
        </w:rPr>
        <w:t>)</w:t>
      </w:r>
    </w:p>
  </w:footnote>
  <w:footnote w:id="11">
    <w:p w14:paraId="0034E662" w14:textId="6CE066BD" w:rsidR="00400618" w:rsidRPr="004C155F" w:rsidRDefault="00400618" w:rsidP="00756C3A">
      <w:pPr>
        <w:pStyle w:val="FootnoteText"/>
        <w:spacing w:before="80"/>
        <w:rPr>
          <w:sz w:val="16"/>
          <w:szCs w:val="16"/>
        </w:rPr>
      </w:pPr>
      <w:r w:rsidRPr="00EB2EA9">
        <w:rPr>
          <w:rStyle w:val="FootnoteReference"/>
        </w:rPr>
        <w:t>24</w:t>
      </w:r>
      <w:r w:rsidRPr="00EB2EA9">
        <w:rPr>
          <w:rStyle w:val="FootnoteReference"/>
          <w:i/>
          <w:iCs/>
        </w:rPr>
        <w:t>bis</w:t>
      </w:r>
      <w:r w:rsidR="00CC2ED3">
        <w:t>  L</w:t>
      </w:r>
      <w:r>
        <w:t xml:space="preserve">a </w:t>
      </w:r>
      <w:r w:rsidRPr="00C8423A">
        <w:rPr>
          <w:rStyle w:val="FootnoteTextChar"/>
        </w:rPr>
        <w:t>date de remise en service d'une assignation de fréquence à une station spatiale sur l'orbite des satellites géostationnaires est la date de début de la période de quatre</w:t>
      </w:r>
      <w:r w:rsidRPr="00C8423A">
        <w:rPr>
          <w:rStyle w:val="FootnoteTextChar"/>
        </w:rPr>
        <w:noBreakHyphen/>
        <w:t>vingt</w:t>
      </w:r>
      <w:r w:rsidRPr="00C8423A">
        <w:rPr>
          <w:rStyle w:val="FootnoteTextChar"/>
        </w:rPr>
        <w:noBreakHyphen/>
        <w:t>dix jours définie ci</w:t>
      </w:r>
      <w:r w:rsidRPr="00C8423A">
        <w:rPr>
          <w:rStyle w:val="FootnoteTextChar"/>
        </w:rPr>
        <w:noBreakHyphen/>
        <w:t xml:space="preserve">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 </w:t>
      </w:r>
      <w:r w:rsidRPr="0092382F">
        <w:rPr>
          <w:rStyle w:val="FootnoteTextChar"/>
        </w:rPr>
        <w:t xml:space="preserve">La Résolution </w:t>
      </w:r>
      <w:r w:rsidRPr="003248FA">
        <w:rPr>
          <w:rStyle w:val="FootnoteTextChar"/>
          <w:b/>
        </w:rPr>
        <w:t>40 (Rév.CMR-19)</w:t>
      </w:r>
      <w:r w:rsidRPr="0092382F">
        <w:rPr>
          <w:rStyle w:val="FootnoteTextChar"/>
        </w:rPr>
        <w:t xml:space="preserve"> s'applique.</w:t>
      </w:r>
      <w:r w:rsidRPr="0092382F">
        <w:rPr>
          <w:rStyle w:val="FootnoteTextChar"/>
          <w:sz w:val="16"/>
          <w:szCs w:val="16"/>
        </w:rPr>
        <w:t>     (CMR</w:t>
      </w:r>
      <w:r w:rsidRPr="0092382F">
        <w:rPr>
          <w:rStyle w:val="FootnoteTextChar"/>
          <w:sz w:val="16"/>
          <w:szCs w:val="16"/>
        </w:rPr>
        <w:noBreakHyphen/>
        <w:t>19)</w:t>
      </w:r>
    </w:p>
  </w:footnote>
  <w:footnote w:id="12">
    <w:p w14:paraId="0876FF78" w14:textId="77777777" w:rsidR="00400618" w:rsidRPr="003B28D0" w:rsidRDefault="00400618" w:rsidP="00756C3A">
      <w:pPr>
        <w:pStyle w:val="FootnoteText"/>
        <w:tabs>
          <w:tab w:val="clear" w:pos="1134"/>
          <w:tab w:val="left" w:pos="567"/>
        </w:tabs>
        <w:rPr>
          <w:rFonts w:eastAsiaTheme="majorEastAsia"/>
          <w:sz w:val="16"/>
          <w:szCs w:val="16"/>
          <w:lang w:val="fr-CH"/>
        </w:rPr>
      </w:pPr>
      <w:ins w:id="46" w:author="Frenche" w:date="2023-04-04T21:02:00Z">
        <w:r w:rsidRPr="003B28D0">
          <w:rPr>
            <w:rStyle w:val="FootnoteReference"/>
            <w:lang w:val="fr-CH"/>
          </w:rPr>
          <w:t>24</w:t>
        </w:r>
        <w:r w:rsidRPr="003B28D0">
          <w:rPr>
            <w:rStyle w:val="FootnoteReference"/>
            <w:i/>
            <w:iCs/>
            <w:lang w:val="fr-CH"/>
          </w:rPr>
          <w:t>ter</w:t>
        </w:r>
        <w:r w:rsidRPr="003B28D0">
          <w:rPr>
            <w:i/>
            <w:iCs/>
            <w:lang w:val="fr-CH"/>
          </w:rPr>
          <w:tab/>
        </w:r>
        <w:r w:rsidRPr="003B28D0">
          <w:rPr>
            <w:lang w:val="fr-CH"/>
          </w:rPr>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3B28D0">
          <w:rPr>
            <w:color w:val="000000" w:themeColor="text1"/>
            <w:lang w:val="fr-CH"/>
          </w:rPr>
          <w:t>24</w:t>
        </w:r>
        <w:r w:rsidRPr="003B28D0">
          <w:rPr>
            <w:i/>
            <w:iCs/>
            <w:color w:val="000000" w:themeColor="text1"/>
            <w:lang w:val="fr-CH"/>
          </w:rPr>
          <w:t>bis</w:t>
        </w:r>
        <w:r w:rsidRPr="003B28D0">
          <w:rPr>
            <w:color w:val="000000" w:themeColor="text1"/>
          </w:rPr>
          <w:t>,</w:t>
        </w:r>
        <w:r w:rsidRPr="003B28D0">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lang w:val="fr-CH"/>
          </w:rPr>
          <w:t>24</w:t>
        </w:r>
        <w:r w:rsidRPr="003B28D0">
          <w:rPr>
            <w:i/>
            <w:iCs/>
            <w:color w:val="000000" w:themeColor="text1"/>
            <w:lang w:val="fr-CH"/>
          </w:rPr>
          <w:t>bis</w:t>
        </w:r>
        <w:r w:rsidRPr="003B28D0">
          <w:t>.</w:t>
        </w:r>
        <w:r w:rsidRPr="003B28D0">
          <w:rPr>
            <w:rStyle w:val="apple-converted-space"/>
            <w:rFonts w:eastAsiaTheme="majorEastAsia"/>
            <w:sz w:val="16"/>
            <w:szCs w:val="16"/>
            <w:lang w:val="fr-CH"/>
          </w:rPr>
          <w:t>     (CMR-23)</w:t>
        </w:r>
      </w:ins>
    </w:p>
  </w:footnote>
  <w:footnote w:id="13">
    <w:p w14:paraId="5833451B" w14:textId="77777777" w:rsidR="00400618" w:rsidRPr="002735C9" w:rsidRDefault="00400618" w:rsidP="009F1174">
      <w:pPr>
        <w:pStyle w:val="FootnoteText"/>
        <w:rPr>
          <w:lang w:val="fr-CH"/>
        </w:rPr>
      </w:pPr>
      <w:r w:rsidRPr="002735C9">
        <w:rPr>
          <w:rStyle w:val="FootnoteReference"/>
          <w:lang w:val="fr-CH"/>
        </w:rPr>
        <w:t>11</w:t>
      </w:r>
      <w:r w:rsidRPr="002735C9">
        <w:rPr>
          <w:lang w:val="fr-CH"/>
        </w:rPr>
        <w:tab/>
        <w:t xml:space="preserve">Si les paiements ne sont pas reçus conformément aux dispositions de la Décision 482 du Conseil, telle que modifiée, relative à la mise en </w:t>
      </w:r>
      <w:r>
        <w:t>œuvre</w:t>
      </w:r>
      <w:r w:rsidRPr="002735C9">
        <w:rPr>
          <w:lang w:val="fr-CH"/>
        </w:rPr>
        <w:t xml:space="preserve"> du recouvrement des coûts pour le traitement des fiches de notification des réseaux à satellite, le Bureau annule la publication visée aux § 8.5 et 8.12 et les inscriptions correspondantes dans le Fichier de référence au titre du § 8.11 ou 8.16</w:t>
      </w:r>
      <w:r w:rsidRPr="00DA6659">
        <w:rPr>
          <w:i/>
          <w:lang w:val="fr-CH"/>
        </w:rPr>
        <w:t>bis</w:t>
      </w:r>
      <w:r w:rsidRPr="002735C9">
        <w:rPr>
          <w:lang w:val="fr-CH"/>
        </w:rPr>
        <w:t>, selon le cas,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r w:rsidRPr="009835C6">
        <w:rPr>
          <w:sz w:val="16"/>
          <w:lang w:val="fr-CH"/>
        </w:rPr>
        <w:t>     (</w:t>
      </w:r>
      <w:r w:rsidRPr="009835C6">
        <w:rPr>
          <w:sz w:val="16"/>
          <w:szCs w:val="16"/>
          <w:lang w:val="fr-CH"/>
        </w:rPr>
        <w:t>CMR</w:t>
      </w:r>
      <w:r w:rsidRPr="009835C6">
        <w:rPr>
          <w:sz w:val="16"/>
          <w:szCs w:val="16"/>
          <w:lang w:val="fr-CH"/>
        </w:rPr>
        <w:noBreakHyphen/>
      </w:r>
      <w:r>
        <w:rPr>
          <w:sz w:val="16"/>
          <w:szCs w:val="16"/>
          <w:lang w:val="fr-CH"/>
        </w:rPr>
        <w:t>19</w:t>
      </w:r>
      <w:r w:rsidRPr="009835C6">
        <w:rPr>
          <w:sz w:val="16"/>
          <w:szCs w:val="16"/>
          <w:lang w:val="fr-CH"/>
        </w:rPr>
        <w:t>)</w:t>
      </w:r>
    </w:p>
  </w:footnote>
  <w:footnote w:id="14">
    <w:p w14:paraId="41EF12F6" w14:textId="77777777" w:rsidR="00400618" w:rsidRDefault="00400618" w:rsidP="00337062">
      <w:pPr>
        <w:pStyle w:val="FootnoteText"/>
      </w:pPr>
      <w:r>
        <w:rPr>
          <w:rStyle w:val="FootnoteReference"/>
        </w:rPr>
        <w:t>12</w:t>
      </w:r>
      <w:r w:rsidRPr="00453BFC">
        <w:rPr>
          <w:lang w:val="fr-CH"/>
        </w:rPr>
        <w:t xml:space="preserve"> </w:t>
      </w:r>
      <w:r w:rsidRPr="00722D19">
        <w:rPr>
          <w:lang w:val="fr-CH"/>
        </w:rPr>
        <w:tab/>
      </w:r>
      <w:r w:rsidRPr="0036500B">
        <w:rPr>
          <w:lang w:val="fr-CH"/>
        </w:rPr>
        <w:t xml:space="preserve">La Résolution </w:t>
      </w:r>
      <w:r w:rsidRPr="0036500B">
        <w:rPr>
          <w:b/>
          <w:bCs/>
          <w:lang w:val="fr-CH"/>
        </w:rPr>
        <w:t>4</w:t>
      </w:r>
      <w:r w:rsidRPr="0036500B">
        <w:rPr>
          <w:b/>
          <w:lang w:val="fr-CH"/>
        </w:rPr>
        <w:t>9 (Rév.CMR</w:t>
      </w:r>
      <w:r w:rsidRPr="0036500B">
        <w:rPr>
          <w:b/>
          <w:lang w:val="fr-CH"/>
        </w:rPr>
        <w:noBreakHyphen/>
      </w:r>
      <w:r w:rsidRPr="00737E96">
        <w:rPr>
          <w:b/>
          <w:lang w:val="fr-CH"/>
        </w:rPr>
        <w:t xml:space="preserve">15) </w:t>
      </w:r>
      <w:r w:rsidRPr="0036500B">
        <w:rPr>
          <w:lang w:val="fr-CH"/>
        </w:rPr>
        <w:t>s'applique.</w:t>
      </w:r>
      <w:r w:rsidRPr="00337062">
        <w:rPr>
          <w:sz w:val="16"/>
          <w:szCs w:val="16"/>
          <w:lang w:val="fr-CH"/>
        </w:rPr>
        <w:t>     (CMR-15)</w:t>
      </w:r>
    </w:p>
  </w:footnote>
  <w:footnote w:id="15">
    <w:p w14:paraId="0BB74315" w14:textId="77777777" w:rsidR="00400618" w:rsidRPr="004C155F" w:rsidRDefault="00400618" w:rsidP="00756C3A">
      <w:pPr>
        <w:pStyle w:val="FootnoteText"/>
        <w:rPr>
          <w:sz w:val="16"/>
          <w:szCs w:val="16"/>
        </w:rPr>
      </w:pPr>
      <w:r>
        <w:rPr>
          <w:rStyle w:val="FootnoteReference"/>
        </w:rPr>
        <w:t>14</w:t>
      </w:r>
      <w:r w:rsidRPr="00A85287">
        <w:rPr>
          <w:rStyle w:val="FootnoteReference"/>
          <w:i/>
          <w:iCs/>
        </w:rPr>
        <w:t>ter</w:t>
      </w:r>
      <w:r>
        <w:t>  </w:t>
      </w:r>
      <w:r w:rsidRPr="00C8423A">
        <w:rPr>
          <w:rStyle w:val="FootnoteTextChar"/>
        </w:rPr>
        <w:t xml:space="preserve">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 </w:t>
      </w:r>
      <w:r w:rsidRPr="0092382F">
        <w:rPr>
          <w:rStyle w:val="FootnoteTextChar"/>
        </w:rPr>
        <w:t>La Résolution </w:t>
      </w:r>
      <w:r w:rsidRPr="003248FA">
        <w:rPr>
          <w:rStyle w:val="FootnoteTextChar"/>
          <w:b/>
        </w:rPr>
        <w:t xml:space="preserve">40 (Rév.CMR-19) </w:t>
      </w:r>
      <w:r w:rsidRPr="0092382F">
        <w:rPr>
          <w:rStyle w:val="FootnoteTextChar"/>
        </w:rPr>
        <w:t>s'applique.</w:t>
      </w:r>
      <w:r w:rsidRPr="0092382F">
        <w:rPr>
          <w:sz w:val="16"/>
        </w:rPr>
        <w:t>     (</w:t>
      </w:r>
      <w:r w:rsidRPr="0092382F">
        <w:rPr>
          <w:sz w:val="16"/>
          <w:szCs w:val="16"/>
        </w:rPr>
        <w:t>CMR</w:t>
      </w:r>
      <w:r w:rsidRPr="0092382F">
        <w:rPr>
          <w:sz w:val="16"/>
          <w:szCs w:val="16"/>
        </w:rPr>
        <w:noBreakHyphen/>
        <w:t>19)</w:t>
      </w:r>
    </w:p>
  </w:footnote>
  <w:footnote w:id="16">
    <w:p w14:paraId="10953CB2" w14:textId="77777777" w:rsidR="00400618" w:rsidRPr="003B28D0" w:rsidRDefault="00400618" w:rsidP="00756C3A">
      <w:pPr>
        <w:pStyle w:val="FootnoteText"/>
        <w:tabs>
          <w:tab w:val="clear" w:pos="1134"/>
          <w:tab w:val="left" w:pos="709"/>
        </w:tabs>
        <w:rPr>
          <w:rFonts w:eastAsiaTheme="majorEastAsia"/>
          <w:sz w:val="16"/>
          <w:szCs w:val="16"/>
          <w:lang w:val="fr-CH"/>
        </w:rPr>
      </w:pPr>
      <w:ins w:id="58" w:author="Turnbull, Karen" w:date="2022-10-17T11:07:00Z">
        <w:r w:rsidRPr="0059201D">
          <w:rPr>
            <w:rStyle w:val="FootnoteReference"/>
            <w:lang w:val="fr-CH"/>
          </w:rPr>
          <w:t>14</w:t>
        </w:r>
        <w:r w:rsidRPr="0059201D">
          <w:rPr>
            <w:rStyle w:val="FootnoteReference"/>
            <w:i/>
            <w:iCs/>
            <w:lang w:val="fr-CH"/>
          </w:rPr>
          <w:t>quater</w:t>
        </w:r>
      </w:ins>
      <w:ins w:id="59" w:author="French" w:date="2022-10-25T16:16:00Z">
        <w:r>
          <w:rPr>
            <w:i/>
            <w:iCs/>
            <w:lang w:val="fr-CH"/>
          </w:rPr>
          <w:tab/>
        </w:r>
      </w:ins>
      <w:ins w:id="60" w:author="Frenche" w:date="2023-04-04T21:03:00Z">
        <w:r w:rsidRPr="0059201D">
          <w:rPr>
            <w:lang w:val="fr-CH"/>
            <w:rPrChange w:id="61" w:author="French" w:date="2022-10-25T14:08:00Z">
              <w:rPr>
                <w:lang w:val="en-US"/>
              </w:rPr>
            </w:rPrChange>
          </w:rPr>
          <w:t xml:space="preserve">Si </w:t>
        </w:r>
        <w:r w:rsidRPr="003B28D0">
          <w:rPr>
            <w:lang w:val="fr-CH"/>
          </w:rPr>
          <w:t xml:space="preserve">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3B28D0">
          <w:rPr>
            <w:color w:val="000000" w:themeColor="text1"/>
          </w:rPr>
          <w:t>14</w:t>
        </w:r>
        <w:r w:rsidRPr="003B28D0">
          <w:rPr>
            <w:i/>
            <w:iCs/>
            <w:color w:val="000000" w:themeColor="text1"/>
          </w:rPr>
          <w:t>ter</w:t>
        </w:r>
        <w:r w:rsidRPr="003B28D0">
          <w:rPr>
            <w:color w:val="000000" w:themeColor="text1"/>
          </w:rPr>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rPr>
          <w:t>14</w:t>
        </w:r>
        <w:r w:rsidRPr="003B28D0">
          <w:rPr>
            <w:i/>
            <w:iCs/>
            <w:color w:val="000000" w:themeColor="text1"/>
          </w:rPr>
          <w:t>ter</w:t>
        </w:r>
        <w:r w:rsidRPr="005F41CC">
          <w:t>.</w:t>
        </w:r>
        <w:r w:rsidRPr="0059201D">
          <w:rPr>
            <w:rStyle w:val="apple-converted-space"/>
            <w:rFonts w:eastAsiaTheme="majorEastAsia"/>
            <w:sz w:val="16"/>
            <w:szCs w:val="16"/>
            <w:lang w:val="fr-CH"/>
          </w:rPr>
          <w:t>     (CMR-23)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85B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6FDAE93" w14:textId="77777777" w:rsidR="004F1F8E" w:rsidRDefault="00225CF2" w:rsidP="00FD7AA3">
    <w:pPr>
      <w:pStyle w:val="Header"/>
    </w:pPr>
    <w:r>
      <w:t>WRC</w:t>
    </w:r>
    <w:r w:rsidR="00D3426F">
      <w:t>23</w:t>
    </w:r>
    <w:r w:rsidR="004F1F8E">
      <w:t>/</w:t>
    </w:r>
    <w:r w:rsidR="006A4B45">
      <w:t>85(Add.22)(Add.6)-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63662288">
    <w:abstractNumId w:val="0"/>
  </w:num>
  <w:num w:numId="2" w16cid:durableId="102610376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uthor2">
    <w15:presenceInfo w15:providerId="None" w15:userId="Author2"/>
  </w15:person>
  <w15:person w15:author="Turnbull, Karen">
    <w15:presenceInfo w15:providerId="None" w15:userId="Turnbull, Karen"/>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1E59"/>
    <w:rsid w:val="000B2E0C"/>
    <w:rsid w:val="000B3D0C"/>
    <w:rsid w:val="00113237"/>
    <w:rsid w:val="001167B9"/>
    <w:rsid w:val="001267A0"/>
    <w:rsid w:val="0015203F"/>
    <w:rsid w:val="00160C64"/>
    <w:rsid w:val="0018169B"/>
    <w:rsid w:val="0019352B"/>
    <w:rsid w:val="001960D0"/>
    <w:rsid w:val="001A11F6"/>
    <w:rsid w:val="001C5975"/>
    <w:rsid w:val="001F17E8"/>
    <w:rsid w:val="001F50C7"/>
    <w:rsid w:val="00204306"/>
    <w:rsid w:val="00225CF2"/>
    <w:rsid w:val="00232FD2"/>
    <w:rsid w:val="00255BD6"/>
    <w:rsid w:val="0026554E"/>
    <w:rsid w:val="002A4622"/>
    <w:rsid w:val="002A6F8F"/>
    <w:rsid w:val="002B17E5"/>
    <w:rsid w:val="002C0EBF"/>
    <w:rsid w:val="002C28A4"/>
    <w:rsid w:val="002D7E0A"/>
    <w:rsid w:val="00315AFE"/>
    <w:rsid w:val="003248FA"/>
    <w:rsid w:val="003411F6"/>
    <w:rsid w:val="003606A6"/>
    <w:rsid w:val="0036650C"/>
    <w:rsid w:val="0038537C"/>
    <w:rsid w:val="00393ACD"/>
    <w:rsid w:val="003A583E"/>
    <w:rsid w:val="003E112B"/>
    <w:rsid w:val="003E1D1C"/>
    <w:rsid w:val="003E7B05"/>
    <w:rsid w:val="003F3719"/>
    <w:rsid w:val="003F6F2D"/>
    <w:rsid w:val="00400618"/>
    <w:rsid w:val="00466211"/>
    <w:rsid w:val="00474B65"/>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4A11"/>
    <w:rsid w:val="00637ECF"/>
    <w:rsid w:val="00647B59"/>
    <w:rsid w:val="00690C7B"/>
    <w:rsid w:val="006A4B45"/>
    <w:rsid w:val="006D4724"/>
    <w:rsid w:val="006F435E"/>
    <w:rsid w:val="006F5FA2"/>
    <w:rsid w:val="0070076C"/>
    <w:rsid w:val="00701BAE"/>
    <w:rsid w:val="007059FC"/>
    <w:rsid w:val="00721F04"/>
    <w:rsid w:val="00730E95"/>
    <w:rsid w:val="007426B9"/>
    <w:rsid w:val="00764342"/>
    <w:rsid w:val="00774362"/>
    <w:rsid w:val="00786598"/>
    <w:rsid w:val="00790C74"/>
    <w:rsid w:val="007A04E8"/>
    <w:rsid w:val="007B2C34"/>
    <w:rsid w:val="007F282B"/>
    <w:rsid w:val="00830086"/>
    <w:rsid w:val="00851625"/>
    <w:rsid w:val="00863C0A"/>
    <w:rsid w:val="0087535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611A8"/>
    <w:rsid w:val="00A83B09"/>
    <w:rsid w:val="00A84541"/>
    <w:rsid w:val="00A93BAD"/>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A6913"/>
    <w:rsid w:val="00CB685A"/>
    <w:rsid w:val="00CC2ED3"/>
    <w:rsid w:val="00CD516F"/>
    <w:rsid w:val="00CE78B3"/>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66A15"/>
    <w:rsid w:val="00E70A31"/>
    <w:rsid w:val="00E723A7"/>
    <w:rsid w:val="00EA3F38"/>
    <w:rsid w:val="00EA5AB6"/>
    <w:rsid w:val="00EC7615"/>
    <w:rsid w:val="00ED16AA"/>
    <w:rsid w:val="00ED6B8D"/>
    <w:rsid w:val="00EE3D7B"/>
    <w:rsid w:val="00EF662E"/>
    <w:rsid w:val="00F07F04"/>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01E63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converted-space">
    <w:name w:val="apple-converted-space"/>
    <w:basedOn w:val="DefaultParagraphFont"/>
    <w:rsid w:val="00E010F4"/>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character" w:customStyle="1" w:styleId="MODRef">
    <w:name w:val="MODRef"/>
    <w:basedOn w:val="DefaultParagraphFont"/>
    <w:rsid w:val="00992DC2"/>
    <w:rPr>
      <w:b/>
      <w:sz w:val="24"/>
      <w:lang w:val="fr-FR"/>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C597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1459DD9-13C6-4C24-90D4-41ECBFA62133}">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88D81B3-BF3C-44DF-A0FB-448456B9401A}">
  <ds:schemaRefs>
    <ds:schemaRef ds:uri="http://schemas.openxmlformats.org/officeDocument/2006/bibliography"/>
  </ds:schemaRefs>
</ds:datastoreItem>
</file>

<file path=customXml/itemProps4.xml><?xml version="1.0" encoding="utf-8"?>
<ds:datastoreItem xmlns:ds="http://schemas.openxmlformats.org/officeDocument/2006/customXml" ds:itemID="{F620ADE8-3CC4-4290-9F07-3D2D4AE1E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90C2A8-75E3-4C6F-A4EB-7AE5124D3553}">
  <ds:schemaRefs>
    <ds:schemaRef ds:uri="http://schemas.microsoft.com/office/2006/documentManagement/types"/>
    <ds:schemaRef ds:uri="http://schemas.microsoft.com/office/2006/metadata/properties"/>
    <ds:schemaRef ds:uri="http://purl.org/dc/dcmitype/"/>
    <ds:schemaRef ds:uri="http://www.w3.org/XML/1998/namespace"/>
    <ds:schemaRef ds:uri="996b2e75-67fd-4955-a3b0-5ab9934cb50b"/>
    <ds:schemaRef ds:uri="32a1a8c5-2265-4ebc-b7a0-2071e2c5c9bb"/>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2328</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R23-WRC23-C-0085!A22-A6!MSW-F</vt:lpstr>
    </vt:vector>
  </TitlesOfParts>
  <Manager>Secrétariat général - Pool</Manager>
  <Company>Union internationale des télécommunications (UIT)</Company>
  <LinksUpToDate>false</LinksUpToDate>
  <CharactersWithSpaces>14678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R23-WRC23-C-0085!A22-A6!MSW-F</dc:title>
  <dc:subject>Conférence mondiale des radiocommunications - 2019</dc:subject>
  <dc:creator>Documents Proposals Manager (DPM)</dc:creator>
  <cp:keywords>DPM_v2023.11.6.1_prod</cp:keywords>
  <dc:description/>
  <cp:lastModifiedBy>French</cp:lastModifiedBy>
  <cp:revision>8</cp:revision>
  <cp:lastPrinted>2003-06-05T19:34:00Z</cp:lastPrinted>
  <dcterms:created xsi:type="dcterms:W3CDTF">2023-11-16T11:17:00Z</dcterms:created>
  <dcterms:modified xsi:type="dcterms:W3CDTF">2023-11-16T18:08:00Z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