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64301E" w14:paraId="768CAB9C" w14:textId="77777777" w:rsidTr="00C1305F">
        <w:trPr>
          <w:cantSplit/>
        </w:trPr>
        <w:tc>
          <w:tcPr>
            <w:tcW w:w="1418" w:type="dxa"/>
            <w:vAlign w:val="center"/>
          </w:tcPr>
          <w:p w14:paraId="408626F2" w14:textId="77777777" w:rsidR="00C1305F" w:rsidRPr="0064301E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64301E">
              <w:drawing>
                <wp:inline distT="0" distB="0" distL="0" distR="0" wp14:anchorId="492AAD57" wp14:editId="0548BFE5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7590D678" w14:textId="0E32A424" w:rsidR="00C1305F" w:rsidRPr="0064301E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64301E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64301E">
              <w:rPr>
                <w:rFonts w:ascii="Verdana" w:hAnsi="Verdana"/>
                <w:b/>
                <w:bCs/>
                <w:sz w:val="20"/>
              </w:rPr>
              <w:br/>
            </w:r>
            <w:r w:rsidRPr="0064301E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DF7DAF" w:rsidRPr="0064301E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64301E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5080C183" w14:textId="77777777" w:rsidR="00C1305F" w:rsidRPr="0064301E" w:rsidRDefault="00C1305F" w:rsidP="00C1305F">
            <w:pPr>
              <w:spacing w:before="0" w:line="240" w:lineRule="atLeast"/>
            </w:pPr>
            <w:r w:rsidRPr="0064301E">
              <w:drawing>
                <wp:inline distT="0" distB="0" distL="0" distR="0" wp14:anchorId="52F66D23" wp14:editId="52C5B35A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4301E" w14:paraId="15021967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DA06487" w14:textId="77777777" w:rsidR="00BB1D82" w:rsidRPr="0064301E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D3D5566" w14:textId="77777777" w:rsidR="00BB1D82" w:rsidRPr="0064301E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64301E" w14:paraId="768F2144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C9534C0" w14:textId="77777777" w:rsidR="00BB1D82" w:rsidRPr="0064301E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5315634B" w14:textId="77777777" w:rsidR="00BB1D82" w:rsidRPr="0064301E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64301E" w14:paraId="5A71A5C1" w14:textId="77777777" w:rsidTr="00BB1D82">
        <w:trPr>
          <w:cantSplit/>
        </w:trPr>
        <w:tc>
          <w:tcPr>
            <w:tcW w:w="6911" w:type="dxa"/>
            <w:gridSpan w:val="2"/>
          </w:tcPr>
          <w:p w14:paraId="6BFC128E" w14:textId="77777777" w:rsidR="00BB1D82" w:rsidRPr="0064301E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4301E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4060BE4F" w14:textId="77777777" w:rsidR="00BB1D82" w:rsidRPr="0064301E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64301E">
              <w:rPr>
                <w:rFonts w:ascii="Verdana" w:hAnsi="Verdana"/>
                <w:b/>
                <w:sz w:val="20"/>
              </w:rPr>
              <w:t>Addendum 4 au</w:t>
            </w:r>
            <w:r w:rsidRPr="0064301E">
              <w:rPr>
                <w:rFonts w:ascii="Verdana" w:hAnsi="Verdana"/>
                <w:b/>
                <w:sz w:val="20"/>
              </w:rPr>
              <w:br/>
              <w:t>Document 85(Add.22)</w:t>
            </w:r>
            <w:r w:rsidR="00BB1D82" w:rsidRPr="0064301E">
              <w:rPr>
                <w:rFonts w:ascii="Verdana" w:hAnsi="Verdana"/>
                <w:b/>
                <w:sz w:val="20"/>
              </w:rPr>
              <w:t>-</w:t>
            </w:r>
            <w:r w:rsidRPr="0064301E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64301E" w14:paraId="79F96EDF" w14:textId="77777777" w:rsidTr="00BB1D82">
        <w:trPr>
          <w:cantSplit/>
        </w:trPr>
        <w:tc>
          <w:tcPr>
            <w:tcW w:w="6911" w:type="dxa"/>
            <w:gridSpan w:val="2"/>
          </w:tcPr>
          <w:p w14:paraId="54F0BAC6" w14:textId="77777777" w:rsidR="00690C7B" w:rsidRPr="0064301E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323A19B8" w14:textId="77777777" w:rsidR="00690C7B" w:rsidRPr="0064301E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4301E">
              <w:rPr>
                <w:rFonts w:ascii="Verdana" w:hAnsi="Verdana"/>
                <w:b/>
                <w:sz w:val="20"/>
              </w:rPr>
              <w:t>22 octobre 2023</w:t>
            </w:r>
          </w:p>
        </w:tc>
      </w:tr>
      <w:tr w:rsidR="00690C7B" w:rsidRPr="0064301E" w14:paraId="00CAB913" w14:textId="77777777" w:rsidTr="00BB1D82">
        <w:trPr>
          <w:cantSplit/>
        </w:trPr>
        <w:tc>
          <w:tcPr>
            <w:tcW w:w="6911" w:type="dxa"/>
            <w:gridSpan w:val="2"/>
          </w:tcPr>
          <w:p w14:paraId="711F68B4" w14:textId="77777777" w:rsidR="00690C7B" w:rsidRPr="0064301E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5D00BFCB" w14:textId="77777777" w:rsidR="00690C7B" w:rsidRPr="0064301E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4301E">
              <w:rPr>
                <w:rFonts w:ascii="Verdana" w:hAnsi="Verdana"/>
                <w:b/>
                <w:sz w:val="20"/>
              </w:rPr>
              <w:t>Original: russe</w:t>
            </w:r>
          </w:p>
        </w:tc>
      </w:tr>
      <w:tr w:rsidR="00690C7B" w:rsidRPr="0064301E" w14:paraId="0DD6A899" w14:textId="77777777" w:rsidTr="00C11970">
        <w:trPr>
          <w:cantSplit/>
        </w:trPr>
        <w:tc>
          <w:tcPr>
            <w:tcW w:w="10031" w:type="dxa"/>
            <w:gridSpan w:val="4"/>
          </w:tcPr>
          <w:p w14:paraId="7C2AB7B6" w14:textId="77777777" w:rsidR="00690C7B" w:rsidRPr="0064301E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64301E" w14:paraId="7152EC4A" w14:textId="77777777" w:rsidTr="0050008E">
        <w:trPr>
          <w:cantSplit/>
        </w:trPr>
        <w:tc>
          <w:tcPr>
            <w:tcW w:w="10031" w:type="dxa"/>
            <w:gridSpan w:val="4"/>
          </w:tcPr>
          <w:p w14:paraId="7F0EAEC0" w14:textId="77777777" w:rsidR="00690C7B" w:rsidRPr="0064301E" w:rsidRDefault="00690C7B" w:rsidP="00690C7B">
            <w:pPr>
              <w:pStyle w:val="Source"/>
            </w:pPr>
            <w:bookmarkStart w:id="1" w:name="dsource" w:colFirst="0" w:colLast="0"/>
            <w:r w:rsidRPr="0064301E">
              <w:t>Propositions communes de la Communauté régionale des communications</w:t>
            </w:r>
          </w:p>
        </w:tc>
      </w:tr>
      <w:tr w:rsidR="00690C7B" w:rsidRPr="0064301E" w14:paraId="4B94D01F" w14:textId="77777777" w:rsidTr="0050008E">
        <w:trPr>
          <w:cantSplit/>
        </w:trPr>
        <w:tc>
          <w:tcPr>
            <w:tcW w:w="10031" w:type="dxa"/>
            <w:gridSpan w:val="4"/>
          </w:tcPr>
          <w:p w14:paraId="153FCC7F" w14:textId="1DBCEF4E" w:rsidR="00690C7B" w:rsidRPr="0064301E" w:rsidRDefault="00867D5C" w:rsidP="00690C7B">
            <w:pPr>
              <w:pStyle w:val="Title1"/>
            </w:pPr>
            <w:bookmarkStart w:id="2" w:name="dtitle1" w:colFirst="0" w:colLast="0"/>
            <w:bookmarkEnd w:id="1"/>
            <w:r w:rsidRPr="0064301E">
              <w:t>PROPOSITIONS POUR LES TRAVAUX DE LA CONFÉRENCE</w:t>
            </w:r>
          </w:p>
        </w:tc>
      </w:tr>
      <w:tr w:rsidR="00690C7B" w:rsidRPr="0064301E" w14:paraId="6C826313" w14:textId="77777777" w:rsidTr="0050008E">
        <w:trPr>
          <w:cantSplit/>
        </w:trPr>
        <w:tc>
          <w:tcPr>
            <w:tcW w:w="10031" w:type="dxa"/>
            <w:gridSpan w:val="4"/>
          </w:tcPr>
          <w:p w14:paraId="270100A4" w14:textId="77777777" w:rsidR="00690C7B" w:rsidRPr="0064301E" w:rsidRDefault="00690C7B" w:rsidP="00690C7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64301E" w14:paraId="1AE45FFA" w14:textId="77777777" w:rsidTr="0050008E">
        <w:trPr>
          <w:cantSplit/>
        </w:trPr>
        <w:tc>
          <w:tcPr>
            <w:tcW w:w="10031" w:type="dxa"/>
            <w:gridSpan w:val="4"/>
          </w:tcPr>
          <w:p w14:paraId="611FC563" w14:textId="77777777" w:rsidR="00690C7B" w:rsidRPr="0064301E" w:rsidRDefault="00690C7B" w:rsidP="00690C7B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64301E">
              <w:rPr>
                <w:lang w:val="fr-FR"/>
              </w:rPr>
              <w:t>Point 7(D1) de l'ordre du jour</w:t>
            </w:r>
          </w:p>
        </w:tc>
      </w:tr>
    </w:tbl>
    <w:bookmarkEnd w:id="4"/>
    <w:p w14:paraId="4642BAB5" w14:textId="654D0749" w:rsidR="0044075C" w:rsidRPr="0064301E" w:rsidRDefault="0044075C" w:rsidP="00783A6F">
      <w:r w:rsidRPr="0064301E">
        <w:t>7</w:t>
      </w:r>
      <w:r w:rsidRPr="0064301E">
        <w:tab/>
        <w:t>examiner d'éventuels changements à apporter en application de la</w:t>
      </w:r>
      <w:r w:rsidR="00431792" w:rsidRPr="0064301E">
        <w:t> </w:t>
      </w:r>
      <w:r w:rsidRPr="0064301E">
        <w:t>Résolution 86</w:t>
      </w:r>
      <w:r w:rsidR="00431792" w:rsidRPr="0064301E">
        <w:t> </w:t>
      </w:r>
      <w:r w:rsidRPr="0064301E">
        <w:t>(Rév. Marrakech, 2002) de la Conférence de plénipotentiaires, intitulée «Procédures de publication anticipée, de coordination, de notification et d'inscription des assignations de fréquence relatives aux réseaux à satellite», conformément à la Résolution </w:t>
      </w:r>
      <w:r w:rsidRPr="0064301E">
        <w:rPr>
          <w:b/>
          <w:bCs/>
        </w:rPr>
        <w:t>86 (Rév.CMR-07)</w:t>
      </w:r>
      <w:r w:rsidRPr="0064301E">
        <w:t>, afin de faciliter l'utilisation rationnelle, efficace et économique des fréquences radioélectriques et des orbites associées, y compris de l'orbite des satellites géostationnaires;</w:t>
      </w:r>
    </w:p>
    <w:p w14:paraId="09019723" w14:textId="77777777" w:rsidR="0044075C" w:rsidRPr="0064301E" w:rsidRDefault="0044075C" w:rsidP="00091329">
      <w:r w:rsidRPr="0064301E">
        <w:t>7(D1)</w:t>
      </w:r>
      <w:r w:rsidRPr="0064301E">
        <w:tab/>
        <w:t xml:space="preserve">Question D1 – Modifications de l'Appendice 1 de l'Annexe 4 de l'Appendice </w:t>
      </w:r>
      <w:r w:rsidRPr="0064301E">
        <w:rPr>
          <w:b/>
        </w:rPr>
        <w:t>30B</w:t>
      </w:r>
      <w:r w:rsidRPr="0064301E">
        <w:t xml:space="preserve"> du RR</w:t>
      </w:r>
    </w:p>
    <w:p w14:paraId="1D0FC3FA" w14:textId="7C60448F" w:rsidR="003A583E" w:rsidRPr="0064301E" w:rsidRDefault="00F87019">
      <w:pPr>
        <w:pPrChange w:id="5" w:author="Seror, Jean-baptiste" w:date="2023-11-07T14:10:00Z">
          <w:pPr>
            <w:spacing w:before="240" w:line="360" w:lineRule="auto"/>
          </w:pPr>
        </w:pPrChange>
      </w:pPr>
      <w:r w:rsidRPr="0064301E">
        <w:t xml:space="preserve">Les administrations des pays membres de la RCC sont favorables à ce que la valeur de l'arc de coordination indiquée dans l'Appendice 1 de l'Annexe 4 de l'Appendice </w:t>
      </w:r>
      <w:r w:rsidRPr="0064301E">
        <w:rPr>
          <w:b/>
          <w:bCs/>
        </w:rPr>
        <w:t>30B</w:t>
      </w:r>
      <w:r w:rsidRPr="0064301E">
        <w:t xml:space="preserve"> du RR soit alignée sur la décision de la CMR-19 et la Règle de procédure approuvée.</w:t>
      </w:r>
    </w:p>
    <w:p w14:paraId="00DE1262" w14:textId="77777777" w:rsidR="0015203F" w:rsidRPr="0064301E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4301E">
        <w:br w:type="page"/>
      </w:r>
    </w:p>
    <w:p w14:paraId="6273F4CB" w14:textId="77777777" w:rsidR="0044075C" w:rsidRPr="0064301E" w:rsidRDefault="0044075C" w:rsidP="00FE41A8">
      <w:pPr>
        <w:pStyle w:val="AppendixNo"/>
      </w:pPr>
      <w:bookmarkStart w:id="6" w:name="_Toc459986382"/>
      <w:bookmarkStart w:id="7" w:name="_Toc459987816"/>
      <w:bookmarkStart w:id="8" w:name="_Toc46345867"/>
      <w:r w:rsidRPr="0064301E">
        <w:lastRenderedPageBreak/>
        <w:t xml:space="preserve">APPENDICE </w:t>
      </w:r>
      <w:r w:rsidRPr="0064301E">
        <w:rPr>
          <w:rStyle w:val="href"/>
        </w:rPr>
        <w:t>30B</w:t>
      </w:r>
      <w:r w:rsidRPr="0064301E">
        <w:t xml:space="preserve"> (R</w:t>
      </w:r>
      <w:r w:rsidRPr="0064301E">
        <w:rPr>
          <w:caps w:val="0"/>
        </w:rPr>
        <w:t>ÉV</w:t>
      </w:r>
      <w:r w:rsidRPr="0064301E">
        <w:t>.CMR-19)</w:t>
      </w:r>
      <w:bookmarkEnd w:id="6"/>
      <w:bookmarkEnd w:id="7"/>
      <w:bookmarkEnd w:id="8"/>
    </w:p>
    <w:p w14:paraId="1582FC9F" w14:textId="37DCB2E9" w:rsidR="0044075C" w:rsidRPr="0064301E" w:rsidRDefault="0044075C" w:rsidP="009F1174">
      <w:pPr>
        <w:pStyle w:val="Appendixtitle"/>
        <w:spacing w:before="120" w:after="120"/>
        <w:rPr>
          <w:color w:val="000000"/>
        </w:rPr>
      </w:pPr>
      <w:bookmarkStart w:id="9" w:name="_Toc459986383"/>
      <w:bookmarkStart w:id="10" w:name="_Toc459987817"/>
      <w:bookmarkStart w:id="11" w:name="_Toc46345868"/>
      <w:r w:rsidRPr="0064301E">
        <w:rPr>
          <w:color w:val="000000"/>
        </w:rPr>
        <w:t>Dispositions et Plan associé pour le service fixe par satellite</w:t>
      </w:r>
      <w:r w:rsidR="004B614E" w:rsidRPr="0064301E">
        <w:rPr>
          <w:color w:val="000000"/>
        </w:rPr>
        <w:br/>
      </w:r>
      <w:r w:rsidRPr="0064301E">
        <w:rPr>
          <w:color w:val="000000"/>
        </w:rPr>
        <w:t>dans les bandes</w:t>
      </w:r>
      <w:r w:rsidR="00981B5F" w:rsidRPr="0064301E">
        <w:rPr>
          <w:color w:val="000000"/>
        </w:rPr>
        <w:t> </w:t>
      </w:r>
      <w:r w:rsidRPr="0064301E">
        <w:rPr>
          <w:color w:val="000000"/>
        </w:rPr>
        <w:t>4</w:t>
      </w:r>
      <w:r w:rsidRPr="0064301E">
        <w:rPr>
          <w:rFonts w:ascii="Tms Rmn" w:hAnsi="Tms Rmn"/>
          <w:color w:val="000000"/>
          <w:sz w:val="12"/>
        </w:rPr>
        <w:t> </w:t>
      </w:r>
      <w:r w:rsidRPr="0064301E">
        <w:rPr>
          <w:color w:val="000000"/>
        </w:rPr>
        <w:t>500-4</w:t>
      </w:r>
      <w:r w:rsidRPr="0064301E">
        <w:rPr>
          <w:rFonts w:ascii="Tms Rmn" w:hAnsi="Tms Rmn"/>
          <w:color w:val="000000"/>
          <w:sz w:val="12"/>
        </w:rPr>
        <w:t> </w:t>
      </w:r>
      <w:r w:rsidRPr="0064301E">
        <w:rPr>
          <w:color w:val="000000"/>
        </w:rPr>
        <w:t>800 MHz, 6</w:t>
      </w:r>
      <w:r w:rsidRPr="0064301E">
        <w:rPr>
          <w:rFonts w:ascii="Tms Rmn" w:hAnsi="Tms Rmn"/>
          <w:color w:val="000000"/>
          <w:sz w:val="12"/>
        </w:rPr>
        <w:t> </w:t>
      </w:r>
      <w:r w:rsidRPr="0064301E">
        <w:rPr>
          <w:color w:val="000000"/>
        </w:rPr>
        <w:t>725-7</w:t>
      </w:r>
      <w:r w:rsidRPr="0064301E">
        <w:rPr>
          <w:rFonts w:ascii="Tms Rmn" w:hAnsi="Tms Rmn"/>
          <w:color w:val="000000"/>
          <w:sz w:val="12"/>
        </w:rPr>
        <w:t> </w:t>
      </w:r>
      <w:r w:rsidRPr="0064301E">
        <w:rPr>
          <w:color w:val="000000"/>
        </w:rPr>
        <w:t>025 MHz,</w:t>
      </w:r>
      <w:r w:rsidR="004B614E" w:rsidRPr="0064301E">
        <w:rPr>
          <w:color w:val="000000"/>
        </w:rPr>
        <w:br/>
      </w:r>
      <w:r w:rsidRPr="0064301E">
        <w:rPr>
          <w:color w:val="000000"/>
        </w:rPr>
        <w:t>10,70-10,95 GHz, 11,20-11,45 GHz et</w:t>
      </w:r>
      <w:r w:rsidR="00D05869" w:rsidRPr="0064301E">
        <w:rPr>
          <w:color w:val="000000"/>
        </w:rPr>
        <w:t> </w:t>
      </w:r>
      <w:r w:rsidRPr="0064301E">
        <w:rPr>
          <w:color w:val="000000"/>
        </w:rPr>
        <w:t>12,75</w:t>
      </w:r>
      <w:r w:rsidR="00D05869" w:rsidRPr="0064301E">
        <w:rPr>
          <w:color w:val="000000"/>
        </w:rPr>
        <w:noBreakHyphen/>
      </w:r>
      <w:r w:rsidRPr="0064301E">
        <w:rPr>
          <w:color w:val="000000"/>
        </w:rPr>
        <w:t>13,25 GHz</w:t>
      </w:r>
      <w:bookmarkEnd w:id="9"/>
      <w:bookmarkEnd w:id="10"/>
      <w:bookmarkEnd w:id="11"/>
    </w:p>
    <w:p w14:paraId="5D221BC7" w14:textId="77777777" w:rsidR="0044075C" w:rsidRPr="0064301E" w:rsidRDefault="0044075C" w:rsidP="009F1174">
      <w:pPr>
        <w:pStyle w:val="AnnexNo"/>
      </w:pPr>
      <w:r w:rsidRPr="0064301E">
        <w:t>          </w:t>
      </w:r>
      <w:bookmarkStart w:id="12" w:name="_Toc46345872"/>
      <w:r w:rsidRPr="0064301E">
        <w:t>ANNEXE 4</w:t>
      </w:r>
      <w:r w:rsidRPr="0064301E">
        <w:rPr>
          <w:sz w:val="16"/>
          <w:szCs w:val="16"/>
        </w:rPr>
        <w:t>     (</w:t>
      </w:r>
      <w:r w:rsidRPr="0064301E">
        <w:rPr>
          <w:caps w:val="0"/>
          <w:sz w:val="16"/>
          <w:szCs w:val="16"/>
        </w:rPr>
        <w:t>RÉV</w:t>
      </w:r>
      <w:r w:rsidRPr="0064301E">
        <w:rPr>
          <w:sz w:val="16"/>
          <w:szCs w:val="16"/>
        </w:rPr>
        <w:t>.CMR</w:t>
      </w:r>
      <w:r w:rsidRPr="0064301E">
        <w:rPr>
          <w:sz w:val="16"/>
          <w:szCs w:val="16"/>
        </w:rPr>
        <w:noBreakHyphen/>
        <w:t>19)</w:t>
      </w:r>
      <w:bookmarkEnd w:id="12"/>
    </w:p>
    <w:p w14:paraId="00908E18" w14:textId="2B0A0AD1" w:rsidR="0044075C" w:rsidRPr="0064301E" w:rsidRDefault="0044075C" w:rsidP="009F1174">
      <w:pPr>
        <w:pStyle w:val="Annextitle"/>
      </w:pPr>
      <w:bookmarkStart w:id="13" w:name="_Toc459987824"/>
      <w:r w:rsidRPr="0064301E">
        <w:t>Critères permettant de déterminer si un allotissement ou</w:t>
      </w:r>
      <w:r w:rsidR="004B614E" w:rsidRPr="0064301E">
        <w:br/>
      </w:r>
      <w:r w:rsidRPr="0064301E">
        <w:t>une assignation est considéré(e) comme affecté(e)</w:t>
      </w:r>
      <w:bookmarkEnd w:id="13"/>
      <w:r w:rsidRPr="0064301E">
        <w:rPr>
          <w:rStyle w:val="FootnoteReference"/>
          <w:rFonts w:ascii="Times New Roman" w:hAnsi="Times New Roman"/>
          <w:b w:val="0"/>
        </w:rPr>
        <w:footnoteReference w:customMarkFollows="1" w:id="1"/>
        <w:t>15</w:t>
      </w:r>
      <w:r w:rsidRPr="0064301E">
        <w:rPr>
          <w:rStyle w:val="FootnoteReference"/>
          <w:rFonts w:ascii="Times New Roman" w:hAnsi="Times New Roman"/>
          <w:b w:val="0"/>
          <w:i/>
          <w:iCs/>
        </w:rPr>
        <w:t>bis</w:t>
      </w:r>
    </w:p>
    <w:p w14:paraId="44A7D84E" w14:textId="77777777" w:rsidR="0044075C" w:rsidRPr="0064301E" w:rsidRDefault="0044075C" w:rsidP="007334B2">
      <w:pPr>
        <w:pStyle w:val="ApptoAnnex"/>
      </w:pPr>
      <w:bookmarkStart w:id="14" w:name="_Toc459986398"/>
      <w:r w:rsidRPr="0064301E">
        <w:t>             APPENDICE 1 À L'ANNEXE 4</w:t>
      </w:r>
      <w:r w:rsidRPr="0064301E">
        <w:rPr>
          <w:sz w:val="16"/>
          <w:szCs w:val="16"/>
        </w:rPr>
        <w:t>     (rÉV.CMR</w:t>
      </w:r>
      <w:r w:rsidRPr="0064301E">
        <w:rPr>
          <w:sz w:val="16"/>
          <w:szCs w:val="16"/>
        </w:rPr>
        <w:noBreakHyphen/>
        <w:t>07)</w:t>
      </w:r>
      <w:bookmarkEnd w:id="14"/>
    </w:p>
    <w:p w14:paraId="7621FAE8" w14:textId="10CAD101" w:rsidR="0044075C" w:rsidRPr="0064301E" w:rsidRDefault="0044075C" w:rsidP="007334B2">
      <w:pPr>
        <w:pStyle w:val="Appendixtitle"/>
      </w:pPr>
      <w:bookmarkStart w:id="15" w:name="_Toc459986399"/>
      <w:bookmarkStart w:id="16" w:name="_Toc459987825"/>
      <w:bookmarkStart w:id="17" w:name="_Toc46345873"/>
      <w:r w:rsidRPr="0064301E">
        <w:t>Méthode de calcul de la valeur moyenne du rapport porteuse/brouillage</w:t>
      </w:r>
      <w:r w:rsidR="004B614E" w:rsidRPr="0064301E">
        <w:br/>
      </w:r>
      <w:r w:rsidRPr="0064301E">
        <w:t>global pour le brouillage dû à une source unique et le brouillage cumulatif,</w:t>
      </w:r>
      <w:r w:rsidR="004B614E" w:rsidRPr="0064301E">
        <w:br/>
      </w:r>
      <w:r w:rsidRPr="0064301E">
        <w:t>sur la largeur de bande nécessaire de la porteuse modulée</w:t>
      </w:r>
      <w:bookmarkEnd w:id="15"/>
      <w:bookmarkEnd w:id="16"/>
      <w:bookmarkEnd w:id="17"/>
    </w:p>
    <w:p w14:paraId="10A38208" w14:textId="77777777" w:rsidR="00C027AF" w:rsidRPr="0064301E" w:rsidRDefault="0044075C">
      <w:pPr>
        <w:pStyle w:val="Proposal"/>
      </w:pPr>
      <w:r w:rsidRPr="0064301E">
        <w:t>MOD</w:t>
      </w:r>
      <w:r w:rsidRPr="0064301E">
        <w:tab/>
        <w:t>RCC/85A22A4/1</w:t>
      </w:r>
    </w:p>
    <w:p w14:paraId="6BC0282C" w14:textId="77777777" w:rsidR="0044075C" w:rsidRPr="0064301E" w:rsidRDefault="0044075C" w:rsidP="009F1174">
      <w:pPr>
        <w:pStyle w:val="Heading1"/>
      </w:pPr>
      <w:r w:rsidRPr="0064301E">
        <w:t>2</w:t>
      </w:r>
      <w:r w:rsidRPr="0064301E">
        <w:tab/>
        <w:t xml:space="preserve">Rapport </w:t>
      </w:r>
      <w:r w:rsidRPr="0064301E">
        <w:rPr>
          <w:i/>
          <w:iCs/>
        </w:rPr>
        <w:t>C</w:t>
      </w:r>
      <w:r w:rsidRPr="0064301E">
        <w:t>/</w:t>
      </w:r>
      <w:r w:rsidRPr="0064301E">
        <w:rPr>
          <w:i/>
          <w:iCs/>
        </w:rPr>
        <w:t>I</w:t>
      </w:r>
      <w:r w:rsidRPr="0064301E">
        <w:t xml:space="preserve"> global</w:t>
      </w:r>
    </w:p>
    <w:p w14:paraId="45D213D3" w14:textId="77777777" w:rsidR="0044075C" w:rsidRPr="0064301E" w:rsidRDefault="0044075C" w:rsidP="009F1174">
      <w:r w:rsidRPr="0064301E">
        <w:t>Le rapport (</w:t>
      </w:r>
      <w:r w:rsidRPr="0064301E">
        <w:rPr>
          <w:i/>
          <w:iCs/>
        </w:rPr>
        <w:t>C</w:t>
      </w:r>
      <w:r w:rsidRPr="0064301E">
        <w:t>/</w:t>
      </w:r>
      <w:r w:rsidRPr="0064301E">
        <w:rPr>
          <w:i/>
          <w:iCs/>
        </w:rPr>
        <w:t>I</w:t>
      </w:r>
      <w:r w:rsidRPr="0064301E">
        <w:t>)</w:t>
      </w:r>
      <w:r w:rsidRPr="0064301E">
        <w:rPr>
          <w:i/>
          <w:iCs/>
          <w:vertAlign w:val="subscript"/>
        </w:rPr>
        <w:t>agg</w:t>
      </w:r>
      <w:r w:rsidRPr="0064301E">
        <w:t xml:space="preserve"> global au niveau d'un point de mesure donné en liaison descendante est donné par la formule:</w:t>
      </w:r>
    </w:p>
    <w:p w14:paraId="274F589A" w14:textId="77777777" w:rsidR="0044075C" w:rsidRPr="0064301E" w:rsidRDefault="0044075C" w:rsidP="009F1174">
      <w:pPr>
        <w:pStyle w:val="Equation"/>
        <w:rPr>
          <w:color w:val="000000"/>
        </w:rPr>
      </w:pPr>
      <w:r w:rsidRPr="0064301E">
        <w:rPr>
          <w:color w:val="000000"/>
        </w:rPr>
        <w:tab/>
      </w:r>
      <w:r w:rsidRPr="0064301E">
        <w:rPr>
          <w:color w:val="000000"/>
        </w:rPr>
        <w:tab/>
      </w:r>
      <w:r w:rsidRPr="0064301E">
        <w:rPr>
          <w:position w:val="-38"/>
        </w:rPr>
        <w:object w:dxaOrig="3400" w:dyaOrig="880" w14:anchorId="057E6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21" o:spid="_x0000_i1025" type="#_x0000_t75" style="width:165.05pt;height:44.15pt" o:ole="">
            <v:imagedata r:id="rId13" o:title=""/>
          </v:shape>
          <o:OLEObject Type="Embed" ProgID="Equation.DSMT4" ShapeID="shape21" DrawAspect="Content" ObjectID="_1760935333" r:id="rId14"/>
        </w:object>
      </w:r>
      <w:r w:rsidRPr="0064301E">
        <w:t>                dB</w:t>
      </w:r>
    </w:p>
    <w:p w14:paraId="2A06C258" w14:textId="77777777" w:rsidR="0044075C" w:rsidRPr="0064301E" w:rsidRDefault="0044075C" w:rsidP="009F1174">
      <w:pPr>
        <w:pStyle w:val="Equation"/>
      </w:pPr>
      <w:r w:rsidRPr="0064301E">
        <w:tab/>
      </w:r>
      <w:r w:rsidRPr="0064301E">
        <w:tab/>
      </w:r>
      <w:r w:rsidRPr="0064301E">
        <w:rPr>
          <w:i/>
        </w:rPr>
        <w:t>j</w:t>
      </w:r>
      <w:r w:rsidRPr="0064301E">
        <w:t xml:space="preserve">  </w:t>
      </w:r>
      <w:r w:rsidRPr="0064301E">
        <w:rPr>
          <w:rFonts w:ascii="Symbol" w:hAnsi="Symbol"/>
        </w:rPr>
        <w:t></w:t>
      </w:r>
      <w:r w:rsidRPr="0064301E">
        <w:t xml:space="preserve">  1, 2, 3 . . . </w:t>
      </w:r>
      <w:r w:rsidRPr="0064301E">
        <w:rPr>
          <w:i/>
        </w:rPr>
        <w:t>n</w:t>
      </w:r>
      <w:r w:rsidRPr="0064301E">
        <w:t>,</w:t>
      </w:r>
    </w:p>
    <w:p w14:paraId="605A7EDC" w14:textId="77777777" w:rsidR="0044075C" w:rsidRPr="0064301E" w:rsidRDefault="0044075C" w:rsidP="009F1174">
      <w:r w:rsidRPr="0064301E">
        <w:t>où:</w:t>
      </w:r>
    </w:p>
    <w:p w14:paraId="0AC1B669" w14:textId="6D1AA551" w:rsidR="0044075C" w:rsidRPr="0064301E" w:rsidRDefault="0044075C" w:rsidP="009F1174">
      <w:pPr>
        <w:pStyle w:val="Equationlegend"/>
      </w:pPr>
      <w:r w:rsidRPr="0064301E">
        <w:rPr>
          <w:iCs/>
        </w:rPr>
        <w:tab/>
        <w:t>(</w:t>
      </w:r>
      <w:r w:rsidRPr="0064301E">
        <w:rPr>
          <w:i/>
        </w:rPr>
        <w:t>C</w:t>
      </w:r>
      <w:r w:rsidRPr="0064301E">
        <w:rPr>
          <w:iCs/>
        </w:rPr>
        <w:t>/</w:t>
      </w:r>
      <w:r w:rsidRPr="0064301E">
        <w:rPr>
          <w:i/>
        </w:rPr>
        <w:t>I</w:t>
      </w:r>
      <w:r w:rsidRPr="0064301E">
        <w:rPr>
          <w:iCs/>
        </w:rPr>
        <w:t>)</w:t>
      </w:r>
      <w:r w:rsidRPr="0064301E">
        <w:rPr>
          <w:i/>
          <w:szCs w:val="24"/>
          <w:vertAlign w:val="subscript"/>
        </w:rPr>
        <w:t>tj</w:t>
      </w:r>
      <w:r w:rsidRPr="0064301E">
        <w:rPr>
          <w:iCs/>
        </w:rPr>
        <w:t>:</w:t>
      </w:r>
      <w:r w:rsidRPr="0064301E">
        <w:rPr>
          <w:iCs/>
        </w:rPr>
        <w:tab/>
      </w:r>
      <w:r w:rsidRPr="0064301E">
        <w:t xml:space="preserve">est le rapport porteuse/brouillage global dû aux brouillages causés par le </w:t>
      </w:r>
      <w:r w:rsidRPr="0064301E">
        <w:rPr>
          <w:i/>
        </w:rPr>
        <w:t>j</w:t>
      </w:r>
      <w:r w:rsidRPr="0064301E">
        <w:t xml:space="preserve">ème allotissement ou la </w:t>
      </w:r>
      <w:r w:rsidRPr="0064301E">
        <w:rPr>
          <w:i/>
        </w:rPr>
        <w:t>j</w:t>
      </w:r>
      <w:r w:rsidRPr="0064301E">
        <w:t>ème assignation calculé à l'aide de la méthode concernant le rapport (</w:t>
      </w:r>
      <w:r w:rsidRPr="0064301E">
        <w:rPr>
          <w:i/>
        </w:rPr>
        <w:t>C</w:t>
      </w:r>
      <w:r w:rsidRPr="0064301E">
        <w:rPr>
          <w:iCs/>
        </w:rPr>
        <w:t>/</w:t>
      </w:r>
      <w:r w:rsidRPr="0064301E">
        <w:rPr>
          <w:i/>
        </w:rPr>
        <w:t>I</w:t>
      </w:r>
      <w:r w:rsidRPr="0064301E">
        <w:rPr>
          <w:iCs/>
        </w:rPr>
        <w:t>)</w:t>
      </w:r>
      <w:r w:rsidRPr="0064301E">
        <w:rPr>
          <w:i/>
          <w:sz w:val="20"/>
          <w:vertAlign w:val="subscript"/>
        </w:rPr>
        <w:t>t</w:t>
      </w:r>
      <w:r w:rsidRPr="0064301E">
        <w:rPr>
          <w:i/>
        </w:rPr>
        <w:t xml:space="preserve"> </w:t>
      </w:r>
      <w:r w:rsidRPr="0064301E">
        <w:t>global pour un brouillage dû à une source unique indiquée au</w:t>
      </w:r>
      <w:r w:rsidR="001D1EB8" w:rsidRPr="0064301E">
        <w:t> </w:t>
      </w:r>
      <w:r w:rsidRPr="0064301E">
        <w:t>§ 1 de l'Appendice </w:t>
      </w:r>
      <w:r w:rsidRPr="0064301E">
        <w:rPr>
          <w:b/>
          <w:bCs/>
        </w:rPr>
        <w:t>1</w:t>
      </w:r>
      <w:r w:rsidRPr="0064301E">
        <w:t xml:space="preserve"> de la présente Annexe; et</w:t>
      </w:r>
    </w:p>
    <w:p w14:paraId="447F909E" w14:textId="5A47612E" w:rsidR="0044075C" w:rsidRPr="0064301E" w:rsidRDefault="0044075C" w:rsidP="009F1174">
      <w:pPr>
        <w:pStyle w:val="Equationlegend"/>
      </w:pPr>
      <w:r w:rsidRPr="0064301E">
        <w:rPr>
          <w:i/>
          <w:iCs/>
        </w:rPr>
        <w:tab/>
        <w:t>n</w:t>
      </w:r>
      <w:r w:rsidRPr="0064301E">
        <w:rPr>
          <w:iCs/>
        </w:rPr>
        <w:t>:</w:t>
      </w:r>
      <w:r w:rsidRPr="0064301E">
        <w:rPr>
          <w:i/>
          <w:iCs/>
        </w:rPr>
        <w:tab/>
      </w:r>
      <w:r w:rsidRPr="0064301E">
        <w:t xml:space="preserve">est le nombre total d'allotissements ou d'assignations brouilleurs pour lesquels l'espacement orbital minimal avec le satellite utile est inférieur ou égal à </w:t>
      </w:r>
      <w:del w:id="18" w:author="French" w:date="2023-11-02T08:38:00Z">
        <w:r w:rsidRPr="0064301E" w:rsidDel="004B614E">
          <w:delText>10</w:delText>
        </w:r>
      </w:del>
      <w:ins w:id="19" w:author="French" w:date="2023-11-02T08:38:00Z">
        <w:r w:rsidR="004B614E" w:rsidRPr="0064301E">
          <w:t>7</w:t>
        </w:r>
      </w:ins>
      <w:r w:rsidRPr="0064301E">
        <w:t xml:space="preserve">° dans le cas de la bande des 6/4 GHz et inférieur ou égal à </w:t>
      </w:r>
      <w:del w:id="20" w:author="French" w:date="2023-11-02T08:38:00Z">
        <w:r w:rsidRPr="0064301E" w:rsidDel="004B614E">
          <w:delText>9</w:delText>
        </w:r>
      </w:del>
      <w:ins w:id="21" w:author="French" w:date="2023-11-02T08:38:00Z">
        <w:r w:rsidR="004B614E" w:rsidRPr="0064301E">
          <w:t>6</w:t>
        </w:r>
      </w:ins>
      <w:r w:rsidRPr="0064301E">
        <w:t>° dans le cas de la bande des 13/10</w:t>
      </w:r>
      <w:r w:rsidRPr="0064301E">
        <w:noBreakHyphen/>
        <w:t>11 GHz.</w:t>
      </w:r>
    </w:p>
    <w:p w14:paraId="33ED7C2A" w14:textId="2739AA22" w:rsidR="008127EC" w:rsidRPr="0064301E" w:rsidRDefault="0044075C" w:rsidP="00FA586B">
      <w:pPr>
        <w:pStyle w:val="Reasons"/>
      </w:pPr>
      <w:r w:rsidRPr="0064301E">
        <w:rPr>
          <w:b/>
        </w:rPr>
        <w:t>Motifs:</w:t>
      </w:r>
      <w:r w:rsidRPr="0064301E">
        <w:tab/>
      </w:r>
      <w:r w:rsidR="00D13221" w:rsidRPr="0064301E">
        <w:t>A</w:t>
      </w:r>
      <w:r w:rsidR="00AA3EEE" w:rsidRPr="0064301E">
        <w:t>ssurer la cohérence avec les valeurs de l'espacement orbital indiquées aux §</w:t>
      </w:r>
      <w:r w:rsidR="008F5A46" w:rsidRPr="0064301E">
        <w:t> </w:t>
      </w:r>
      <w:r w:rsidR="00AA3EEE" w:rsidRPr="0064301E">
        <w:t xml:space="preserve">1.1 et 1.2 de l'Annexe 4 de l'Appendice </w:t>
      </w:r>
      <w:r w:rsidR="00AA3EEE" w:rsidRPr="0064301E">
        <w:rPr>
          <w:b/>
          <w:bCs/>
        </w:rPr>
        <w:t>30B</w:t>
      </w:r>
      <w:r w:rsidR="00AA3EEE" w:rsidRPr="0064301E">
        <w:t xml:space="preserve"> </w:t>
      </w:r>
      <w:r w:rsidR="008F5A46" w:rsidRPr="0064301E">
        <w:rPr>
          <w:b/>
          <w:bCs/>
        </w:rPr>
        <w:t>(Rév.CMR-19)</w:t>
      </w:r>
      <w:r w:rsidR="008F5A46" w:rsidRPr="0064301E">
        <w:t xml:space="preserve"> </w:t>
      </w:r>
      <w:r w:rsidR="00AA3EEE" w:rsidRPr="0064301E">
        <w:t xml:space="preserve">du RR et incorporer la Règle de procédure relative à la Section 2 de l'Appendice 1 de l'Annexe 4 de l'Appendice </w:t>
      </w:r>
      <w:r w:rsidR="00AA3EEE" w:rsidRPr="0064301E">
        <w:rPr>
          <w:b/>
          <w:bCs/>
        </w:rPr>
        <w:t>30B (Rév.CMR-19)</w:t>
      </w:r>
      <w:r w:rsidR="00C10D0A" w:rsidRPr="0064301E">
        <w:t>.</w:t>
      </w:r>
    </w:p>
    <w:p w14:paraId="6CDBD942" w14:textId="69E34CE1" w:rsidR="00C027AF" w:rsidRPr="0064301E" w:rsidRDefault="008127EC" w:rsidP="008127EC">
      <w:pPr>
        <w:jc w:val="center"/>
      </w:pPr>
      <w:r w:rsidRPr="0064301E">
        <w:t>______________</w:t>
      </w:r>
    </w:p>
    <w:sectPr w:rsidR="00C027AF" w:rsidRPr="0064301E"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C636" w14:textId="77777777" w:rsidR="00CB685A" w:rsidRDefault="00CB685A">
      <w:r>
        <w:separator/>
      </w:r>
    </w:p>
  </w:endnote>
  <w:endnote w:type="continuationSeparator" w:id="0">
    <w:p w14:paraId="4047826C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6CED" w14:textId="43D7079D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4301E">
      <w:rPr>
        <w:noProof/>
        <w:lang w:val="en-US"/>
      </w:rPr>
      <w:t>P:\FRA\ITU-R\CONF-R\CMR23\000\085ADD22ADD04F.docx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301E">
      <w:rPr>
        <w:noProof/>
      </w:rPr>
      <w:t>07.11.23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4301E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DF69" w14:textId="198B25BA" w:rsidR="00936D25" w:rsidRDefault="00FA586B" w:rsidP="004C674F">
    <w:pPr>
      <w:pStyle w:val="Footer"/>
      <w:rPr>
        <w:lang w:val="en-US"/>
      </w:rPr>
    </w:pPr>
    <w:ins w:id="22" w:author="Seror, Jean-baptiste" w:date="2023-11-07T14:08:00Z">
      <w:r>
        <w:fldChar w:fldCharType="begin"/>
      </w:r>
      <w:r w:rsidRPr="004C674F">
        <w:rPr>
          <w:lang w:val="en-GB"/>
          <w:rPrChange w:id="23" w:author="Seror, Jean-baptiste" w:date="2023-11-07T14:08:00Z">
            <w:rPr/>
          </w:rPrChange>
        </w:rPr>
        <w:instrText xml:space="preserve"> FILENAME \p  \* MERGEFORMAT </w:instrText>
      </w:r>
      <w:r>
        <w:fldChar w:fldCharType="separate"/>
      </w:r>
    </w:ins>
    <w:r w:rsidR="0064301E">
      <w:rPr>
        <w:lang w:val="en-GB"/>
      </w:rPr>
      <w:t>P:\FRA\ITU-R\CONF-R\CMR23\000\085ADD22ADD04F.docx</w:t>
    </w:r>
    <w:ins w:id="24" w:author="Seror, Jean-baptiste" w:date="2023-11-07T14:08:00Z">
      <w:r>
        <w:fldChar w:fldCharType="end"/>
      </w:r>
    </w:ins>
    <w:r w:rsidRPr="00DF7DAF">
      <w:rPr>
        <w:lang w:val="en-US"/>
      </w:rPr>
      <w:t xml:space="preserve"> </w:t>
    </w:r>
    <w:r w:rsidRPr="004C674F">
      <w:rPr>
        <w:lang w:val="en-GB"/>
        <w:rPrChange w:id="25" w:author="Seror, Jean-baptiste" w:date="2023-11-07T14:08:00Z">
          <w:rPr/>
        </w:rPrChange>
      </w:rPr>
      <w:t>(529896)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FADA" w14:textId="63CA1F89" w:rsidR="00936D25" w:rsidRDefault="004C674F" w:rsidP="004C674F">
    <w:pPr>
      <w:pStyle w:val="Footer"/>
      <w:rPr>
        <w:lang w:val="en-US"/>
      </w:rPr>
    </w:pPr>
    <w:ins w:id="26" w:author="Seror, Jean-baptiste" w:date="2023-11-07T14:08:00Z">
      <w:r>
        <w:fldChar w:fldCharType="begin"/>
      </w:r>
      <w:r w:rsidRPr="004C674F">
        <w:rPr>
          <w:lang w:val="en-GB"/>
          <w:rPrChange w:id="27" w:author="Seror, Jean-baptiste" w:date="2023-11-07T14:08:00Z">
            <w:rPr/>
          </w:rPrChange>
        </w:rPr>
        <w:instrText xml:space="preserve"> FILENAME \p  \* MERGEFORMAT </w:instrText>
      </w:r>
      <w:r>
        <w:fldChar w:fldCharType="separate"/>
      </w:r>
    </w:ins>
    <w:r w:rsidR="0064301E">
      <w:rPr>
        <w:lang w:val="en-GB"/>
      </w:rPr>
      <w:t>P:\FRA\ITU-R\CONF-R\CMR23\000\085ADD22ADD04F.docx</w:t>
    </w:r>
    <w:ins w:id="28" w:author="Seror, Jean-baptiste" w:date="2023-11-07T14:08:00Z">
      <w:r>
        <w:fldChar w:fldCharType="end"/>
      </w:r>
    </w:ins>
    <w:r w:rsidR="00DF7DAF" w:rsidRPr="00DF7DAF">
      <w:rPr>
        <w:lang w:val="en-US"/>
      </w:rPr>
      <w:t xml:space="preserve"> </w:t>
    </w:r>
    <w:r w:rsidR="00431792" w:rsidRPr="004C674F">
      <w:rPr>
        <w:lang w:val="en-GB"/>
        <w:rPrChange w:id="29" w:author="Seror, Jean-baptiste" w:date="2023-11-07T14:08:00Z">
          <w:rPr/>
        </w:rPrChange>
      </w:rPr>
      <w:t>(529896)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283E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32DFE339" w14:textId="77777777" w:rsidR="00CB685A" w:rsidRDefault="00CB685A">
      <w:r>
        <w:continuationSeparator/>
      </w:r>
    </w:p>
  </w:footnote>
  <w:footnote w:id="1">
    <w:p w14:paraId="72C1EEC6" w14:textId="27B7B20A" w:rsidR="0044075C" w:rsidRPr="003F4128" w:rsidRDefault="0044075C" w:rsidP="009F1174">
      <w:pPr>
        <w:pStyle w:val="FootnoteText"/>
        <w:rPr>
          <w:lang w:val="fr-CH"/>
        </w:rPr>
      </w:pPr>
      <w:r>
        <w:rPr>
          <w:rStyle w:val="FootnoteReference"/>
        </w:rPr>
        <w:t>15</w:t>
      </w:r>
      <w:r w:rsidRPr="003F4128">
        <w:rPr>
          <w:rStyle w:val="FootnoteReference"/>
          <w:i/>
          <w:iCs/>
        </w:rPr>
        <w:t>bis</w:t>
      </w:r>
      <w:r>
        <w:t>  </w:t>
      </w:r>
      <w:r w:rsidRPr="0082492B">
        <w:t>Pour les assignations de</w:t>
      </w:r>
      <w:r>
        <w:t xml:space="preserve"> fréquence </w:t>
      </w:r>
      <w:r w:rsidRPr="000C6078">
        <w:t>inscrite</w:t>
      </w:r>
      <w:r>
        <w:t>s</w:t>
      </w:r>
      <w:r w:rsidRPr="000C6078">
        <w:t xml:space="preserve"> dans la Liste</w:t>
      </w:r>
      <w:r>
        <w:t xml:space="preserve"> </w:t>
      </w:r>
      <w:r w:rsidRPr="000C6078">
        <w:t>et mise</w:t>
      </w:r>
      <w:r>
        <w:t>s</w:t>
      </w:r>
      <w:r w:rsidRPr="000C6078">
        <w:t xml:space="preserve"> en service</w:t>
      </w:r>
      <w:r>
        <w:t xml:space="preserve"> avant le</w:t>
      </w:r>
      <w:r w:rsidR="004B614E">
        <w:t xml:space="preserve"> </w:t>
      </w:r>
      <w:r>
        <w:t xml:space="preserve">23 novembre 2019, les critères du </w:t>
      </w:r>
      <w:r w:rsidRPr="0082492B">
        <w:t>§</w:t>
      </w:r>
      <w:r>
        <w:t> </w:t>
      </w:r>
      <w:r w:rsidRPr="0082492B">
        <w:t xml:space="preserve">2.2 </w:t>
      </w:r>
      <w:r>
        <w:t>de la présente A</w:t>
      </w:r>
      <w:r w:rsidRPr="0082492B">
        <w:t>nnex</w:t>
      </w:r>
      <w:r>
        <w:t xml:space="preserve">e ne sont pas </w:t>
      </w:r>
      <w:r w:rsidRPr="0082492B">
        <w:t>applicable</w:t>
      </w:r>
      <w:r>
        <w:t>s</w:t>
      </w:r>
      <w:r w:rsidRPr="0082492B">
        <w:t>.</w:t>
      </w:r>
      <w:r w:rsidRPr="00C711F8">
        <w:rPr>
          <w:sz w:val="16"/>
          <w:szCs w:val="16"/>
          <w:lang w:val="fr-CH"/>
        </w:rPr>
        <w:t>     (CMR-19)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9863C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768F59BA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85(Add.22)(Add.4)-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02780869">
    <w:abstractNumId w:val="0"/>
  </w:num>
  <w:num w:numId="2" w16cid:durableId="12018214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or, Jean-baptiste">
    <w15:presenceInfo w15:providerId="AD" w15:userId="S::jean-baptiste.seror@itu.int::00837f33-0bfb-411c-a2c0-bbae1403faf4"/>
  </w15:person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D03D9"/>
    <w:rsid w:val="001D1EB8"/>
    <w:rsid w:val="001F17E8"/>
    <w:rsid w:val="00204306"/>
    <w:rsid w:val="00225CF2"/>
    <w:rsid w:val="00232FD2"/>
    <w:rsid w:val="00254F36"/>
    <w:rsid w:val="0026554E"/>
    <w:rsid w:val="002A4622"/>
    <w:rsid w:val="002A6F8F"/>
    <w:rsid w:val="002B17E5"/>
    <w:rsid w:val="002C0EBF"/>
    <w:rsid w:val="002C28A4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31792"/>
    <w:rsid w:val="0044075C"/>
    <w:rsid w:val="00466211"/>
    <w:rsid w:val="00483196"/>
    <w:rsid w:val="004834A9"/>
    <w:rsid w:val="004B614E"/>
    <w:rsid w:val="004C674F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301E"/>
    <w:rsid w:val="00647B59"/>
    <w:rsid w:val="00690C7B"/>
    <w:rsid w:val="006A4B45"/>
    <w:rsid w:val="006C0FE3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F282B"/>
    <w:rsid w:val="008127EC"/>
    <w:rsid w:val="00830086"/>
    <w:rsid w:val="00851625"/>
    <w:rsid w:val="00862993"/>
    <w:rsid w:val="00863C0A"/>
    <w:rsid w:val="00867D5C"/>
    <w:rsid w:val="008A3120"/>
    <w:rsid w:val="008A4B97"/>
    <w:rsid w:val="008C5B8E"/>
    <w:rsid w:val="008C5DD5"/>
    <w:rsid w:val="008C7123"/>
    <w:rsid w:val="008D41BE"/>
    <w:rsid w:val="008D58D3"/>
    <w:rsid w:val="008E3BC9"/>
    <w:rsid w:val="008F5A46"/>
    <w:rsid w:val="00923064"/>
    <w:rsid w:val="00930FFD"/>
    <w:rsid w:val="00936D25"/>
    <w:rsid w:val="00941EA5"/>
    <w:rsid w:val="00964700"/>
    <w:rsid w:val="00966C16"/>
    <w:rsid w:val="00981B5F"/>
    <w:rsid w:val="0098732F"/>
    <w:rsid w:val="009A045F"/>
    <w:rsid w:val="009A6A2B"/>
    <w:rsid w:val="009C7E7C"/>
    <w:rsid w:val="00A00473"/>
    <w:rsid w:val="00A03C9B"/>
    <w:rsid w:val="00A37105"/>
    <w:rsid w:val="00A606C3"/>
    <w:rsid w:val="00A810C5"/>
    <w:rsid w:val="00A83B09"/>
    <w:rsid w:val="00A84541"/>
    <w:rsid w:val="00AA3EEE"/>
    <w:rsid w:val="00AC2572"/>
    <w:rsid w:val="00AE36A0"/>
    <w:rsid w:val="00B00294"/>
    <w:rsid w:val="00B3749C"/>
    <w:rsid w:val="00B64FD0"/>
    <w:rsid w:val="00BA5BD0"/>
    <w:rsid w:val="00BB1D82"/>
    <w:rsid w:val="00BC217E"/>
    <w:rsid w:val="00BD51C5"/>
    <w:rsid w:val="00BF26E7"/>
    <w:rsid w:val="00C027AF"/>
    <w:rsid w:val="00C10D0A"/>
    <w:rsid w:val="00C1305F"/>
    <w:rsid w:val="00C53FCA"/>
    <w:rsid w:val="00C71DEB"/>
    <w:rsid w:val="00C76BAF"/>
    <w:rsid w:val="00C814B9"/>
    <w:rsid w:val="00CB685A"/>
    <w:rsid w:val="00CD516F"/>
    <w:rsid w:val="00CF13CE"/>
    <w:rsid w:val="00D05869"/>
    <w:rsid w:val="00D119A7"/>
    <w:rsid w:val="00D13221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DF7DAF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87019"/>
    <w:rsid w:val="00FA3BBF"/>
    <w:rsid w:val="00FA586B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8245078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03177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B614E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R23-WRC23-C-0085!A22-A4!MSW-F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54507-8B2F-485A-8A78-6D645D803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D817D-AB96-46BE-BF55-598B552DCE0D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www.w3.org/XML/1998/namespace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BFFC81-3110-439D-89F3-77233ADB57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439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R23-WRC23-C-0085!A22-A4!MSW-F</vt:lpstr>
    </vt:vector>
  </TitlesOfParts>
  <Manager>Secrétariat général - Pool</Manager>
  <Company>Union internationale des télécommunications (UIT)</Company>
  <LinksUpToDate>false</LinksUpToDate>
  <CharactersWithSpaces>2901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R23-WRC23-C-0085!A22-A4!MSW-F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4</cp:revision>
  <cp:lastPrinted>2003-06-05T19:34:00Z</cp:lastPrinted>
  <dcterms:created xsi:type="dcterms:W3CDTF">2023-11-07T13:07:00Z</dcterms:created>
  <dcterms:modified xsi:type="dcterms:W3CDTF">2023-11-08T06:54:00Z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