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675036" w14:paraId="488C3F36" w14:textId="77777777" w:rsidTr="0080079E">
        <w:trPr>
          <w:cantSplit/>
        </w:trPr>
        <w:tc>
          <w:tcPr>
            <w:tcW w:w="1418" w:type="dxa"/>
            <w:vAlign w:val="center"/>
          </w:tcPr>
          <w:p w14:paraId="4473E601" w14:textId="77777777" w:rsidR="0080079E" w:rsidRPr="00675036" w:rsidRDefault="0080079E" w:rsidP="0080079E">
            <w:pPr>
              <w:spacing w:before="0" w:line="240" w:lineRule="atLeast"/>
              <w:rPr>
                <w:rFonts w:ascii="Verdana" w:hAnsi="Verdana"/>
                <w:position w:val="6"/>
                <w:lang w:val="es-ES"/>
              </w:rPr>
            </w:pPr>
            <w:r w:rsidRPr="00675036">
              <w:rPr>
                <w:noProof/>
                <w:lang w:val="es-ES" w:eastAsia="es-ES"/>
              </w:rPr>
              <w:drawing>
                <wp:inline distT="0" distB="0" distL="0" distR="0" wp14:anchorId="3FD7AF58" wp14:editId="506E9C9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D4B9EFD" w14:textId="77777777" w:rsidR="0080079E" w:rsidRPr="00675036" w:rsidRDefault="0080079E" w:rsidP="00C44E9E">
            <w:pPr>
              <w:spacing w:before="400" w:after="48" w:line="240" w:lineRule="atLeast"/>
              <w:rPr>
                <w:rFonts w:ascii="Verdana" w:hAnsi="Verdana"/>
                <w:position w:val="6"/>
                <w:lang w:val="es-ES"/>
              </w:rPr>
            </w:pPr>
            <w:r w:rsidRPr="00675036">
              <w:rPr>
                <w:rFonts w:ascii="Verdana" w:hAnsi="Verdana" w:cs="Times"/>
                <w:b/>
                <w:position w:val="6"/>
                <w:sz w:val="20"/>
                <w:lang w:val="es-ES"/>
              </w:rPr>
              <w:t>Conferencia Mundial de Radiocomunicaciones (CMR-23)</w:t>
            </w:r>
            <w:r w:rsidRPr="00675036">
              <w:rPr>
                <w:rFonts w:ascii="Verdana" w:hAnsi="Verdana" w:cs="Times"/>
                <w:b/>
                <w:position w:val="6"/>
                <w:sz w:val="20"/>
                <w:lang w:val="es-ES"/>
              </w:rPr>
              <w:br/>
            </w:r>
            <w:r w:rsidRPr="00675036">
              <w:rPr>
                <w:rFonts w:ascii="Verdana" w:hAnsi="Verdana" w:cs="Times"/>
                <w:b/>
                <w:position w:val="6"/>
                <w:sz w:val="18"/>
                <w:szCs w:val="18"/>
                <w:lang w:val="es-ES"/>
              </w:rPr>
              <w:t>Dubái, 20 de noviembre - 15 de diciembre de 2023</w:t>
            </w:r>
          </w:p>
        </w:tc>
        <w:tc>
          <w:tcPr>
            <w:tcW w:w="1809" w:type="dxa"/>
            <w:vAlign w:val="center"/>
          </w:tcPr>
          <w:p w14:paraId="491F1598" w14:textId="77777777" w:rsidR="0080079E" w:rsidRPr="00675036" w:rsidRDefault="0080079E" w:rsidP="0080079E">
            <w:pPr>
              <w:spacing w:before="0" w:line="240" w:lineRule="atLeast"/>
              <w:rPr>
                <w:lang w:val="es-ES"/>
              </w:rPr>
            </w:pPr>
            <w:r w:rsidRPr="00675036">
              <w:rPr>
                <w:noProof/>
                <w:lang w:val="es-ES" w:eastAsia="es-ES"/>
              </w:rPr>
              <w:drawing>
                <wp:inline distT="0" distB="0" distL="0" distR="0" wp14:anchorId="3E79E342" wp14:editId="651040BA">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675036" w14:paraId="7D8F562F" w14:textId="77777777" w:rsidTr="0050008E">
        <w:trPr>
          <w:cantSplit/>
        </w:trPr>
        <w:tc>
          <w:tcPr>
            <w:tcW w:w="6911" w:type="dxa"/>
            <w:gridSpan w:val="2"/>
            <w:tcBorders>
              <w:bottom w:val="single" w:sz="12" w:space="0" w:color="auto"/>
            </w:tcBorders>
          </w:tcPr>
          <w:p w14:paraId="4761D009" w14:textId="77777777" w:rsidR="0090121B" w:rsidRPr="00675036" w:rsidRDefault="0090121B" w:rsidP="0090121B">
            <w:pPr>
              <w:spacing w:before="0" w:after="48" w:line="240" w:lineRule="atLeast"/>
              <w:rPr>
                <w:b/>
                <w:smallCaps/>
                <w:szCs w:val="24"/>
                <w:lang w:val="es-ES"/>
              </w:rPr>
            </w:pPr>
            <w:bookmarkStart w:id="0" w:name="dhead"/>
          </w:p>
        </w:tc>
        <w:tc>
          <w:tcPr>
            <w:tcW w:w="3120" w:type="dxa"/>
            <w:gridSpan w:val="2"/>
            <w:tcBorders>
              <w:bottom w:val="single" w:sz="12" w:space="0" w:color="auto"/>
            </w:tcBorders>
          </w:tcPr>
          <w:p w14:paraId="0E76C5CF" w14:textId="77777777" w:rsidR="0090121B" w:rsidRPr="00675036" w:rsidRDefault="0090121B" w:rsidP="0090121B">
            <w:pPr>
              <w:spacing w:before="0" w:line="240" w:lineRule="atLeast"/>
              <w:rPr>
                <w:rFonts w:ascii="Verdana" w:hAnsi="Verdana"/>
                <w:szCs w:val="24"/>
                <w:lang w:val="es-ES"/>
              </w:rPr>
            </w:pPr>
          </w:p>
        </w:tc>
      </w:tr>
      <w:tr w:rsidR="0090121B" w:rsidRPr="00675036" w14:paraId="37EB05CA" w14:textId="77777777" w:rsidTr="0090121B">
        <w:trPr>
          <w:cantSplit/>
        </w:trPr>
        <w:tc>
          <w:tcPr>
            <w:tcW w:w="6911" w:type="dxa"/>
            <w:gridSpan w:val="2"/>
            <w:tcBorders>
              <w:top w:val="single" w:sz="12" w:space="0" w:color="auto"/>
            </w:tcBorders>
          </w:tcPr>
          <w:p w14:paraId="7EEA4DEB" w14:textId="77777777" w:rsidR="0090121B" w:rsidRPr="00675036"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7DBC3285" w14:textId="77777777" w:rsidR="0090121B" w:rsidRPr="00675036" w:rsidRDefault="0090121B" w:rsidP="0090121B">
            <w:pPr>
              <w:spacing w:before="0" w:line="240" w:lineRule="atLeast"/>
              <w:rPr>
                <w:rFonts w:ascii="Verdana" w:hAnsi="Verdana"/>
                <w:sz w:val="20"/>
                <w:lang w:val="es-ES"/>
              </w:rPr>
            </w:pPr>
          </w:p>
        </w:tc>
      </w:tr>
      <w:tr w:rsidR="0090121B" w:rsidRPr="00675036" w14:paraId="404BB566" w14:textId="77777777" w:rsidTr="0090121B">
        <w:trPr>
          <w:cantSplit/>
        </w:trPr>
        <w:tc>
          <w:tcPr>
            <w:tcW w:w="6911" w:type="dxa"/>
            <w:gridSpan w:val="2"/>
          </w:tcPr>
          <w:p w14:paraId="4E49D865" w14:textId="77777777" w:rsidR="0090121B" w:rsidRPr="00675036" w:rsidRDefault="001E7D42" w:rsidP="00EA77F0">
            <w:pPr>
              <w:pStyle w:val="Committee"/>
              <w:framePr w:hSpace="0" w:wrap="auto" w:hAnchor="text" w:yAlign="inline"/>
              <w:rPr>
                <w:sz w:val="18"/>
                <w:szCs w:val="18"/>
                <w:lang w:val="es-ES"/>
              </w:rPr>
            </w:pPr>
            <w:r w:rsidRPr="00675036">
              <w:rPr>
                <w:sz w:val="18"/>
                <w:szCs w:val="18"/>
                <w:lang w:val="es-ES"/>
              </w:rPr>
              <w:t>SESIÓN PLENARIA</w:t>
            </w:r>
          </w:p>
        </w:tc>
        <w:tc>
          <w:tcPr>
            <w:tcW w:w="3120" w:type="dxa"/>
            <w:gridSpan w:val="2"/>
          </w:tcPr>
          <w:p w14:paraId="01FF7582" w14:textId="77777777" w:rsidR="0090121B" w:rsidRPr="00675036" w:rsidRDefault="00AE658F" w:rsidP="0045384C">
            <w:pPr>
              <w:spacing w:before="0"/>
              <w:rPr>
                <w:rFonts w:ascii="Verdana" w:hAnsi="Verdana"/>
                <w:sz w:val="18"/>
                <w:szCs w:val="18"/>
                <w:lang w:val="es-ES"/>
              </w:rPr>
            </w:pPr>
            <w:r w:rsidRPr="00675036">
              <w:rPr>
                <w:rFonts w:ascii="Verdana" w:hAnsi="Verdana"/>
                <w:b/>
                <w:sz w:val="18"/>
                <w:szCs w:val="18"/>
                <w:lang w:val="es-ES"/>
              </w:rPr>
              <w:t>Addéndum 11 al</w:t>
            </w:r>
            <w:r w:rsidRPr="00675036">
              <w:rPr>
                <w:rFonts w:ascii="Verdana" w:hAnsi="Verdana"/>
                <w:b/>
                <w:sz w:val="18"/>
                <w:szCs w:val="18"/>
                <w:lang w:val="es-ES"/>
              </w:rPr>
              <w:br/>
              <w:t>Documento 85(Add.22)</w:t>
            </w:r>
            <w:r w:rsidR="0090121B" w:rsidRPr="00675036">
              <w:rPr>
                <w:rFonts w:ascii="Verdana" w:hAnsi="Verdana"/>
                <w:b/>
                <w:sz w:val="18"/>
                <w:szCs w:val="18"/>
                <w:lang w:val="es-ES"/>
              </w:rPr>
              <w:t>-</w:t>
            </w:r>
            <w:r w:rsidRPr="00675036">
              <w:rPr>
                <w:rFonts w:ascii="Verdana" w:hAnsi="Verdana"/>
                <w:b/>
                <w:sz w:val="18"/>
                <w:szCs w:val="18"/>
                <w:lang w:val="es-ES"/>
              </w:rPr>
              <w:t>S</w:t>
            </w:r>
          </w:p>
        </w:tc>
      </w:tr>
      <w:bookmarkEnd w:id="0"/>
      <w:tr w:rsidR="000A5B9A" w:rsidRPr="00675036" w14:paraId="786291D2" w14:textId="77777777" w:rsidTr="0090121B">
        <w:trPr>
          <w:cantSplit/>
        </w:trPr>
        <w:tc>
          <w:tcPr>
            <w:tcW w:w="6911" w:type="dxa"/>
            <w:gridSpan w:val="2"/>
          </w:tcPr>
          <w:p w14:paraId="337AD43D" w14:textId="77777777" w:rsidR="000A5B9A" w:rsidRPr="00675036" w:rsidRDefault="000A5B9A" w:rsidP="0045384C">
            <w:pPr>
              <w:spacing w:before="0" w:after="48"/>
              <w:rPr>
                <w:rFonts w:ascii="Verdana" w:hAnsi="Verdana"/>
                <w:b/>
                <w:smallCaps/>
                <w:sz w:val="18"/>
                <w:szCs w:val="18"/>
                <w:lang w:val="es-ES"/>
              </w:rPr>
            </w:pPr>
          </w:p>
        </w:tc>
        <w:tc>
          <w:tcPr>
            <w:tcW w:w="3120" w:type="dxa"/>
            <w:gridSpan w:val="2"/>
          </w:tcPr>
          <w:p w14:paraId="0A2CEBE6" w14:textId="77777777" w:rsidR="000A5B9A" w:rsidRPr="00675036" w:rsidRDefault="000A5B9A" w:rsidP="0045384C">
            <w:pPr>
              <w:spacing w:before="0"/>
              <w:rPr>
                <w:rFonts w:ascii="Verdana" w:hAnsi="Verdana"/>
                <w:b/>
                <w:sz w:val="18"/>
                <w:szCs w:val="18"/>
                <w:lang w:val="es-ES"/>
              </w:rPr>
            </w:pPr>
            <w:r w:rsidRPr="00675036">
              <w:rPr>
                <w:rFonts w:ascii="Verdana" w:hAnsi="Verdana"/>
                <w:b/>
                <w:sz w:val="18"/>
                <w:szCs w:val="18"/>
                <w:lang w:val="es-ES"/>
              </w:rPr>
              <w:t>22 de octubre de 2023</w:t>
            </w:r>
          </w:p>
        </w:tc>
      </w:tr>
      <w:tr w:rsidR="000A5B9A" w:rsidRPr="00675036" w14:paraId="278E82AA" w14:textId="77777777" w:rsidTr="0090121B">
        <w:trPr>
          <w:cantSplit/>
        </w:trPr>
        <w:tc>
          <w:tcPr>
            <w:tcW w:w="6911" w:type="dxa"/>
            <w:gridSpan w:val="2"/>
          </w:tcPr>
          <w:p w14:paraId="78811920" w14:textId="77777777" w:rsidR="000A5B9A" w:rsidRPr="00675036" w:rsidRDefault="000A5B9A" w:rsidP="0045384C">
            <w:pPr>
              <w:spacing w:before="0" w:after="48"/>
              <w:rPr>
                <w:rFonts w:ascii="Verdana" w:hAnsi="Verdana"/>
                <w:b/>
                <w:smallCaps/>
                <w:sz w:val="18"/>
                <w:szCs w:val="18"/>
                <w:lang w:val="es-ES"/>
              </w:rPr>
            </w:pPr>
          </w:p>
        </w:tc>
        <w:tc>
          <w:tcPr>
            <w:tcW w:w="3120" w:type="dxa"/>
            <w:gridSpan w:val="2"/>
          </w:tcPr>
          <w:p w14:paraId="0BADD9F0" w14:textId="77777777" w:rsidR="000A5B9A" w:rsidRPr="00675036" w:rsidRDefault="000A5B9A" w:rsidP="0045384C">
            <w:pPr>
              <w:spacing w:before="0"/>
              <w:rPr>
                <w:rFonts w:ascii="Verdana" w:hAnsi="Verdana"/>
                <w:b/>
                <w:sz w:val="18"/>
                <w:szCs w:val="18"/>
                <w:lang w:val="es-ES"/>
              </w:rPr>
            </w:pPr>
            <w:r w:rsidRPr="00675036">
              <w:rPr>
                <w:rFonts w:ascii="Verdana" w:hAnsi="Verdana"/>
                <w:b/>
                <w:sz w:val="18"/>
                <w:szCs w:val="18"/>
                <w:lang w:val="es-ES"/>
              </w:rPr>
              <w:t>Original: ruso</w:t>
            </w:r>
          </w:p>
        </w:tc>
      </w:tr>
      <w:tr w:rsidR="000A5B9A" w:rsidRPr="00675036" w14:paraId="65CDD6FA" w14:textId="77777777" w:rsidTr="006744FC">
        <w:trPr>
          <w:cantSplit/>
        </w:trPr>
        <w:tc>
          <w:tcPr>
            <w:tcW w:w="10031" w:type="dxa"/>
            <w:gridSpan w:val="4"/>
          </w:tcPr>
          <w:p w14:paraId="21376942" w14:textId="77777777" w:rsidR="000A5B9A" w:rsidRPr="00675036" w:rsidRDefault="000A5B9A" w:rsidP="0045384C">
            <w:pPr>
              <w:spacing w:before="0"/>
              <w:rPr>
                <w:rFonts w:ascii="Verdana" w:hAnsi="Verdana"/>
                <w:b/>
                <w:sz w:val="18"/>
                <w:szCs w:val="22"/>
                <w:lang w:val="es-ES"/>
              </w:rPr>
            </w:pPr>
          </w:p>
        </w:tc>
      </w:tr>
      <w:tr w:rsidR="000A5B9A" w:rsidRPr="00675036" w14:paraId="04699540" w14:textId="77777777" w:rsidTr="0050008E">
        <w:trPr>
          <w:cantSplit/>
        </w:trPr>
        <w:tc>
          <w:tcPr>
            <w:tcW w:w="10031" w:type="dxa"/>
            <w:gridSpan w:val="4"/>
          </w:tcPr>
          <w:p w14:paraId="24BD1208" w14:textId="77777777" w:rsidR="000A5B9A" w:rsidRPr="00675036" w:rsidRDefault="000A5B9A" w:rsidP="000A5B9A">
            <w:pPr>
              <w:pStyle w:val="Source"/>
              <w:rPr>
                <w:lang w:val="es-ES"/>
              </w:rPr>
            </w:pPr>
            <w:bookmarkStart w:id="1" w:name="dsource" w:colFirst="0" w:colLast="0"/>
            <w:r w:rsidRPr="00675036">
              <w:rPr>
                <w:lang w:val="es-ES"/>
              </w:rPr>
              <w:t>Propuestas Comunes de la Comunidad Regional de Comunicaciones</w:t>
            </w:r>
          </w:p>
        </w:tc>
      </w:tr>
      <w:tr w:rsidR="000A5B9A" w:rsidRPr="00675036" w14:paraId="5707A606" w14:textId="77777777" w:rsidTr="0050008E">
        <w:trPr>
          <w:cantSplit/>
        </w:trPr>
        <w:tc>
          <w:tcPr>
            <w:tcW w:w="10031" w:type="dxa"/>
            <w:gridSpan w:val="4"/>
          </w:tcPr>
          <w:p w14:paraId="618F71A5" w14:textId="54466097" w:rsidR="000A5B9A" w:rsidRPr="00675036" w:rsidRDefault="00FE4136" w:rsidP="000A5B9A">
            <w:pPr>
              <w:pStyle w:val="Title1"/>
              <w:rPr>
                <w:lang w:val="es-ES"/>
              </w:rPr>
            </w:pPr>
            <w:bookmarkStart w:id="2" w:name="dtitle1" w:colFirst="0" w:colLast="0"/>
            <w:bookmarkEnd w:id="1"/>
            <w:r w:rsidRPr="00675036">
              <w:rPr>
                <w:lang w:val="es-ES"/>
              </w:rPr>
              <w:t>PROPUESTAS PARA LOS TRABAJOS DE LA CONFERENCIA</w:t>
            </w:r>
          </w:p>
        </w:tc>
      </w:tr>
      <w:tr w:rsidR="000A5B9A" w:rsidRPr="00675036" w14:paraId="50FE6640" w14:textId="77777777" w:rsidTr="0050008E">
        <w:trPr>
          <w:cantSplit/>
        </w:trPr>
        <w:tc>
          <w:tcPr>
            <w:tcW w:w="10031" w:type="dxa"/>
            <w:gridSpan w:val="4"/>
          </w:tcPr>
          <w:p w14:paraId="5B792146" w14:textId="77777777" w:rsidR="000A5B9A" w:rsidRPr="00675036" w:rsidRDefault="000A5B9A" w:rsidP="000A5B9A">
            <w:pPr>
              <w:pStyle w:val="Title2"/>
              <w:rPr>
                <w:lang w:val="es-ES"/>
              </w:rPr>
            </w:pPr>
            <w:bookmarkStart w:id="3" w:name="dtitle2" w:colFirst="0" w:colLast="0"/>
            <w:bookmarkEnd w:id="2"/>
          </w:p>
        </w:tc>
      </w:tr>
      <w:tr w:rsidR="000A5B9A" w:rsidRPr="00675036" w14:paraId="4C39EDCF" w14:textId="77777777" w:rsidTr="0050008E">
        <w:trPr>
          <w:cantSplit/>
        </w:trPr>
        <w:tc>
          <w:tcPr>
            <w:tcW w:w="10031" w:type="dxa"/>
            <w:gridSpan w:val="4"/>
          </w:tcPr>
          <w:p w14:paraId="4AA58DB3" w14:textId="77777777" w:rsidR="000A5B9A" w:rsidRPr="00675036" w:rsidRDefault="000A5B9A" w:rsidP="000A5B9A">
            <w:pPr>
              <w:pStyle w:val="Agendaitem"/>
              <w:rPr>
                <w:lang w:val="es-ES"/>
              </w:rPr>
            </w:pPr>
            <w:bookmarkStart w:id="4" w:name="dtitle3" w:colFirst="0" w:colLast="0"/>
            <w:bookmarkEnd w:id="3"/>
            <w:r w:rsidRPr="00675036">
              <w:rPr>
                <w:lang w:val="es-ES"/>
              </w:rPr>
              <w:t>Punto 7(I) del orden del día</w:t>
            </w:r>
          </w:p>
        </w:tc>
      </w:tr>
    </w:tbl>
    <w:bookmarkEnd w:id="4"/>
    <w:p w14:paraId="6564F99C" w14:textId="77777777" w:rsidR="0014576B" w:rsidRPr="00675036" w:rsidRDefault="0014576B" w:rsidP="00F3193C">
      <w:pPr>
        <w:rPr>
          <w:lang w:val="es-ES"/>
        </w:rPr>
      </w:pPr>
      <w:r w:rsidRPr="00675036">
        <w:rPr>
          <w:lang w:val="es-ES"/>
        </w:rPr>
        <w:t>7</w:t>
      </w:r>
      <w:r w:rsidRPr="00675036">
        <w:rPr>
          <w:lang w:val="es-ES"/>
        </w:rPr>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675036">
        <w:rPr>
          <w:b/>
          <w:bCs/>
          <w:lang w:val="es-ES"/>
        </w:rPr>
        <w:t>86 (Rev.CMR-07</w:t>
      </w:r>
      <w:r w:rsidRPr="00675036">
        <w:rPr>
          <w:b/>
          <w:lang w:val="es-ES"/>
        </w:rPr>
        <w:t>)</w:t>
      </w:r>
      <w:r w:rsidRPr="00675036">
        <w:rPr>
          <w:b/>
          <w:bCs/>
          <w:lang w:val="es-ES"/>
        </w:rPr>
        <w:t xml:space="preserve">, </w:t>
      </w:r>
      <w:r w:rsidRPr="00675036">
        <w:rPr>
          <w:lang w:val="es-ES"/>
        </w:rPr>
        <w:t>para facilitar el uso</w:t>
      </w:r>
      <w:r w:rsidRPr="00675036">
        <w:rPr>
          <w:b/>
          <w:bCs/>
          <w:lang w:val="es-ES"/>
        </w:rPr>
        <w:t xml:space="preserve"> </w:t>
      </w:r>
      <w:r w:rsidRPr="00675036">
        <w:rPr>
          <w:lang w:val="es-ES"/>
        </w:rPr>
        <w:t>racional, eficiente y económico de las radiofrecuencias y órbitas asociadas, incluida la órbita de los satélites geoestacionarios;</w:t>
      </w:r>
    </w:p>
    <w:p w14:paraId="6DC8C696" w14:textId="77777777" w:rsidR="0014576B" w:rsidRPr="00675036" w:rsidRDefault="0014576B" w:rsidP="0041312A">
      <w:pPr>
        <w:rPr>
          <w:lang w:val="es-ES"/>
        </w:rPr>
      </w:pPr>
      <w:r w:rsidRPr="00675036">
        <w:rPr>
          <w:lang w:val="es-ES"/>
        </w:rPr>
        <w:t>7(I)</w:t>
      </w:r>
      <w:r w:rsidRPr="00675036">
        <w:rPr>
          <w:lang w:val="es-ES"/>
        </w:rPr>
        <w:tab/>
        <w:t xml:space="preserve">Tema I – Acuerdos especiales con arreglo al Apéndice </w:t>
      </w:r>
      <w:r w:rsidRPr="00675036">
        <w:rPr>
          <w:b/>
          <w:bCs/>
          <w:lang w:val="es-ES"/>
        </w:rPr>
        <w:t xml:space="preserve">30B del </w:t>
      </w:r>
      <w:r w:rsidRPr="00675036">
        <w:rPr>
          <w:lang w:val="es-ES"/>
        </w:rPr>
        <w:t>RR</w:t>
      </w:r>
    </w:p>
    <w:p w14:paraId="4A775E6E" w14:textId="77777777" w:rsidR="0014576B" w:rsidRPr="00675036" w:rsidRDefault="0014576B" w:rsidP="00411C49">
      <w:pPr>
        <w:pStyle w:val="Reasons"/>
        <w:rPr>
          <w:lang w:val="es-ES"/>
        </w:rPr>
      </w:pPr>
    </w:p>
    <w:p w14:paraId="606E7834" w14:textId="7BCE4A0F" w:rsidR="00363A65" w:rsidRPr="00675036" w:rsidRDefault="00CA0CF4" w:rsidP="002C1A52">
      <w:pPr>
        <w:rPr>
          <w:sz w:val="23"/>
          <w:szCs w:val="23"/>
          <w:lang w:val="es-ES"/>
        </w:rPr>
      </w:pPr>
      <w:r w:rsidRPr="00675036">
        <w:rPr>
          <w:lang w:val="es-ES"/>
        </w:rPr>
        <w:t>El propósito del Tema I del punto 7 del orden del día de la CMR-23 es estudiar la posibilidad de adoptar medi</w:t>
      </w:r>
      <w:r w:rsidR="004776C0" w:rsidRPr="00675036">
        <w:rPr>
          <w:lang w:val="es-ES"/>
        </w:rPr>
        <w:t>d</w:t>
      </w:r>
      <w:r w:rsidRPr="00675036">
        <w:rPr>
          <w:lang w:val="es-ES"/>
        </w:rPr>
        <w:t xml:space="preserve">as adicionales para proteger las </w:t>
      </w:r>
      <w:r w:rsidR="007769B1" w:rsidRPr="00675036">
        <w:rPr>
          <w:lang w:val="es-ES"/>
        </w:rPr>
        <w:t xml:space="preserve">adjudicaciones </w:t>
      </w:r>
      <w:r w:rsidRPr="00675036">
        <w:rPr>
          <w:lang w:val="es-ES"/>
        </w:rPr>
        <w:t xml:space="preserve">nacionales sujetas a acuerdos en virtud del § 6.15 del RR, Apéndice </w:t>
      </w:r>
      <w:r w:rsidRPr="00675036">
        <w:rPr>
          <w:b/>
          <w:lang w:val="es-ES"/>
        </w:rPr>
        <w:t>30B</w:t>
      </w:r>
      <w:r w:rsidRPr="00675036">
        <w:rPr>
          <w:lang w:val="es-ES"/>
        </w:rPr>
        <w:t>, a fin de restablecer l</w:t>
      </w:r>
      <w:r w:rsidRPr="00675036">
        <w:rPr>
          <w:sz w:val="23"/>
          <w:szCs w:val="23"/>
          <w:lang w:val="es-ES"/>
        </w:rPr>
        <w:t xml:space="preserve">os niveles combinados globales adecuados de la relación portadora-interferencia </w:t>
      </w:r>
      <w:r w:rsidR="00EB5FFF" w:rsidRPr="00675036">
        <w:rPr>
          <w:sz w:val="23"/>
          <w:szCs w:val="23"/>
          <w:lang w:val="es-ES"/>
        </w:rPr>
        <w:t xml:space="preserve">sin cambiar la posición orbital de la </w:t>
      </w:r>
      <w:r w:rsidR="007769B1" w:rsidRPr="00675036">
        <w:rPr>
          <w:lang w:val="es-ES"/>
        </w:rPr>
        <w:t xml:space="preserve">adjudicación </w:t>
      </w:r>
      <w:r w:rsidR="00EB5FFF" w:rsidRPr="00675036">
        <w:rPr>
          <w:sz w:val="23"/>
          <w:szCs w:val="23"/>
          <w:lang w:val="es-ES"/>
        </w:rPr>
        <w:t>nacional.</w:t>
      </w:r>
    </w:p>
    <w:p w14:paraId="4DCF0DC3" w14:textId="50D32B38" w:rsidR="00EB5FFF" w:rsidRPr="00675036" w:rsidRDefault="00EB5FFF" w:rsidP="002C1A52">
      <w:pPr>
        <w:rPr>
          <w:b/>
          <w:bCs/>
          <w:lang w:val="es-ES"/>
        </w:rPr>
      </w:pPr>
      <w:r w:rsidRPr="00675036">
        <w:rPr>
          <w:lang w:val="es-ES"/>
        </w:rPr>
        <w:t xml:space="preserve">Las Administraciones de la CRC respaldan la formulación de nuevas disposiciones reglamentarias en el Apéndice </w:t>
      </w:r>
      <w:r w:rsidRPr="00675036">
        <w:rPr>
          <w:b/>
          <w:bCs/>
          <w:lang w:val="es-ES"/>
        </w:rPr>
        <w:t>30B</w:t>
      </w:r>
      <w:r w:rsidRPr="00675036">
        <w:rPr>
          <w:lang w:val="es-ES"/>
        </w:rPr>
        <w:t xml:space="preserve"> del RR para permitir que las administraciones celebren acuerdos especiales encaminados a conseguir la aprobación de las administraciones con </w:t>
      </w:r>
      <w:r w:rsidR="007769B1" w:rsidRPr="00675036">
        <w:rPr>
          <w:lang w:val="es-ES"/>
        </w:rPr>
        <w:t xml:space="preserve">adjudicaciones </w:t>
      </w:r>
      <w:r w:rsidRPr="00675036">
        <w:rPr>
          <w:lang w:val="es-ES"/>
        </w:rPr>
        <w:t xml:space="preserve">nacionales afectadas en el Plan del SFS y determinados en virtud del § 6.5 del Apéndice </w:t>
      </w:r>
      <w:r w:rsidRPr="00675036">
        <w:rPr>
          <w:b/>
          <w:bCs/>
          <w:lang w:val="es-ES"/>
        </w:rPr>
        <w:t>30B del RR.</w:t>
      </w:r>
    </w:p>
    <w:p w14:paraId="3E2F77E3" w14:textId="594AEAF0" w:rsidR="00EB5FFF" w:rsidRPr="00675036" w:rsidRDefault="00EB5FFF" w:rsidP="00FE084F">
      <w:pPr>
        <w:rPr>
          <w:lang w:val="es-ES"/>
        </w:rPr>
      </w:pPr>
      <w:r w:rsidRPr="00675036">
        <w:rPr>
          <w:lang w:val="es-ES"/>
        </w:rPr>
        <w:t xml:space="preserve">Las Administraciones de la CRC consideran que se debería aplicar este tipo nuevo de acuerdo especial entre </w:t>
      </w:r>
      <w:r w:rsidR="00C35A77" w:rsidRPr="00675036">
        <w:rPr>
          <w:lang w:val="es-ES"/>
        </w:rPr>
        <w:t xml:space="preserve">administraciones con </w:t>
      </w:r>
      <w:r w:rsidRPr="00675036">
        <w:rPr>
          <w:lang w:val="es-ES"/>
        </w:rPr>
        <w:t xml:space="preserve">una atribución nacional y una asignación propuesta hasta que se ponga en </w:t>
      </w:r>
      <w:r w:rsidR="00C35A77" w:rsidRPr="00675036">
        <w:rPr>
          <w:lang w:val="es-ES"/>
        </w:rPr>
        <w:t>servicio la atribución nacional, momento en que</w:t>
      </w:r>
      <w:r w:rsidRPr="00675036">
        <w:rPr>
          <w:lang w:val="es-ES"/>
        </w:rPr>
        <w:t xml:space="preserve"> la administración </w:t>
      </w:r>
      <w:r w:rsidR="007769B1" w:rsidRPr="00675036">
        <w:rPr>
          <w:lang w:val="es-ES"/>
        </w:rPr>
        <w:t xml:space="preserve">notificante </w:t>
      </w:r>
      <w:r w:rsidRPr="00675036">
        <w:rPr>
          <w:lang w:val="es-ES"/>
        </w:rPr>
        <w:t>de la asignación propuesta se compromet</w:t>
      </w:r>
      <w:r w:rsidR="00C35A77" w:rsidRPr="00675036">
        <w:rPr>
          <w:lang w:val="es-ES"/>
        </w:rPr>
        <w:t>erá</w:t>
      </w:r>
      <w:r w:rsidRPr="00675036">
        <w:rPr>
          <w:lang w:val="es-ES"/>
        </w:rPr>
        <w:t xml:space="preserve"> a cumplir </w:t>
      </w:r>
      <w:r w:rsidR="00C35A77" w:rsidRPr="00675036">
        <w:rPr>
          <w:lang w:val="es-ES"/>
        </w:rPr>
        <w:t xml:space="preserve">los límites de dfp que figuran </w:t>
      </w:r>
      <w:r w:rsidRPr="00675036">
        <w:rPr>
          <w:lang w:val="es-ES"/>
        </w:rPr>
        <w:t xml:space="preserve">la Sección 2.2 del Anexo 4 al Apéndice </w:t>
      </w:r>
      <w:r w:rsidRPr="00675036">
        <w:rPr>
          <w:b/>
          <w:bCs/>
          <w:lang w:val="es-ES"/>
        </w:rPr>
        <w:t>30B</w:t>
      </w:r>
      <w:r w:rsidRPr="00675036">
        <w:rPr>
          <w:lang w:val="es-ES"/>
        </w:rPr>
        <w:t xml:space="preserve"> del RR a partir de la puesta en servicio de dicha atribución</w:t>
      </w:r>
      <w:r w:rsidR="004776C0" w:rsidRPr="00675036">
        <w:rPr>
          <w:lang w:val="es-ES"/>
        </w:rPr>
        <w:t xml:space="preserve"> nacional</w:t>
      </w:r>
      <w:r w:rsidRPr="00675036">
        <w:rPr>
          <w:lang w:val="es-ES"/>
        </w:rPr>
        <w:t>.</w:t>
      </w:r>
    </w:p>
    <w:p w14:paraId="29BF53B3" w14:textId="13A3CD99" w:rsidR="004776C0" w:rsidRPr="00675036" w:rsidRDefault="004776C0" w:rsidP="00FE084F">
      <w:pPr>
        <w:rPr>
          <w:lang w:val="es-ES"/>
        </w:rPr>
      </w:pPr>
      <w:r w:rsidRPr="00675036">
        <w:rPr>
          <w:lang w:val="es-ES"/>
        </w:rPr>
        <w:t>Las Administraciones de la CRC apoyan el Método 12 del Informe de la RPC.</w:t>
      </w:r>
    </w:p>
    <w:p w14:paraId="09063F5B" w14:textId="77777777" w:rsidR="008750A8" w:rsidRPr="00675036" w:rsidRDefault="008750A8" w:rsidP="008750A8">
      <w:pPr>
        <w:tabs>
          <w:tab w:val="clear" w:pos="1134"/>
          <w:tab w:val="clear" w:pos="1871"/>
          <w:tab w:val="clear" w:pos="2268"/>
        </w:tabs>
        <w:overflowPunct/>
        <w:autoSpaceDE/>
        <w:autoSpaceDN/>
        <w:adjustRightInd/>
        <w:spacing w:before="0"/>
        <w:textAlignment w:val="auto"/>
        <w:rPr>
          <w:lang w:val="es-ES"/>
        </w:rPr>
      </w:pPr>
      <w:r w:rsidRPr="00675036">
        <w:rPr>
          <w:lang w:val="es-ES"/>
        </w:rPr>
        <w:br w:type="page"/>
      </w:r>
    </w:p>
    <w:p w14:paraId="4FB93F14" w14:textId="77777777" w:rsidR="0014576B" w:rsidRPr="00675036" w:rsidRDefault="0014576B" w:rsidP="007B2C32">
      <w:pPr>
        <w:pStyle w:val="AppendixNo"/>
        <w:spacing w:before="0"/>
        <w:rPr>
          <w:lang w:val="es-ES"/>
        </w:rPr>
      </w:pPr>
      <w:bookmarkStart w:id="5" w:name="_Toc46417522"/>
      <w:bookmarkStart w:id="6" w:name="_Toc46417613"/>
      <w:bookmarkStart w:id="7" w:name="_Toc46474344"/>
      <w:bookmarkStart w:id="8" w:name="_Toc46475747"/>
      <w:r w:rsidRPr="00675036">
        <w:rPr>
          <w:lang w:val="es-ES"/>
        </w:rPr>
        <w:lastRenderedPageBreak/>
        <w:t xml:space="preserve">APÉNDICE </w:t>
      </w:r>
      <w:r w:rsidRPr="00675036">
        <w:rPr>
          <w:rStyle w:val="href"/>
          <w:lang w:val="es-ES"/>
        </w:rPr>
        <w:t>30B</w:t>
      </w:r>
      <w:r w:rsidRPr="00675036">
        <w:rPr>
          <w:lang w:val="es-ES"/>
        </w:rPr>
        <w:t xml:space="preserve"> (Rev</w:t>
      </w:r>
      <w:r w:rsidRPr="00675036">
        <w:rPr>
          <w:caps w:val="0"/>
          <w:lang w:val="es-ES"/>
        </w:rPr>
        <w:t>.</w:t>
      </w:r>
      <w:r w:rsidRPr="00675036">
        <w:rPr>
          <w:lang w:val="es-ES"/>
        </w:rPr>
        <w:t>CMR</w:t>
      </w:r>
      <w:r w:rsidRPr="00675036">
        <w:rPr>
          <w:lang w:val="es-ES"/>
        </w:rPr>
        <w:noBreakHyphen/>
        <w:t>19)</w:t>
      </w:r>
      <w:bookmarkEnd w:id="5"/>
      <w:bookmarkEnd w:id="6"/>
      <w:bookmarkEnd w:id="7"/>
      <w:bookmarkEnd w:id="8"/>
    </w:p>
    <w:p w14:paraId="10B5C4E0" w14:textId="77777777" w:rsidR="0014576B" w:rsidRPr="00675036" w:rsidRDefault="0014576B" w:rsidP="007B2C32">
      <w:pPr>
        <w:pStyle w:val="Appendixtitle"/>
        <w:rPr>
          <w:color w:val="000000"/>
          <w:lang w:val="es-ES"/>
        </w:rPr>
      </w:pPr>
      <w:bookmarkStart w:id="9" w:name="_Toc46417523"/>
      <w:bookmarkStart w:id="10" w:name="_Toc46417614"/>
      <w:bookmarkStart w:id="11" w:name="_Toc46474345"/>
      <w:bookmarkStart w:id="12" w:name="_Toc46475748"/>
      <w:r w:rsidRPr="00675036">
        <w:rPr>
          <w:color w:val="000000"/>
          <w:lang w:val="es-ES"/>
        </w:rPr>
        <w:t>Disposiciones y Plan asociado para el servicio fijo por satélite en</w:t>
      </w:r>
      <w:r w:rsidRPr="00675036">
        <w:rPr>
          <w:color w:val="000000"/>
          <w:lang w:val="es-ES"/>
        </w:rPr>
        <w:br/>
        <w:t>las bandas de frecuencias 4 500-4 800 MHz, 6 725-7 025 MHz,</w:t>
      </w:r>
      <w:r w:rsidRPr="00675036">
        <w:rPr>
          <w:color w:val="000000"/>
          <w:lang w:val="es-ES"/>
        </w:rPr>
        <w:br/>
        <w:t>10,70-10,95 GHz, 11,20-11,45 GHz y 12,75-13,25 GHz</w:t>
      </w:r>
      <w:bookmarkEnd w:id="9"/>
      <w:bookmarkEnd w:id="10"/>
      <w:bookmarkEnd w:id="11"/>
      <w:bookmarkEnd w:id="12"/>
    </w:p>
    <w:p w14:paraId="284E7A5A" w14:textId="77777777" w:rsidR="0014576B" w:rsidRPr="00675036" w:rsidRDefault="0014576B" w:rsidP="007B2C32">
      <w:pPr>
        <w:pStyle w:val="AppArtNo"/>
        <w:keepNext w:val="0"/>
        <w:keepLines w:val="0"/>
        <w:rPr>
          <w:lang w:val="es-ES"/>
        </w:rPr>
      </w:pPr>
      <w:r w:rsidRPr="00675036">
        <w:rPr>
          <w:lang w:val="es-ES"/>
        </w:rPr>
        <w:t>                 ARTÍCULO 6</w:t>
      </w:r>
      <w:r w:rsidRPr="00675036">
        <w:rPr>
          <w:caps w:val="0"/>
          <w:sz w:val="16"/>
          <w:szCs w:val="16"/>
          <w:lang w:val="es-ES"/>
        </w:rPr>
        <w:t>  </w:t>
      </w:r>
      <w:proofErr w:type="gramStart"/>
      <w:r w:rsidRPr="00675036">
        <w:rPr>
          <w:caps w:val="0"/>
          <w:sz w:val="16"/>
          <w:szCs w:val="16"/>
          <w:lang w:val="es-ES"/>
        </w:rPr>
        <w:t>   (</w:t>
      </w:r>
      <w:proofErr w:type="gramEnd"/>
      <w:r w:rsidRPr="00675036">
        <w:rPr>
          <w:caps w:val="0"/>
          <w:sz w:val="16"/>
          <w:szCs w:val="16"/>
          <w:lang w:val="es-ES"/>
        </w:rPr>
        <w:t>Rev.CMR</w:t>
      </w:r>
      <w:r w:rsidRPr="00675036">
        <w:rPr>
          <w:caps w:val="0"/>
          <w:sz w:val="16"/>
          <w:szCs w:val="16"/>
          <w:lang w:val="es-ES"/>
        </w:rPr>
        <w:noBreakHyphen/>
        <w:t>19)</w:t>
      </w:r>
    </w:p>
    <w:p w14:paraId="65B89247" w14:textId="77777777" w:rsidR="0014576B" w:rsidRPr="00675036" w:rsidRDefault="0014576B" w:rsidP="007B2C32">
      <w:pPr>
        <w:pStyle w:val="AppArttitle"/>
        <w:keepNext w:val="0"/>
        <w:keepLines w:val="0"/>
        <w:rPr>
          <w:lang w:val="es-ES"/>
        </w:rPr>
      </w:pPr>
      <w:r w:rsidRPr="00675036">
        <w:rPr>
          <w:lang w:val="es-ES"/>
        </w:rPr>
        <w:t>Procedimiento para la conversión de una adjudicación en una asignación,</w:t>
      </w:r>
      <w:r w:rsidRPr="00675036">
        <w:rPr>
          <w:lang w:val="es-ES"/>
        </w:rPr>
        <w:br/>
        <w:t xml:space="preserve">la introducción de un sistema adicional o la modificación de </w:t>
      </w:r>
      <w:r w:rsidRPr="00675036">
        <w:rPr>
          <w:lang w:val="es-ES"/>
        </w:rPr>
        <w:br/>
        <w:t>            una asignación inscrita en la Lista</w:t>
      </w:r>
      <w:r w:rsidRPr="00675036">
        <w:rPr>
          <w:rStyle w:val="FootnoteReference"/>
          <w:b w:val="0"/>
          <w:bCs/>
          <w:lang w:val="es-ES"/>
        </w:rPr>
        <w:footnoteReference w:customMarkFollows="1" w:id="1"/>
        <w:t>1,</w:t>
      </w:r>
      <w:r w:rsidRPr="00675036">
        <w:rPr>
          <w:b w:val="0"/>
          <w:bCs/>
          <w:vertAlign w:val="superscript"/>
          <w:lang w:val="es-ES"/>
        </w:rPr>
        <w:t xml:space="preserve"> </w:t>
      </w:r>
      <w:r w:rsidRPr="00675036">
        <w:rPr>
          <w:rStyle w:val="FootnoteReference"/>
          <w:b w:val="0"/>
          <w:bCs/>
          <w:color w:val="000000" w:themeColor="text1"/>
          <w:lang w:val="es-ES"/>
        </w:rPr>
        <w:t>2</w:t>
      </w:r>
      <w:r w:rsidRPr="00675036">
        <w:rPr>
          <w:rStyle w:val="FootnoteReference"/>
          <w:b w:val="0"/>
          <w:bCs/>
          <w:lang w:val="es-ES"/>
        </w:rPr>
        <w:t xml:space="preserve">, </w:t>
      </w:r>
      <w:r w:rsidRPr="00675036">
        <w:rPr>
          <w:rStyle w:val="FootnoteReference"/>
          <w:b w:val="0"/>
          <w:bCs/>
          <w:color w:val="000000" w:themeColor="text1"/>
          <w:lang w:val="es-ES"/>
        </w:rPr>
        <w:footnoteReference w:customMarkFollows="1" w:id="2"/>
        <w:t>2</w:t>
      </w:r>
      <w:r w:rsidRPr="00675036">
        <w:rPr>
          <w:rStyle w:val="FootnoteReference"/>
          <w:b w:val="0"/>
          <w:bCs/>
          <w:i/>
          <w:iCs/>
          <w:color w:val="000000" w:themeColor="text1"/>
          <w:lang w:val="es-ES"/>
        </w:rPr>
        <w:t>bis</w:t>
      </w:r>
      <w:r w:rsidRPr="00675036">
        <w:rPr>
          <w:b w:val="0"/>
          <w:bCs/>
          <w:sz w:val="16"/>
          <w:szCs w:val="16"/>
          <w:lang w:val="es-ES"/>
        </w:rPr>
        <w:t>  </w:t>
      </w:r>
      <w:proofErr w:type="gramStart"/>
      <w:r w:rsidRPr="00675036">
        <w:rPr>
          <w:b w:val="0"/>
          <w:bCs/>
          <w:sz w:val="16"/>
          <w:szCs w:val="16"/>
          <w:lang w:val="es-ES"/>
        </w:rPr>
        <w:t>   (</w:t>
      </w:r>
      <w:proofErr w:type="gramEnd"/>
      <w:r w:rsidRPr="00675036">
        <w:rPr>
          <w:b w:val="0"/>
          <w:bCs/>
          <w:sz w:val="16"/>
          <w:szCs w:val="16"/>
          <w:lang w:val="es-ES"/>
        </w:rPr>
        <w:t>CMR</w:t>
      </w:r>
      <w:r w:rsidRPr="00675036">
        <w:rPr>
          <w:b w:val="0"/>
          <w:bCs/>
          <w:sz w:val="16"/>
          <w:szCs w:val="16"/>
          <w:lang w:val="es-ES"/>
        </w:rPr>
        <w:noBreakHyphen/>
        <w:t>19)</w:t>
      </w:r>
    </w:p>
    <w:p w14:paraId="74D0A7D9" w14:textId="77777777" w:rsidR="00AF2E90" w:rsidRPr="00675036" w:rsidRDefault="0014576B">
      <w:pPr>
        <w:pStyle w:val="Proposal"/>
        <w:rPr>
          <w:lang w:val="es-ES"/>
        </w:rPr>
      </w:pPr>
      <w:r w:rsidRPr="00675036">
        <w:rPr>
          <w:lang w:val="es-ES"/>
        </w:rPr>
        <w:t>ADD</w:t>
      </w:r>
      <w:r w:rsidRPr="00675036">
        <w:rPr>
          <w:lang w:val="es-ES"/>
        </w:rPr>
        <w:tab/>
        <w:t>RCC/85A22A11/1</w:t>
      </w:r>
      <w:r w:rsidRPr="00675036">
        <w:rPr>
          <w:vanish/>
          <w:color w:val="7F7F7F" w:themeColor="text1" w:themeTint="80"/>
          <w:vertAlign w:val="superscript"/>
          <w:lang w:val="es-ES"/>
        </w:rPr>
        <w:t>#2149</w:t>
      </w:r>
    </w:p>
    <w:p w14:paraId="03C42BEB" w14:textId="30CB3426" w:rsidR="0014576B" w:rsidRPr="00675036" w:rsidRDefault="0014576B" w:rsidP="001C7A74">
      <w:pPr>
        <w:rPr>
          <w:sz w:val="16"/>
          <w:szCs w:val="16"/>
          <w:lang w:val="es-ES"/>
        </w:rPr>
      </w:pPr>
      <w:r w:rsidRPr="00675036">
        <w:rPr>
          <w:rStyle w:val="Provsplit"/>
          <w:lang w:val="es-ES"/>
        </w:rPr>
        <w:t>6.4</w:t>
      </w:r>
      <w:r w:rsidRPr="00675036">
        <w:rPr>
          <w:rStyle w:val="Provsplit"/>
          <w:i/>
          <w:iCs/>
          <w:lang w:val="es-ES"/>
        </w:rPr>
        <w:t>bis</w:t>
      </w:r>
      <w:r w:rsidRPr="00675036">
        <w:rPr>
          <w:lang w:val="es-ES"/>
        </w:rPr>
        <w:tab/>
        <w:t>Cuando el examen con respecto al § 6.3 de todas las asignaciones de una notificación recibida con arreglo al § 6.1, para convertir una adjudicación en una asignación, dé lugar a una conclusión favorable, la Oficina enviará inmediatamente un telefax a las administraciones que aplicaron el § 6.15</w:t>
      </w:r>
      <w:r w:rsidRPr="00675036">
        <w:rPr>
          <w:i/>
          <w:iCs/>
          <w:lang w:val="es-ES"/>
        </w:rPr>
        <w:t>quat</w:t>
      </w:r>
      <w:r w:rsidRPr="00675036">
        <w:rPr>
          <w:lang w:val="es-ES"/>
        </w:rPr>
        <w:t xml:space="preserve"> con respecto a esta notificación. Este telefax informará a </w:t>
      </w:r>
      <w:r w:rsidR="00AE1609" w:rsidRPr="00675036">
        <w:rPr>
          <w:lang w:val="es-ES"/>
        </w:rPr>
        <w:t xml:space="preserve">esas </w:t>
      </w:r>
      <w:r w:rsidRPr="00675036">
        <w:rPr>
          <w:lang w:val="es-ES"/>
        </w:rPr>
        <w:t xml:space="preserve">administraciones de la recepción </w:t>
      </w:r>
      <w:r w:rsidR="00AB3BAE" w:rsidRPr="00675036">
        <w:rPr>
          <w:lang w:val="es-ES"/>
        </w:rPr>
        <w:t xml:space="preserve">de la notificación </w:t>
      </w:r>
      <w:r w:rsidRPr="00675036">
        <w:rPr>
          <w:lang w:val="es-ES"/>
        </w:rPr>
        <w:t>en virtud del § 6.1.</w:t>
      </w:r>
      <w:r w:rsidRPr="00675036">
        <w:rPr>
          <w:sz w:val="16"/>
          <w:szCs w:val="16"/>
          <w:lang w:val="es-ES"/>
        </w:rPr>
        <w:t xml:space="preserve"> (CMR</w:t>
      </w:r>
      <w:r w:rsidRPr="00675036">
        <w:rPr>
          <w:sz w:val="16"/>
          <w:szCs w:val="16"/>
          <w:lang w:val="es-ES"/>
        </w:rPr>
        <w:noBreakHyphen/>
        <w:t>23)</w:t>
      </w:r>
    </w:p>
    <w:p w14:paraId="17D5820F" w14:textId="534E54C9" w:rsidR="00AF2E90" w:rsidRPr="00675036" w:rsidRDefault="00AF2E90">
      <w:pPr>
        <w:pStyle w:val="Reasons"/>
        <w:rPr>
          <w:lang w:val="es-ES"/>
        </w:rPr>
      </w:pPr>
    </w:p>
    <w:p w14:paraId="74EB28F3" w14:textId="77777777" w:rsidR="00AF2E90" w:rsidRPr="00675036" w:rsidRDefault="0014576B">
      <w:pPr>
        <w:pStyle w:val="Proposal"/>
        <w:rPr>
          <w:lang w:val="es-ES"/>
        </w:rPr>
      </w:pPr>
      <w:r w:rsidRPr="00675036">
        <w:rPr>
          <w:lang w:val="es-ES"/>
        </w:rPr>
        <w:t>ADD</w:t>
      </w:r>
      <w:r w:rsidRPr="00675036">
        <w:rPr>
          <w:lang w:val="es-ES"/>
        </w:rPr>
        <w:tab/>
        <w:t>RCC/85A22A11/2</w:t>
      </w:r>
    </w:p>
    <w:p w14:paraId="18DE49A1" w14:textId="67BEAB90" w:rsidR="00E17BE5" w:rsidRDefault="00E17BE5" w:rsidP="005F17BB">
      <w:pPr>
        <w:rPr>
          <w:lang w:val="es-ES"/>
        </w:rPr>
      </w:pPr>
      <w:r w:rsidRPr="005F17BB">
        <w:rPr>
          <w:lang w:val="es-ES"/>
        </w:rPr>
        <w:t>6.15</w:t>
      </w:r>
      <w:r w:rsidRPr="005F17BB">
        <w:rPr>
          <w:i/>
          <w:iCs/>
          <w:lang w:val="es-ES"/>
        </w:rPr>
        <w:t xml:space="preserve">quat </w:t>
      </w:r>
      <w:r w:rsidRPr="005F17BB">
        <w:rPr>
          <w:lang w:val="es-ES"/>
        </w:rPr>
        <w:t>El acuerdo de las administraciones afectadas con respecto a sus adjudicaciones en el Plan también puede obtenerse en virtud de este párrafo. Cuando se firme el acuerdo específico con una administración afectada en virtud de este párrafo, la administración notificante de la asignación debe comprometerse a respetar los límites de la densidad de flujo de potencia indicados en la sección 2.2 del Anexo 4 respecto de la adjudicación que fuera la base del desacuerdo, desde la fecha en que la asignación de frecuencias deba ponerse en servicio y comunicada en virtud del § 8.10</w:t>
      </w:r>
      <w:r w:rsidRPr="005F17BB">
        <w:rPr>
          <w:i/>
          <w:iCs/>
          <w:lang w:val="es-ES"/>
        </w:rPr>
        <w:t xml:space="preserve">bis </w:t>
      </w:r>
      <w:r w:rsidRPr="005F17BB">
        <w:rPr>
          <w:lang w:val="es-ES"/>
        </w:rPr>
        <w:t>o en el plazo de doce meses a partir de la fecha de envío del fax enviado en virtud del § 8.10</w:t>
      </w:r>
      <w:r w:rsidRPr="005F17BB">
        <w:rPr>
          <w:i/>
          <w:iCs/>
          <w:lang w:val="es-ES"/>
        </w:rPr>
        <w:t>bis</w:t>
      </w:r>
      <w:r w:rsidRPr="005F17BB">
        <w:rPr>
          <w:lang w:val="es-ES"/>
        </w:rPr>
        <w:t xml:space="preserve">, si esta fecha es posterior. Se aplica la Resolución </w:t>
      </w:r>
      <w:r w:rsidRPr="005F17BB">
        <w:rPr>
          <w:b/>
          <w:bCs/>
          <w:lang w:val="es-ES"/>
        </w:rPr>
        <w:t>[A7(I)-METHOD I2] (CMR</w:t>
      </w:r>
      <w:r w:rsidRPr="005F17BB">
        <w:rPr>
          <w:b/>
          <w:bCs/>
          <w:lang w:val="es-ES"/>
        </w:rPr>
        <w:noBreakHyphen/>
        <w:t>23)</w:t>
      </w:r>
      <w:r w:rsidRPr="005F17BB">
        <w:rPr>
          <w:lang w:val="es-ES"/>
        </w:rPr>
        <w:t>.      (CMR-23)</w:t>
      </w:r>
    </w:p>
    <w:p w14:paraId="18C89219" w14:textId="77777777" w:rsidR="005F17BB" w:rsidRPr="005F17BB" w:rsidRDefault="005F17BB" w:rsidP="005F17BB">
      <w:pPr>
        <w:pStyle w:val="Reasons"/>
      </w:pPr>
    </w:p>
    <w:p w14:paraId="4E6B896D" w14:textId="5EF118BA" w:rsidR="00AF2E90" w:rsidRPr="00675036" w:rsidRDefault="0014576B">
      <w:pPr>
        <w:pStyle w:val="Proposal"/>
        <w:rPr>
          <w:lang w:val="es-ES"/>
        </w:rPr>
      </w:pPr>
      <w:r w:rsidRPr="00675036">
        <w:rPr>
          <w:lang w:val="es-ES"/>
        </w:rPr>
        <w:lastRenderedPageBreak/>
        <w:t>ADD</w:t>
      </w:r>
      <w:r w:rsidRPr="00675036">
        <w:rPr>
          <w:lang w:val="es-ES"/>
        </w:rPr>
        <w:tab/>
        <w:t>RCC/85A22A11/3</w:t>
      </w:r>
      <w:r w:rsidRPr="00675036">
        <w:rPr>
          <w:vanish/>
          <w:color w:val="7F7F7F" w:themeColor="text1" w:themeTint="80"/>
          <w:vertAlign w:val="superscript"/>
          <w:lang w:val="es-ES"/>
        </w:rPr>
        <w:t>#2151</w:t>
      </w:r>
    </w:p>
    <w:p w14:paraId="0E840A65" w14:textId="128D900F" w:rsidR="0014576B" w:rsidRPr="00675036" w:rsidRDefault="0014576B" w:rsidP="001C7A74">
      <w:pPr>
        <w:rPr>
          <w:lang w:val="es-ES"/>
        </w:rPr>
      </w:pPr>
      <w:r w:rsidRPr="00675036">
        <w:rPr>
          <w:rStyle w:val="Provsplit"/>
          <w:lang w:val="es-ES"/>
        </w:rPr>
        <w:t>6.15</w:t>
      </w:r>
      <w:r w:rsidRPr="00675036">
        <w:rPr>
          <w:rStyle w:val="Provsplit"/>
          <w:i/>
          <w:iCs/>
          <w:lang w:val="es-ES"/>
        </w:rPr>
        <w:t>quin</w:t>
      </w:r>
      <w:r w:rsidRPr="00675036">
        <w:rPr>
          <w:lang w:val="es-ES"/>
        </w:rPr>
        <w:tab/>
        <w:t>Una vez recibidos los acuerdos en virtud del § 6.15</w:t>
      </w:r>
      <w:r w:rsidRPr="00675036">
        <w:rPr>
          <w:i/>
          <w:iCs/>
          <w:lang w:val="es-ES"/>
        </w:rPr>
        <w:t>quat</w:t>
      </w:r>
      <w:r w:rsidR="00E17BE5" w:rsidRPr="00675036">
        <w:rPr>
          <w:i/>
          <w:iCs/>
          <w:lang w:val="es-ES"/>
        </w:rPr>
        <w:t xml:space="preserve"> </w:t>
      </w:r>
      <w:r w:rsidR="00E17BE5" w:rsidRPr="005F17BB">
        <w:rPr>
          <w:iCs/>
          <w:lang w:val="es-ES"/>
        </w:rPr>
        <w:t>de las administraciones afectadas</w:t>
      </w:r>
      <w:r w:rsidRPr="00675036">
        <w:rPr>
          <w:lang w:val="es-ES"/>
        </w:rPr>
        <w:t>, al inscribir la asignación en la Lista, la Oficina indicará las administraciones cuyas adjudicaciones fueron la base del acuerdo.</w:t>
      </w:r>
      <w:r w:rsidRPr="00675036">
        <w:rPr>
          <w:sz w:val="16"/>
          <w:szCs w:val="16"/>
          <w:lang w:val="es-ES"/>
        </w:rPr>
        <w:t xml:space="preserve"> (CMR</w:t>
      </w:r>
      <w:r w:rsidRPr="00675036">
        <w:rPr>
          <w:sz w:val="16"/>
          <w:szCs w:val="16"/>
          <w:lang w:val="es-ES"/>
        </w:rPr>
        <w:noBreakHyphen/>
        <w:t>23)</w:t>
      </w:r>
    </w:p>
    <w:p w14:paraId="7A8F7877" w14:textId="22C5D452" w:rsidR="00AF2E90" w:rsidRPr="00675036" w:rsidRDefault="00AF2E90">
      <w:pPr>
        <w:pStyle w:val="Reasons"/>
        <w:rPr>
          <w:lang w:val="es-ES"/>
        </w:rPr>
      </w:pPr>
    </w:p>
    <w:p w14:paraId="6D0D5AC6" w14:textId="77777777" w:rsidR="00AF2E90" w:rsidRPr="00675036" w:rsidRDefault="0014576B">
      <w:pPr>
        <w:pStyle w:val="Proposal"/>
        <w:rPr>
          <w:lang w:val="es-ES"/>
        </w:rPr>
      </w:pPr>
      <w:r w:rsidRPr="00675036">
        <w:rPr>
          <w:lang w:val="es-ES"/>
        </w:rPr>
        <w:t>ADD</w:t>
      </w:r>
      <w:r w:rsidRPr="00675036">
        <w:rPr>
          <w:lang w:val="es-ES"/>
        </w:rPr>
        <w:tab/>
        <w:t>RCC/85A22A11/4</w:t>
      </w:r>
      <w:r w:rsidRPr="00675036">
        <w:rPr>
          <w:vanish/>
          <w:color w:val="7F7F7F" w:themeColor="text1" w:themeTint="80"/>
          <w:vertAlign w:val="superscript"/>
          <w:lang w:val="es-ES"/>
        </w:rPr>
        <w:t>#2152</w:t>
      </w:r>
    </w:p>
    <w:p w14:paraId="34604D59" w14:textId="77777777" w:rsidR="0014576B" w:rsidRPr="00675036" w:rsidRDefault="0014576B" w:rsidP="001C7A74">
      <w:pPr>
        <w:rPr>
          <w:lang w:val="es-ES"/>
        </w:rPr>
      </w:pPr>
      <w:r w:rsidRPr="00675036">
        <w:rPr>
          <w:rStyle w:val="Provsplit"/>
          <w:lang w:val="es-ES"/>
        </w:rPr>
        <w:t>6.27</w:t>
      </w:r>
      <w:r w:rsidRPr="00675036">
        <w:rPr>
          <w:rStyle w:val="Provsplit"/>
          <w:i/>
          <w:iCs/>
          <w:lang w:val="es-ES"/>
        </w:rPr>
        <w:t>bis</w:t>
      </w:r>
      <w:r w:rsidRPr="00675036">
        <w:rPr>
          <w:lang w:val="es-ES"/>
        </w:rPr>
        <w:tab/>
        <w:t>Cuando se inscriba en la Lista una asignación contemplada en el § 6.15</w:t>
      </w:r>
      <w:r w:rsidRPr="00675036">
        <w:rPr>
          <w:i/>
          <w:iCs/>
          <w:lang w:val="es-ES"/>
        </w:rPr>
        <w:t>quin</w:t>
      </w:r>
      <w:r w:rsidRPr="00675036">
        <w:rPr>
          <w:lang w:val="es-ES"/>
        </w:rPr>
        <w:t>, dicha asignación no se tendrá en cuenta para actualizar la situación de referencia de las asignaciones que fueron la base del acuerdo en virtud del § 6.15</w:t>
      </w:r>
      <w:r w:rsidRPr="00675036">
        <w:rPr>
          <w:i/>
          <w:iCs/>
          <w:lang w:val="es-ES"/>
        </w:rPr>
        <w:t>quat</w:t>
      </w:r>
      <w:r w:rsidRPr="00675036">
        <w:rPr>
          <w:lang w:val="es-ES"/>
        </w:rPr>
        <w:t>.</w:t>
      </w:r>
      <w:r w:rsidRPr="00675036">
        <w:rPr>
          <w:sz w:val="16"/>
          <w:szCs w:val="16"/>
          <w:lang w:val="es-ES"/>
        </w:rPr>
        <w:t xml:space="preserve"> (CMR</w:t>
      </w:r>
      <w:r w:rsidRPr="00675036">
        <w:rPr>
          <w:sz w:val="16"/>
          <w:szCs w:val="16"/>
          <w:lang w:val="es-ES"/>
        </w:rPr>
        <w:noBreakHyphen/>
        <w:t>23)</w:t>
      </w:r>
    </w:p>
    <w:p w14:paraId="6D842D11" w14:textId="323F6078" w:rsidR="00AF2E90" w:rsidRPr="00675036" w:rsidRDefault="00AF2E90">
      <w:pPr>
        <w:pStyle w:val="Reasons"/>
        <w:rPr>
          <w:lang w:val="es-ES"/>
        </w:rPr>
      </w:pPr>
    </w:p>
    <w:p w14:paraId="02C1C7EF" w14:textId="77777777" w:rsidR="00AF2E90" w:rsidRPr="00675036" w:rsidRDefault="0014576B">
      <w:pPr>
        <w:pStyle w:val="Proposal"/>
        <w:rPr>
          <w:lang w:val="es-ES"/>
        </w:rPr>
      </w:pPr>
      <w:r w:rsidRPr="00675036">
        <w:rPr>
          <w:lang w:val="es-ES"/>
        </w:rPr>
        <w:t>ADD</w:t>
      </w:r>
      <w:r w:rsidRPr="00675036">
        <w:rPr>
          <w:lang w:val="es-ES"/>
        </w:rPr>
        <w:tab/>
        <w:t>RCC/85A22A11/5</w:t>
      </w:r>
      <w:r w:rsidRPr="00675036">
        <w:rPr>
          <w:vanish/>
          <w:color w:val="7F7F7F" w:themeColor="text1" w:themeTint="80"/>
          <w:vertAlign w:val="superscript"/>
          <w:lang w:val="es-ES"/>
        </w:rPr>
        <w:t>#2153</w:t>
      </w:r>
    </w:p>
    <w:p w14:paraId="5F1FDEE2" w14:textId="44649B22" w:rsidR="0014576B" w:rsidRPr="00675036" w:rsidRDefault="0014576B" w:rsidP="001C7A74">
      <w:pPr>
        <w:rPr>
          <w:lang w:val="es-ES"/>
        </w:rPr>
      </w:pPr>
      <w:r w:rsidRPr="00675036">
        <w:rPr>
          <w:rStyle w:val="Provsplit"/>
          <w:lang w:val="es-ES"/>
        </w:rPr>
        <w:t>6.29</w:t>
      </w:r>
      <w:r w:rsidRPr="00675036">
        <w:rPr>
          <w:rStyle w:val="Provsplit"/>
          <w:i/>
          <w:iCs/>
          <w:lang w:val="es-ES"/>
        </w:rPr>
        <w:t>bis</w:t>
      </w:r>
      <w:r w:rsidRPr="00675036">
        <w:rPr>
          <w:lang w:val="es-ES"/>
        </w:rPr>
        <w:tab/>
        <w:t>En el caso de que una asignación en la Lista no respete el compromiso asumido en virtud del § 6.15</w:t>
      </w:r>
      <w:r w:rsidRPr="00675036">
        <w:rPr>
          <w:i/>
          <w:iCs/>
          <w:lang w:val="es-ES"/>
        </w:rPr>
        <w:t>quat</w:t>
      </w:r>
      <w:r w:rsidRPr="00675036">
        <w:rPr>
          <w:lang w:val="es-ES"/>
        </w:rPr>
        <w:t xml:space="preserve">, la Oficina consultará inmediatamente a la administración responsable de </w:t>
      </w:r>
      <w:r w:rsidR="00E17BE5" w:rsidRPr="00675036">
        <w:rPr>
          <w:lang w:val="es-ES"/>
        </w:rPr>
        <w:t>esa</w:t>
      </w:r>
      <w:r w:rsidRPr="00675036">
        <w:rPr>
          <w:lang w:val="es-ES"/>
        </w:rPr>
        <w:t xml:space="preserve"> asignación solicitando el respeto inmediato de las condiciones especificadas en el § 6.15</w:t>
      </w:r>
      <w:r w:rsidRPr="00675036">
        <w:rPr>
          <w:i/>
          <w:iCs/>
          <w:lang w:val="es-ES"/>
        </w:rPr>
        <w:t>quat</w:t>
      </w:r>
      <w:r w:rsidRPr="00675036">
        <w:rPr>
          <w:lang w:val="es-ES"/>
        </w:rPr>
        <w:t>.</w:t>
      </w:r>
      <w:r w:rsidRPr="00675036">
        <w:rPr>
          <w:sz w:val="16"/>
          <w:szCs w:val="16"/>
          <w:lang w:val="es-ES"/>
        </w:rPr>
        <w:t xml:space="preserve"> (CMR</w:t>
      </w:r>
      <w:r w:rsidRPr="00675036">
        <w:rPr>
          <w:sz w:val="16"/>
          <w:szCs w:val="16"/>
          <w:lang w:val="es-ES"/>
        </w:rPr>
        <w:noBreakHyphen/>
        <w:t>23)</w:t>
      </w:r>
    </w:p>
    <w:p w14:paraId="64B673BF" w14:textId="391FC467" w:rsidR="00AF2E90" w:rsidRPr="00675036" w:rsidRDefault="00AF2E90">
      <w:pPr>
        <w:pStyle w:val="Reasons"/>
        <w:rPr>
          <w:lang w:val="es-ES"/>
        </w:rPr>
      </w:pPr>
    </w:p>
    <w:p w14:paraId="46834997" w14:textId="77777777" w:rsidR="00AF2E90" w:rsidRPr="00675036" w:rsidRDefault="0014576B">
      <w:pPr>
        <w:pStyle w:val="Proposal"/>
        <w:rPr>
          <w:lang w:val="es-ES"/>
        </w:rPr>
      </w:pPr>
      <w:r w:rsidRPr="00675036">
        <w:rPr>
          <w:lang w:val="es-ES"/>
        </w:rPr>
        <w:t>ADD</w:t>
      </w:r>
      <w:r w:rsidRPr="00675036">
        <w:rPr>
          <w:lang w:val="es-ES"/>
        </w:rPr>
        <w:tab/>
        <w:t>RCC/85A22A11/6</w:t>
      </w:r>
      <w:r w:rsidRPr="00675036">
        <w:rPr>
          <w:vanish/>
          <w:color w:val="7F7F7F" w:themeColor="text1" w:themeTint="80"/>
          <w:vertAlign w:val="superscript"/>
          <w:lang w:val="es-ES"/>
        </w:rPr>
        <w:t>#2154</w:t>
      </w:r>
    </w:p>
    <w:p w14:paraId="35AB1294" w14:textId="77777777" w:rsidR="0014576B" w:rsidRPr="00675036" w:rsidRDefault="0014576B" w:rsidP="001C7A74">
      <w:pPr>
        <w:rPr>
          <w:lang w:val="es-ES"/>
        </w:rPr>
      </w:pPr>
      <w:r w:rsidRPr="00675036">
        <w:rPr>
          <w:rStyle w:val="Provsplit"/>
          <w:lang w:val="es-ES"/>
        </w:rPr>
        <w:t>6.29</w:t>
      </w:r>
      <w:r w:rsidRPr="00675036">
        <w:rPr>
          <w:rStyle w:val="Provsplit"/>
          <w:i/>
          <w:iCs/>
          <w:lang w:val="es-ES"/>
        </w:rPr>
        <w:t>ter</w:t>
      </w:r>
      <w:r w:rsidRPr="00675036">
        <w:rPr>
          <w:lang w:val="es-ES"/>
        </w:rPr>
        <w:tab/>
        <w:t>Si, a pesar de la aplicación del § 6.29</w:t>
      </w:r>
      <w:r w:rsidRPr="00675036">
        <w:rPr>
          <w:i/>
          <w:iCs/>
          <w:lang w:val="es-ES"/>
        </w:rPr>
        <w:t>bis</w:t>
      </w:r>
      <w:r w:rsidRPr="00675036">
        <w:rPr>
          <w:lang w:val="es-ES"/>
        </w:rPr>
        <w:t>, una asignación de la Lista sigue sin respetar las condiciones especificadas en el § 6.15</w:t>
      </w:r>
      <w:r w:rsidRPr="00675036">
        <w:rPr>
          <w:i/>
          <w:iCs/>
          <w:lang w:val="es-ES"/>
        </w:rPr>
        <w:t>quat</w:t>
      </w:r>
      <w:r w:rsidRPr="00675036">
        <w:rPr>
          <w:lang w:val="es-ES"/>
        </w:rPr>
        <w:t>, la Oficina informará inmediatamente a la Junta del Reglamento de Radiocomunicaciones.</w:t>
      </w:r>
      <w:r w:rsidRPr="00675036">
        <w:rPr>
          <w:sz w:val="16"/>
          <w:szCs w:val="16"/>
          <w:lang w:val="es-ES"/>
        </w:rPr>
        <w:t xml:space="preserve"> (CMR</w:t>
      </w:r>
      <w:r w:rsidRPr="00675036">
        <w:rPr>
          <w:sz w:val="16"/>
          <w:szCs w:val="16"/>
          <w:lang w:val="es-ES"/>
        </w:rPr>
        <w:noBreakHyphen/>
        <w:t>23)</w:t>
      </w:r>
    </w:p>
    <w:p w14:paraId="7EF480BE" w14:textId="3264CCCD" w:rsidR="00AF2E90" w:rsidRPr="00675036" w:rsidRDefault="00AF2E90">
      <w:pPr>
        <w:pStyle w:val="Reasons"/>
        <w:rPr>
          <w:lang w:val="es-ES"/>
        </w:rPr>
      </w:pPr>
    </w:p>
    <w:p w14:paraId="04FBF615" w14:textId="77777777" w:rsidR="0014576B" w:rsidRPr="00675036" w:rsidRDefault="0014576B" w:rsidP="007B2C32">
      <w:pPr>
        <w:pStyle w:val="AppArtNo"/>
        <w:rPr>
          <w:color w:val="000000"/>
          <w:lang w:val="es-ES"/>
        </w:rPr>
      </w:pPr>
      <w:r w:rsidRPr="00675036">
        <w:rPr>
          <w:lang w:val="es-ES"/>
        </w:rPr>
        <w:t>              ARTÍCULO 8</w:t>
      </w:r>
      <w:r w:rsidRPr="00675036">
        <w:rPr>
          <w:sz w:val="16"/>
          <w:szCs w:val="16"/>
          <w:lang w:val="es-ES"/>
        </w:rPr>
        <w:t>  </w:t>
      </w:r>
      <w:proofErr w:type="gramStart"/>
      <w:r w:rsidRPr="00675036">
        <w:rPr>
          <w:sz w:val="16"/>
          <w:szCs w:val="16"/>
          <w:lang w:val="es-ES"/>
        </w:rPr>
        <w:t>   (</w:t>
      </w:r>
      <w:proofErr w:type="gramEnd"/>
      <w:r w:rsidRPr="00675036">
        <w:rPr>
          <w:sz w:val="16"/>
          <w:szCs w:val="16"/>
          <w:lang w:val="es-ES"/>
        </w:rPr>
        <w:t>CMR-15)</w:t>
      </w:r>
    </w:p>
    <w:p w14:paraId="511C3D40" w14:textId="77777777" w:rsidR="0014576B" w:rsidRPr="00675036" w:rsidRDefault="0014576B" w:rsidP="007B2C32">
      <w:pPr>
        <w:pStyle w:val="AppArttitle"/>
        <w:rPr>
          <w:lang w:val="es-ES"/>
        </w:rPr>
      </w:pPr>
      <w:r w:rsidRPr="00675036">
        <w:rPr>
          <w:lang w:val="es-ES"/>
        </w:rPr>
        <w:t>Procedimiento para la notificación e inscripción en el Registro</w:t>
      </w:r>
      <w:r w:rsidRPr="00675036">
        <w:rPr>
          <w:lang w:val="es-ES"/>
        </w:rPr>
        <w:br/>
        <w:t>de asignaciones en las bandas planificadas para</w:t>
      </w:r>
      <w:r w:rsidRPr="00675036">
        <w:rPr>
          <w:lang w:val="es-ES"/>
        </w:rPr>
        <w:br/>
        <w:t>            el servicio fijo por satélite</w:t>
      </w:r>
      <w:r w:rsidRPr="00675036">
        <w:rPr>
          <w:rStyle w:val="FootnoteReference"/>
          <w:b w:val="0"/>
          <w:bCs/>
          <w:lang w:val="es-ES"/>
        </w:rPr>
        <w:footnoteReference w:customMarkFollows="1" w:id="3"/>
        <w:t xml:space="preserve">11, </w:t>
      </w:r>
      <w:r w:rsidRPr="00675036">
        <w:rPr>
          <w:rStyle w:val="FootnoteReference"/>
          <w:b w:val="0"/>
          <w:bCs/>
          <w:lang w:val="es-ES"/>
        </w:rPr>
        <w:footnoteReference w:customMarkFollows="1" w:id="4"/>
        <w:t>12</w:t>
      </w:r>
      <w:r w:rsidRPr="00675036">
        <w:rPr>
          <w:b w:val="0"/>
          <w:color w:val="000000"/>
          <w:sz w:val="16"/>
          <w:szCs w:val="16"/>
          <w:lang w:val="es-ES"/>
        </w:rPr>
        <w:t>  </w:t>
      </w:r>
      <w:proofErr w:type="gramStart"/>
      <w:r w:rsidRPr="00675036">
        <w:rPr>
          <w:b w:val="0"/>
          <w:color w:val="000000"/>
          <w:sz w:val="16"/>
          <w:szCs w:val="16"/>
          <w:lang w:val="es-ES"/>
        </w:rPr>
        <w:t>   (</w:t>
      </w:r>
      <w:proofErr w:type="gramEnd"/>
      <w:r w:rsidRPr="00675036">
        <w:rPr>
          <w:b w:val="0"/>
          <w:color w:val="000000"/>
          <w:sz w:val="16"/>
          <w:szCs w:val="16"/>
          <w:lang w:val="es-ES"/>
        </w:rPr>
        <w:t>CMR</w:t>
      </w:r>
      <w:r w:rsidRPr="00675036">
        <w:rPr>
          <w:b w:val="0"/>
          <w:color w:val="000000"/>
          <w:sz w:val="16"/>
          <w:szCs w:val="16"/>
          <w:lang w:val="es-ES"/>
        </w:rPr>
        <w:noBreakHyphen/>
        <w:t>19)</w:t>
      </w:r>
    </w:p>
    <w:p w14:paraId="43668DE0" w14:textId="77777777" w:rsidR="00AF2E90" w:rsidRPr="00675036" w:rsidRDefault="0014576B">
      <w:pPr>
        <w:pStyle w:val="Proposal"/>
        <w:rPr>
          <w:lang w:val="es-ES"/>
        </w:rPr>
      </w:pPr>
      <w:r w:rsidRPr="00675036">
        <w:rPr>
          <w:lang w:val="es-ES"/>
        </w:rPr>
        <w:t>ADD</w:t>
      </w:r>
      <w:r w:rsidRPr="00675036">
        <w:rPr>
          <w:lang w:val="es-ES"/>
        </w:rPr>
        <w:tab/>
        <w:t>RCC/85A22A11/7</w:t>
      </w:r>
    </w:p>
    <w:p w14:paraId="347A17C1" w14:textId="623E88CD" w:rsidR="00AF2E90" w:rsidRDefault="006A0CB4" w:rsidP="00371817">
      <w:r w:rsidRPr="00CF2A34">
        <w:rPr>
          <w:lang w:val="es-ES"/>
        </w:rPr>
        <w:t>8.10.1</w:t>
      </w:r>
      <w:r w:rsidRPr="00CF2A34">
        <w:rPr>
          <w:lang w:val="es-ES"/>
        </w:rPr>
        <w:tab/>
      </w:r>
      <w:r w:rsidRPr="00371817">
        <w:rPr>
          <w:lang w:val="es-ES"/>
        </w:rPr>
        <w:t xml:space="preserve">Al recibir la información mencionada en el § 8.10bis, la administración que aplica el § 6.15quat respecto de las </w:t>
      </w:r>
      <w:r w:rsidR="00B10675" w:rsidRPr="00371817">
        <w:rPr>
          <w:lang w:val="es-ES"/>
        </w:rPr>
        <w:t>adjudicaciones</w:t>
      </w:r>
      <w:r w:rsidRPr="00371817">
        <w:rPr>
          <w:lang w:val="es-ES"/>
        </w:rPr>
        <w:t xml:space="preserve"> convertidas en asignación en el marco de la </w:t>
      </w:r>
      <w:r w:rsidRPr="00371817">
        <w:t xml:space="preserve">notificación </w:t>
      </w:r>
      <w:r w:rsidRPr="00371817">
        <w:lastRenderedPageBreak/>
        <w:t>presentada garantizará de inmediato el cumplimiento de las condiciones especificadas en el § 6.15quat. (CMR</w:t>
      </w:r>
      <w:r w:rsidRPr="00371817">
        <w:noBreakHyphen/>
        <w:t>23</w:t>
      </w:r>
    </w:p>
    <w:p w14:paraId="14130E3F" w14:textId="77777777" w:rsidR="000C74D9" w:rsidRPr="00371817" w:rsidRDefault="000C74D9" w:rsidP="000C74D9">
      <w:pPr>
        <w:pStyle w:val="Reasons"/>
      </w:pPr>
      <w:bookmarkStart w:id="13" w:name="_GoBack"/>
      <w:bookmarkEnd w:id="13"/>
    </w:p>
    <w:p w14:paraId="4AEE2500" w14:textId="77777777" w:rsidR="00AF2E90" w:rsidRPr="00675036" w:rsidRDefault="0014576B">
      <w:pPr>
        <w:pStyle w:val="Proposal"/>
        <w:rPr>
          <w:lang w:val="es-ES"/>
        </w:rPr>
      </w:pPr>
      <w:r w:rsidRPr="00675036">
        <w:rPr>
          <w:lang w:val="es-ES"/>
        </w:rPr>
        <w:t>ADD</w:t>
      </w:r>
      <w:r w:rsidRPr="00675036">
        <w:rPr>
          <w:lang w:val="es-ES"/>
        </w:rPr>
        <w:tab/>
        <w:t>RCC/85A22A11/8</w:t>
      </w:r>
      <w:r w:rsidRPr="00675036">
        <w:rPr>
          <w:vanish/>
          <w:color w:val="7F7F7F" w:themeColor="text1" w:themeTint="80"/>
          <w:vertAlign w:val="superscript"/>
          <w:lang w:val="es-ES"/>
        </w:rPr>
        <w:t>#2155</w:t>
      </w:r>
    </w:p>
    <w:p w14:paraId="2D0E3B55" w14:textId="021AE668" w:rsidR="0014576B" w:rsidRPr="00675036" w:rsidRDefault="0014576B" w:rsidP="001C7A74">
      <w:pPr>
        <w:rPr>
          <w:lang w:val="es-ES"/>
        </w:rPr>
      </w:pPr>
      <w:r w:rsidRPr="00675036">
        <w:rPr>
          <w:rStyle w:val="Provsplit"/>
          <w:lang w:val="es-ES"/>
        </w:rPr>
        <w:t>8.10</w:t>
      </w:r>
      <w:r w:rsidRPr="00675036">
        <w:rPr>
          <w:rStyle w:val="Provsplit"/>
          <w:i/>
          <w:iCs/>
          <w:lang w:val="es-ES"/>
        </w:rPr>
        <w:t>bis</w:t>
      </w:r>
      <w:r w:rsidRPr="00675036">
        <w:rPr>
          <w:lang w:val="es-ES"/>
        </w:rPr>
        <w:tab/>
        <w:t>Cuando el examen con respecto al § 8.9 dé lugar a una conclusión favorable, la Oficina enviará inmediatamente un telefax a las administraciones que aplicaron el § 6.15</w:t>
      </w:r>
      <w:r w:rsidRPr="00675036">
        <w:rPr>
          <w:i/>
          <w:iCs/>
          <w:lang w:val="es-ES"/>
        </w:rPr>
        <w:t>quat</w:t>
      </w:r>
      <w:r w:rsidRPr="00675036">
        <w:rPr>
          <w:lang w:val="es-ES"/>
        </w:rPr>
        <w:t xml:space="preserve"> respecto </w:t>
      </w:r>
      <w:r w:rsidR="00B10675" w:rsidRPr="00675036">
        <w:rPr>
          <w:lang w:val="es-ES"/>
        </w:rPr>
        <w:t xml:space="preserve">de las adjudicaciones </w:t>
      </w:r>
      <w:r w:rsidR="00B10675" w:rsidRPr="00675036">
        <w:rPr>
          <w:iCs/>
          <w:lang w:val="es-ES"/>
        </w:rPr>
        <w:t>convertidas en asignación en virtud de la notificación</w:t>
      </w:r>
      <w:r w:rsidRPr="00675036">
        <w:rPr>
          <w:lang w:val="es-ES"/>
        </w:rPr>
        <w:t xml:space="preserve">, si es que las hay. Este telefax informará a </w:t>
      </w:r>
      <w:r w:rsidR="00AE1609" w:rsidRPr="00675036">
        <w:rPr>
          <w:lang w:val="es-ES"/>
        </w:rPr>
        <w:t>es</w:t>
      </w:r>
      <w:r w:rsidR="00B10675" w:rsidRPr="00675036">
        <w:rPr>
          <w:lang w:val="es-ES"/>
        </w:rPr>
        <w:t xml:space="preserve">as </w:t>
      </w:r>
      <w:r w:rsidRPr="00675036">
        <w:rPr>
          <w:lang w:val="es-ES"/>
        </w:rPr>
        <w:t xml:space="preserve">administraciones de la presentación </w:t>
      </w:r>
      <w:r w:rsidR="00B10675" w:rsidRPr="00675036">
        <w:rPr>
          <w:lang w:val="es-ES"/>
        </w:rPr>
        <w:t xml:space="preserve">de la notificación </w:t>
      </w:r>
      <w:r w:rsidRPr="00675036">
        <w:rPr>
          <w:lang w:val="es-ES"/>
        </w:rPr>
        <w:t>en virtud del § 8.1 y de la fecha en la que la asignación de frecuencias se pondrá en servicio.</w:t>
      </w:r>
      <w:r w:rsidRPr="00675036">
        <w:rPr>
          <w:sz w:val="16"/>
          <w:szCs w:val="16"/>
          <w:lang w:val="es-ES"/>
        </w:rPr>
        <w:t xml:space="preserve"> (CMR</w:t>
      </w:r>
      <w:r w:rsidRPr="00675036">
        <w:rPr>
          <w:sz w:val="16"/>
          <w:szCs w:val="16"/>
          <w:lang w:val="es-ES"/>
        </w:rPr>
        <w:noBreakHyphen/>
        <w:t>23)</w:t>
      </w:r>
    </w:p>
    <w:p w14:paraId="1606E68D" w14:textId="428D62C2" w:rsidR="00AF2E90" w:rsidRPr="00675036" w:rsidRDefault="00AF2E90">
      <w:pPr>
        <w:pStyle w:val="Reasons"/>
        <w:rPr>
          <w:lang w:val="es-ES"/>
        </w:rPr>
      </w:pPr>
    </w:p>
    <w:p w14:paraId="21C76B51" w14:textId="77777777" w:rsidR="00AF2E90" w:rsidRPr="00675036" w:rsidRDefault="0014576B">
      <w:pPr>
        <w:pStyle w:val="Proposal"/>
        <w:rPr>
          <w:lang w:val="es-ES"/>
        </w:rPr>
      </w:pPr>
      <w:r w:rsidRPr="00675036">
        <w:rPr>
          <w:lang w:val="es-ES"/>
        </w:rPr>
        <w:t>ADD</w:t>
      </w:r>
      <w:r w:rsidRPr="00675036">
        <w:rPr>
          <w:lang w:val="es-ES"/>
        </w:rPr>
        <w:tab/>
        <w:t>RCC/85A22A11/9</w:t>
      </w:r>
      <w:r w:rsidRPr="00675036">
        <w:rPr>
          <w:vanish/>
          <w:color w:val="7F7F7F" w:themeColor="text1" w:themeTint="80"/>
          <w:vertAlign w:val="superscript"/>
          <w:lang w:val="es-ES"/>
        </w:rPr>
        <w:t>#2156</w:t>
      </w:r>
    </w:p>
    <w:p w14:paraId="7A6CCFD3" w14:textId="77777777" w:rsidR="0014576B" w:rsidRPr="00675036" w:rsidRDefault="0014576B" w:rsidP="001C7A74">
      <w:pPr>
        <w:pStyle w:val="ResNo"/>
        <w:rPr>
          <w:lang w:val="es-ES" w:eastAsia="zh-CN"/>
        </w:rPr>
      </w:pPr>
      <w:r w:rsidRPr="00675036">
        <w:rPr>
          <w:lang w:val="es-ES" w:eastAsia="zh-CN"/>
        </w:rPr>
        <w:t>PROYECTO DE NUEVA RESOLUCIÓN [A7(I)-METHOD I2] (cmr-23)</w:t>
      </w:r>
    </w:p>
    <w:p w14:paraId="3B6DC3D8" w14:textId="77777777" w:rsidR="0014576B" w:rsidRPr="00675036" w:rsidRDefault="0014576B" w:rsidP="001C7A74">
      <w:pPr>
        <w:pStyle w:val="Restitle"/>
        <w:rPr>
          <w:lang w:val="es-ES" w:eastAsia="zh-CN"/>
        </w:rPr>
      </w:pPr>
      <w:r w:rsidRPr="00675036">
        <w:rPr>
          <w:lang w:val="es-ES" w:eastAsia="zh-CN"/>
        </w:rPr>
        <w:t>Medidas reglamentarias temporales en el Apéndice 30B para mejorar la situación de referencia de las adjudicaciones nacionales gravemente afectadas</w:t>
      </w:r>
    </w:p>
    <w:p w14:paraId="7CFF0869" w14:textId="77777777" w:rsidR="0014576B" w:rsidRPr="00675036" w:rsidRDefault="0014576B" w:rsidP="0088162C">
      <w:pPr>
        <w:pStyle w:val="Normalaftertitle"/>
        <w:rPr>
          <w:lang w:val="es-ES"/>
        </w:rPr>
      </w:pPr>
      <w:r w:rsidRPr="00675036">
        <w:rPr>
          <w:lang w:val="es-ES"/>
        </w:rPr>
        <w:t>La Conferencia Mundial de Radiocomunicaciones (Dubái, 2023),</w:t>
      </w:r>
    </w:p>
    <w:p w14:paraId="5EF2A744" w14:textId="77777777" w:rsidR="0014576B" w:rsidRPr="00675036" w:rsidRDefault="0014576B" w:rsidP="001C7A74">
      <w:pPr>
        <w:pStyle w:val="Call"/>
        <w:rPr>
          <w:lang w:val="es-ES"/>
        </w:rPr>
      </w:pPr>
      <w:r w:rsidRPr="00675036">
        <w:rPr>
          <w:lang w:val="es-ES"/>
        </w:rPr>
        <w:t>considerando</w:t>
      </w:r>
    </w:p>
    <w:p w14:paraId="1E07D71D" w14:textId="77777777" w:rsidR="0014576B" w:rsidRPr="00675036" w:rsidRDefault="0014576B" w:rsidP="001C7A74">
      <w:pPr>
        <w:rPr>
          <w:lang w:val="es-ES"/>
        </w:rPr>
      </w:pPr>
      <w:r w:rsidRPr="00675036">
        <w:rPr>
          <w:i/>
          <w:iCs/>
          <w:lang w:val="es-ES"/>
        </w:rPr>
        <w:t>a)</w:t>
      </w:r>
      <w:r w:rsidRPr="00675036">
        <w:rPr>
          <w:lang w:val="es-ES"/>
        </w:rPr>
        <w:tab/>
        <w:t>que algunas adjudicaciones nacionales, especialmente las de los países en vías de desarrollo, tienen unos valores combinados globales bajos de la relación portadora-interferencia en el Apéndice </w:t>
      </w:r>
      <w:r w:rsidRPr="00675036">
        <w:rPr>
          <w:rStyle w:val="Appref"/>
          <w:b/>
          <w:bCs/>
          <w:lang w:val="es-ES"/>
        </w:rPr>
        <w:t>30B</w:t>
      </w:r>
      <w:r w:rsidRPr="00675036">
        <w:rPr>
          <w:lang w:val="es-ES"/>
        </w:rPr>
        <w:t>;</w:t>
      </w:r>
    </w:p>
    <w:p w14:paraId="2DD42D3B" w14:textId="77777777" w:rsidR="0014576B" w:rsidRPr="00675036" w:rsidRDefault="0014576B" w:rsidP="001C7A74">
      <w:pPr>
        <w:rPr>
          <w:lang w:val="es-ES"/>
        </w:rPr>
      </w:pPr>
      <w:r w:rsidRPr="00675036">
        <w:rPr>
          <w:i/>
          <w:iCs/>
          <w:lang w:val="es-ES"/>
        </w:rPr>
        <w:t>b)</w:t>
      </w:r>
      <w:r w:rsidRPr="00675036">
        <w:rPr>
          <w:lang w:val="es-ES"/>
        </w:rPr>
        <w:tab/>
        <w:t>que la implementación de una adjudicación nacional con un valor combinado global bajo de la relación portadora-interferencia puede resultar difícil,</w:t>
      </w:r>
    </w:p>
    <w:p w14:paraId="3FD80507" w14:textId="77777777" w:rsidR="0014576B" w:rsidRPr="00675036" w:rsidRDefault="0014576B" w:rsidP="001C7A74">
      <w:pPr>
        <w:pStyle w:val="Call"/>
        <w:rPr>
          <w:lang w:val="es-ES"/>
        </w:rPr>
      </w:pPr>
      <w:r w:rsidRPr="00675036">
        <w:rPr>
          <w:lang w:val="es-ES"/>
        </w:rPr>
        <w:t>reconociendo</w:t>
      </w:r>
    </w:p>
    <w:p w14:paraId="5D45BA27" w14:textId="77777777" w:rsidR="0014576B" w:rsidRPr="00675036" w:rsidRDefault="0014576B" w:rsidP="001C7A74">
      <w:pPr>
        <w:rPr>
          <w:lang w:val="es-ES"/>
        </w:rPr>
      </w:pPr>
      <w:r w:rsidRPr="00675036">
        <w:rPr>
          <w:i/>
          <w:iCs/>
          <w:lang w:val="es-ES"/>
        </w:rPr>
        <w:t>a)</w:t>
      </w:r>
      <w:r w:rsidRPr="00675036">
        <w:rPr>
          <w:lang w:val="es-ES"/>
        </w:rPr>
        <w:tab/>
        <w:t>que, el procedimiento especial descrito en esta Resolución puede ser difícil de aplicar cuando el territorio de una adjudicación nacional es un vecino de los territorios incluidos en la zona de servicio de la asignación en la Lista para la que se ha aplicado el § 6.15 del Apéndice </w:t>
      </w:r>
      <w:r w:rsidRPr="00675036">
        <w:rPr>
          <w:rStyle w:val="Appref"/>
          <w:b/>
          <w:bCs/>
          <w:lang w:val="es-ES"/>
        </w:rPr>
        <w:t>30B</w:t>
      </w:r>
      <w:r w:rsidRPr="00675036">
        <w:rPr>
          <w:lang w:val="es-ES"/>
        </w:rPr>
        <w:t>;</w:t>
      </w:r>
    </w:p>
    <w:p w14:paraId="5703577D" w14:textId="77777777" w:rsidR="0014576B" w:rsidRPr="00675036" w:rsidRDefault="0014576B" w:rsidP="001C7A74">
      <w:pPr>
        <w:rPr>
          <w:lang w:val="es-ES"/>
        </w:rPr>
      </w:pPr>
      <w:r w:rsidRPr="00675036">
        <w:rPr>
          <w:i/>
          <w:iCs/>
          <w:lang w:val="es-ES"/>
        </w:rPr>
        <w:t>b)</w:t>
      </w:r>
      <w:r w:rsidRPr="00675036">
        <w:rPr>
          <w:lang w:val="es-ES"/>
        </w:rPr>
        <w:tab/>
        <w:t>que el Artículo 44 de la Constitución de la UIT estipula que: «En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p>
    <w:p w14:paraId="364030C6" w14:textId="45127801" w:rsidR="0014576B" w:rsidRPr="00675036" w:rsidRDefault="0014576B" w:rsidP="001C7A74">
      <w:pPr>
        <w:rPr>
          <w:lang w:val="es-ES"/>
        </w:rPr>
      </w:pPr>
      <w:r w:rsidRPr="00675036">
        <w:rPr>
          <w:i/>
          <w:iCs/>
          <w:lang w:val="es-ES"/>
        </w:rPr>
        <w:t>c)</w:t>
      </w:r>
      <w:r w:rsidRPr="00675036">
        <w:rPr>
          <w:lang w:val="es-ES"/>
        </w:rPr>
        <w:tab/>
        <w:t xml:space="preserve">que, la administración </w:t>
      </w:r>
      <w:r w:rsidR="00B10675" w:rsidRPr="00675036">
        <w:rPr>
          <w:lang w:val="es-ES"/>
        </w:rPr>
        <w:t xml:space="preserve">que cuentan con </w:t>
      </w:r>
      <w:r w:rsidRPr="00675036">
        <w:rPr>
          <w:lang w:val="es-ES"/>
        </w:rPr>
        <w:t xml:space="preserve">una asignación en la Lista que ha aplicado el § 6.15 del Apéndice </w:t>
      </w:r>
      <w:r w:rsidRPr="00675036">
        <w:rPr>
          <w:b/>
          <w:bCs/>
          <w:lang w:val="es-ES"/>
        </w:rPr>
        <w:t>30B</w:t>
      </w:r>
      <w:r w:rsidRPr="00675036">
        <w:rPr>
          <w:lang w:val="es-ES"/>
        </w:rPr>
        <w:t xml:space="preserve"> con respecto a una adjudicación nacional puede firmar un acuerdo en virtud del § 6.15</w:t>
      </w:r>
      <w:r w:rsidRPr="00675036">
        <w:rPr>
          <w:i/>
          <w:iCs/>
          <w:lang w:val="es-ES"/>
        </w:rPr>
        <w:t>quat</w:t>
      </w:r>
      <w:r w:rsidRPr="00675036">
        <w:rPr>
          <w:lang w:val="es-ES"/>
        </w:rPr>
        <w:t xml:space="preserve"> del Apéndice </w:t>
      </w:r>
      <w:r w:rsidRPr="00675036">
        <w:rPr>
          <w:rStyle w:val="Appref"/>
          <w:b/>
          <w:bCs/>
          <w:lang w:val="es-ES"/>
        </w:rPr>
        <w:t>30B</w:t>
      </w:r>
      <w:r w:rsidRPr="00675036">
        <w:rPr>
          <w:lang w:val="es-ES"/>
        </w:rPr>
        <w:t xml:space="preserve"> (CMR-23),</w:t>
      </w:r>
    </w:p>
    <w:p w14:paraId="579BF804" w14:textId="77777777" w:rsidR="0014576B" w:rsidRPr="00675036" w:rsidRDefault="0014576B" w:rsidP="001C7A74">
      <w:pPr>
        <w:pStyle w:val="Call"/>
        <w:rPr>
          <w:lang w:val="es-ES"/>
        </w:rPr>
      </w:pPr>
      <w:r w:rsidRPr="00675036">
        <w:rPr>
          <w:lang w:val="es-ES"/>
        </w:rPr>
        <w:lastRenderedPageBreak/>
        <w:t>resuelve</w:t>
      </w:r>
    </w:p>
    <w:p w14:paraId="1586945D" w14:textId="1E74B2A5" w:rsidR="0014576B" w:rsidRPr="00675036" w:rsidRDefault="0014576B" w:rsidP="001C7A74">
      <w:pPr>
        <w:rPr>
          <w:lang w:val="es-ES"/>
        </w:rPr>
      </w:pPr>
      <w:r w:rsidRPr="00675036">
        <w:rPr>
          <w:lang w:val="es-ES"/>
        </w:rPr>
        <w:t>1</w:t>
      </w:r>
      <w:r w:rsidRPr="00675036">
        <w:rPr>
          <w:lang w:val="es-ES"/>
        </w:rPr>
        <w:tab/>
        <w:t xml:space="preserve">que solo </w:t>
      </w:r>
      <w:r w:rsidR="00B10675" w:rsidRPr="00675036">
        <w:rPr>
          <w:lang w:val="es-ES"/>
        </w:rPr>
        <w:t xml:space="preserve">se </w:t>
      </w:r>
      <w:r w:rsidRPr="00675036">
        <w:rPr>
          <w:lang w:val="es-ES"/>
        </w:rPr>
        <w:t xml:space="preserve">aplicará el procedimiento especial descrito en la presente Resolución </w:t>
      </w:r>
      <w:r w:rsidR="00B10675" w:rsidRPr="00675036">
        <w:rPr>
          <w:lang w:val="es-ES"/>
        </w:rPr>
        <w:t xml:space="preserve">entre </w:t>
      </w:r>
      <w:r w:rsidRPr="00675036">
        <w:rPr>
          <w:lang w:val="es-ES"/>
        </w:rPr>
        <w:t xml:space="preserve">las administraciones </w:t>
      </w:r>
      <w:r w:rsidR="00B10675" w:rsidRPr="00675036">
        <w:rPr>
          <w:lang w:val="es-ES"/>
        </w:rPr>
        <w:t xml:space="preserve">con </w:t>
      </w:r>
      <w:r w:rsidRPr="00675036">
        <w:rPr>
          <w:lang w:val="es-ES"/>
        </w:rPr>
        <w:t xml:space="preserve">asignaciones en la Lista y las administraciones </w:t>
      </w:r>
      <w:r w:rsidR="00B10675" w:rsidRPr="00675036">
        <w:rPr>
          <w:lang w:val="es-ES"/>
        </w:rPr>
        <w:t xml:space="preserve">con </w:t>
      </w:r>
      <w:r w:rsidRPr="00675036">
        <w:rPr>
          <w:lang w:val="es-ES"/>
        </w:rPr>
        <w:t xml:space="preserve">adjudicaciones nacionales para las que se </w:t>
      </w:r>
      <w:r w:rsidR="00B10675" w:rsidRPr="00675036">
        <w:rPr>
          <w:lang w:val="es-ES"/>
        </w:rPr>
        <w:t xml:space="preserve">ha aplicado </w:t>
      </w:r>
      <w:r w:rsidRPr="00675036">
        <w:rPr>
          <w:lang w:val="es-ES"/>
        </w:rPr>
        <w:t>respectivamente el § 6.15 del Apéndice </w:t>
      </w:r>
      <w:r w:rsidRPr="00675036">
        <w:rPr>
          <w:rStyle w:val="Appref"/>
          <w:b/>
          <w:bCs/>
          <w:lang w:val="es-ES"/>
        </w:rPr>
        <w:t>30B</w:t>
      </w:r>
      <w:r w:rsidRPr="00675036">
        <w:rPr>
          <w:lang w:val="es-ES"/>
        </w:rPr>
        <w:t>;</w:t>
      </w:r>
    </w:p>
    <w:p w14:paraId="66F65E44" w14:textId="7DF6390E" w:rsidR="0014576B" w:rsidRPr="00675036" w:rsidRDefault="0014576B" w:rsidP="001C7A74">
      <w:pPr>
        <w:rPr>
          <w:lang w:val="es-ES"/>
        </w:rPr>
      </w:pPr>
      <w:r w:rsidRPr="00675036">
        <w:rPr>
          <w:lang w:val="es-ES"/>
        </w:rPr>
        <w:t>2</w:t>
      </w:r>
      <w:r w:rsidRPr="00675036">
        <w:rPr>
          <w:lang w:val="es-ES"/>
        </w:rPr>
        <w:tab/>
        <w:t>que, cuando la Oficina de Radiocomunicaciones (BR) reciba los acuerdos en virtud del § 6.15</w:t>
      </w:r>
      <w:r w:rsidRPr="00675036">
        <w:rPr>
          <w:i/>
          <w:iCs/>
          <w:lang w:val="es-ES"/>
        </w:rPr>
        <w:t>quat</w:t>
      </w:r>
      <w:r w:rsidRPr="00675036">
        <w:rPr>
          <w:lang w:val="es-ES"/>
        </w:rPr>
        <w:t xml:space="preserve"> del Apéndice </w:t>
      </w:r>
      <w:r w:rsidRPr="00675036">
        <w:rPr>
          <w:rStyle w:val="Appref"/>
          <w:b/>
          <w:bCs/>
          <w:lang w:val="es-ES"/>
        </w:rPr>
        <w:t>30B</w:t>
      </w:r>
      <w:r w:rsidRPr="00675036">
        <w:rPr>
          <w:lang w:val="es-ES"/>
        </w:rPr>
        <w:t xml:space="preserve"> de acuerdo con el </w:t>
      </w:r>
      <w:r w:rsidRPr="00675036">
        <w:rPr>
          <w:i/>
          <w:iCs/>
          <w:lang w:val="es-ES"/>
        </w:rPr>
        <w:t>reconociendo c)</w:t>
      </w:r>
      <w:r w:rsidRPr="00675036">
        <w:rPr>
          <w:lang w:val="es-ES"/>
        </w:rPr>
        <w:t>, la BR deberá aplicar inmediatamente el § 6.15</w:t>
      </w:r>
      <w:r w:rsidRPr="00675036">
        <w:rPr>
          <w:i/>
          <w:iCs/>
          <w:lang w:val="es-ES"/>
        </w:rPr>
        <w:t>quin</w:t>
      </w:r>
      <w:r w:rsidR="00F84456" w:rsidRPr="00675036">
        <w:rPr>
          <w:lang w:val="es-ES"/>
        </w:rPr>
        <w:t xml:space="preserve"> y</w:t>
      </w:r>
      <w:r w:rsidRPr="00675036">
        <w:rPr>
          <w:lang w:val="es-ES"/>
        </w:rPr>
        <w:t xml:space="preserve"> el § 6.27</w:t>
      </w:r>
      <w:r w:rsidRPr="00675036">
        <w:rPr>
          <w:i/>
          <w:iCs/>
          <w:lang w:val="es-ES"/>
        </w:rPr>
        <w:t>bis</w:t>
      </w:r>
      <w:r w:rsidRPr="00675036">
        <w:rPr>
          <w:lang w:val="es-ES"/>
        </w:rPr>
        <w:t xml:space="preserve"> del Apéndice </w:t>
      </w:r>
      <w:r w:rsidRPr="00675036">
        <w:rPr>
          <w:rStyle w:val="Appref"/>
          <w:b/>
          <w:bCs/>
          <w:lang w:val="es-ES"/>
        </w:rPr>
        <w:t>30B</w:t>
      </w:r>
      <w:r w:rsidRPr="00675036">
        <w:rPr>
          <w:lang w:val="es-ES"/>
        </w:rPr>
        <w:t xml:space="preserve"> (CMR-23) y actualizar la situación de referencia sin revisar los exámenes anteriores;</w:t>
      </w:r>
    </w:p>
    <w:p w14:paraId="56EBEF51" w14:textId="64ABA7DE" w:rsidR="002967A5" w:rsidRPr="00675036" w:rsidRDefault="0014576B" w:rsidP="002967A5">
      <w:pPr>
        <w:rPr>
          <w:lang w:val="es-ES"/>
        </w:rPr>
      </w:pPr>
      <w:r w:rsidRPr="00675036">
        <w:rPr>
          <w:lang w:val="es-ES"/>
        </w:rPr>
        <w:t>3</w:t>
      </w:r>
      <w:r w:rsidRPr="00675036">
        <w:rPr>
          <w:lang w:val="es-ES"/>
        </w:rPr>
        <w:tab/>
        <w:t>que, para solicitar a las administraciones notificantes de asignaciones para las que aún no se han completado los procedimientos del Artículo 6 del Apéndice </w:t>
      </w:r>
      <w:r w:rsidRPr="00675036">
        <w:rPr>
          <w:rStyle w:val="Appref"/>
          <w:b/>
          <w:bCs/>
          <w:lang w:val="es-ES"/>
        </w:rPr>
        <w:t>30B</w:t>
      </w:r>
      <w:r w:rsidRPr="00675036">
        <w:rPr>
          <w:lang w:val="es-ES"/>
        </w:rPr>
        <w:t xml:space="preserve"> y que la Oficina ya ha examinado antes de su aplicación del </w:t>
      </w:r>
      <w:r w:rsidRPr="00675036">
        <w:rPr>
          <w:i/>
          <w:iCs/>
          <w:lang w:val="es-ES"/>
        </w:rPr>
        <w:t>resuelve</w:t>
      </w:r>
      <w:r w:rsidRPr="00675036">
        <w:rPr>
          <w:lang w:val="es-ES"/>
        </w:rPr>
        <w:t xml:space="preserve"> 2, hagan </w:t>
      </w:r>
      <w:r w:rsidR="00F84456" w:rsidRPr="00675036">
        <w:rPr>
          <w:lang w:val="es-ES"/>
        </w:rPr>
        <w:t xml:space="preserve">los </w:t>
      </w:r>
      <w:r w:rsidRPr="00675036">
        <w:rPr>
          <w:lang w:val="es-ES"/>
        </w:rPr>
        <w:t xml:space="preserve">mayores esfuerzos para tener en cuenta las nuevas situaciones de referencia de las adjudicaciones nacionales, que </w:t>
      </w:r>
      <w:r w:rsidR="00F84456" w:rsidRPr="00675036">
        <w:rPr>
          <w:lang w:val="es-ES"/>
        </w:rPr>
        <w:t>a</w:t>
      </w:r>
      <w:r w:rsidR="00AE1609" w:rsidRPr="00675036">
        <w:rPr>
          <w:lang w:val="es-ES"/>
        </w:rPr>
        <w:t>plican</w:t>
      </w:r>
      <w:r w:rsidR="00F84456" w:rsidRPr="00675036">
        <w:rPr>
          <w:lang w:val="es-ES"/>
        </w:rPr>
        <w:t xml:space="preserve"> </w:t>
      </w:r>
      <w:r w:rsidRPr="00675036">
        <w:rPr>
          <w:lang w:val="es-ES"/>
        </w:rPr>
        <w:t>el procedimiento especial de la presente Resolución, a la hora de presentar su notificación en virtud del § 6.17 o del § 6.25 del Apéndice </w:t>
      </w:r>
      <w:r w:rsidRPr="00675036">
        <w:rPr>
          <w:rStyle w:val="Appref"/>
          <w:b/>
          <w:bCs/>
          <w:lang w:val="es-ES"/>
        </w:rPr>
        <w:t>30B</w:t>
      </w:r>
      <w:r w:rsidR="002967A5" w:rsidRPr="00675036">
        <w:rPr>
          <w:lang w:val="es-ES"/>
        </w:rPr>
        <w:t>;</w:t>
      </w:r>
    </w:p>
    <w:p w14:paraId="148B5689" w14:textId="6341C425" w:rsidR="0014576B" w:rsidRPr="00675036" w:rsidRDefault="002967A5" w:rsidP="002967A5">
      <w:pPr>
        <w:rPr>
          <w:lang w:val="es-ES"/>
        </w:rPr>
      </w:pPr>
      <w:r w:rsidRPr="00675036">
        <w:rPr>
          <w:lang w:val="es-ES"/>
        </w:rPr>
        <w:t>4</w:t>
      </w:r>
      <w:r w:rsidRPr="00675036">
        <w:rPr>
          <w:lang w:val="es-ES"/>
        </w:rPr>
        <w:tab/>
        <w:t>que, tras aplicar el</w:t>
      </w:r>
      <w:r w:rsidRPr="00675036">
        <w:rPr>
          <w:szCs w:val="24"/>
          <w:lang w:val="es-ES"/>
        </w:rPr>
        <w:t xml:space="preserve"> § 8.10</w:t>
      </w:r>
      <w:r w:rsidRPr="00675036">
        <w:rPr>
          <w:i/>
          <w:iCs/>
          <w:szCs w:val="24"/>
          <w:lang w:val="es-ES"/>
        </w:rPr>
        <w:t xml:space="preserve">bis </w:t>
      </w:r>
      <w:r w:rsidRPr="00675036">
        <w:rPr>
          <w:iCs/>
          <w:szCs w:val="24"/>
          <w:lang w:val="es-ES"/>
        </w:rPr>
        <w:t xml:space="preserve">dl Apéndice </w:t>
      </w:r>
      <w:r w:rsidRPr="00675036">
        <w:rPr>
          <w:b/>
          <w:iCs/>
          <w:szCs w:val="24"/>
          <w:lang w:val="es-ES"/>
        </w:rPr>
        <w:t>30B</w:t>
      </w:r>
      <w:r w:rsidRPr="00675036">
        <w:rPr>
          <w:iCs/>
          <w:szCs w:val="24"/>
          <w:lang w:val="es-ES"/>
        </w:rPr>
        <w:t xml:space="preserve">, la Oficina actualizará la situación de referencia, teniendo en cuenta la implementación de las condiciones especificadas en el </w:t>
      </w:r>
      <w:r w:rsidRPr="00675036">
        <w:rPr>
          <w:szCs w:val="24"/>
          <w:lang w:val="es-ES"/>
        </w:rPr>
        <w:t>§ 6.15</w:t>
      </w:r>
      <w:r w:rsidRPr="00675036">
        <w:rPr>
          <w:i/>
          <w:iCs/>
          <w:szCs w:val="24"/>
          <w:lang w:val="es-ES"/>
        </w:rPr>
        <w:t>quat</w:t>
      </w:r>
      <w:r w:rsidRPr="00675036">
        <w:rPr>
          <w:iCs/>
          <w:szCs w:val="24"/>
          <w:lang w:val="es-ES"/>
        </w:rPr>
        <w:t>, para</w:t>
      </w:r>
      <w:r w:rsidRPr="00675036">
        <w:rPr>
          <w:lang w:val="es-ES"/>
        </w:rPr>
        <w:t xml:space="preserve"> las asignaciones de</w:t>
      </w:r>
      <w:r w:rsidR="00AE1609" w:rsidRPr="00675036">
        <w:rPr>
          <w:lang w:val="es-ES"/>
        </w:rPr>
        <w:t xml:space="preserve"> </w:t>
      </w:r>
      <w:r w:rsidRPr="00675036">
        <w:rPr>
          <w:lang w:val="es-ES"/>
        </w:rPr>
        <w:t xml:space="preserve">frecuencias utilizadas en virtud del </w:t>
      </w:r>
      <w:r w:rsidRPr="00675036">
        <w:rPr>
          <w:szCs w:val="24"/>
          <w:lang w:val="es-ES"/>
        </w:rPr>
        <w:t>§ 6.15</w:t>
      </w:r>
      <w:r w:rsidRPr="00675036">
        <w:rPr>
          <w:i/>
          <w:iCs/>
          <w:szCs w:val="24"/>
          <w:lang w:val="es-ES"/>
        </w:rPr>
        <w:t xml:space="preserve">quat </w:t>
      </w:r>
      <w:r w:rsidRPr="00675036">
        <w:rPr>
          <w:iCs/>
          <w:szCs w:val="24"/>
          <w:lang w:val="es-ES"/>
        </w:rPr>
        <w:t>y que afectan</w:t>
      </w:r>
      <w:r w:rsidRPr="00675036">
        <w:rPr>
          <w:i/>
          <w:iCs/>
          <w:szCs w:val="24"/>
          <w:lang w:val="es-ES"/>
        </w:rPr>
        <w:t xml:space="preserve"> </w:t>
      </w:r>
      <w:r w:rsidRPr="00675036">
        <w:rPr>
          <w:iCs/>
          <w:szCs w:val="24"/>
          <w:lang w:val="es-ES"/>
        </w:rPr>
        <w:t>a adju</w:t>
      </w:r>
      <w:r w:rsidRPr="00675036">
        <w:rPr>
          <w:lang w:val="es-ES"/>
        </w:rPr>
        <w:t xml:space="preserve">dicaciones en las que se basó la aplicación del </w:t>
      </w:r>
      <w:r w:rsidRPr="00675036">
        <w:rPr>
          <w:szCs w:val="24"/>
          <w:lang w:val="es-ES"/>
        </w:rPr>
        <w:t>§ 6.15</w:t>
      </w:r>
      <w:r w:rsidRPr="00675036">
        <w:rPr>
          <w:i/>
          <w:iCs/>
          <w:szCs w:val="24"/>
          <w:lang w:val="es-ES"/>
        </w:rPr>
        <w:t>quat</w:t>
      </w:r>
      <w:r w:rsidR="0014576B" w:rsidRPr="00675036">
        <w:rPr>
          <w:lang w:val="es-ES"/>
        </w:rPr>
        <w:t>,</w:t>
      </w:r>
    </w:p>
    <w:p w14:paraId="4083749A" w14:textId="77777777" w:rsidR="0014576B" w:rsidRPr="00675036" w:rsidRDefault="0014576B" w:rsidP="001C7A74">
      <w:pPr>
        <w:pStyle w:val="Call"/>
        <w:rPr>
          <w:lang w:val="es-ES"/>
        </w:rPr>
      </w:pPr>
      <w:r w:rsidRPr="00675036">
        <w:rPr>
          <w:lang w:val="es-ES"/>
        </w:rPr>
        <w:t>encarga a la Oficina de Radiocomunicaciones</w:t>
      </w:r>
    </w:p>
    <w:p w14:paraId="0E1CFF95" w14:textId="77777777" w:rsidR="0014576B" w:rsidRPr="00675036" w:rsidRDefault="0014576B" w:rsidP="001C7A74">
      <w:pPr>
        <w:rPr>
          <w:lang w:val="es-ES"/>
        </w:rPr>
      </w:pPr>
      <w:r w:rsidRPr="00675036">
        <w:rPr>
          <w:lang w:val="es-ES"/>
        </w:rPr>
        <w:t>1</w:t>
      </w:r>
      <w:r w:rsidRPr="00675036">
        <w:rPr>
          <w:lang w:val="es-ES"/>
        </w:rPr>
        <w:tab/>
        <w:t xml:space="preserve">que adopte las medidas necesarias para aplicar la presente Resolución, en particular para llamar la atención de las administraciones notificantes sobre el </w:t>
      </w:r>
      <w:r w:rsidRPr="00675036">
        <w:rPr>
          <w:i/>
          <w:iCs/>
          <w:lang w:val="es-ES"/>
        </w:rPr>
        <w:t>resuelve</w:t>
      </w:r>
      <w:r w:rsidRPr="00675036">
        <w:rPr>
          <w:lang w:val="es-ES"/>
        </w:rPr>
        <w:t xml:space="preserve"> 3 y para prestar la asistencia necesaria a las administraciones notificantes en la aplicación de dicho </w:t>
      </w:r>
      <w:r w:rsidRPr="00675036">
        <w:rPr>
          <w:i/>
          <w:iCs/>
          <w:lang w:val="es-ES"/>
        </w:rPr>
        <w:t>resuelve</w:t>
      </w:r>
      <w:r w:rsidRPr="00675036">
        <w:rPr>
          <w:lang w:val="es-ES"/>
        </w:rPr>
        <w:t xml:space="preserve"> 3;</w:t>
      </w:r>
    </w:p>
    <w:p w14:paraId="09859D1F" w14:textId="77777777" w:rsidR="0014576B" w:rsidRPr="00675036" w:rsidRDefault="0014576B" w:rsidP="001C7A74">
      <w:pPr>
        <w:rPr>
          <w:lang w:val="es-ES"/>
        </w:rPr>
      </w:pPr>
      <w:r w:rsidRPr="00675036">
        <w:rPr>
          <w:lang w:val="es-ES"/>
        </w:rPr>
        <w:t>2</w:t>
      </w:r>
      <w:r w:rsidRPr="00675036">
        <w:rPr>
          <w:lang w:val="es-ES"/>
        </w:rPr>
        <w:tab/>
        <w:t xml:space="preserve">que presente un informe en las reuniones pertinentes de la Junta del Reglamento de Radiocomunicaciones sobre los esfuerzos realizados por las administraciones notificantes en la aplicación del </w:t>
      </w:r>
      <w:r w:rsidRPr="00675036">
        <w:rPr>
          <w:i/>
          <w:iCs/>
          <w:lang w:val="es-ES"/>
        </w:rPr>
        <w:t>resuelve</w:t>
      </w:r>
      <w:r w:rsidRPr="00675036">
        <w:rPr>
          <w:lang w:val="es-ES"/>
        </w:rPr>
        <w:t xml:space="preserve"> 3 para su posterior consideración;</w:t>
      </w:r>
    </w:p>
    <w:p w14:paraId="65E96542" w14:textId="655CD4B1" w:rsidR="0014576B" w:rsidRPr="00675036" w:rsidRDefault="0014576B">
      <w:pPr>
        <w:rPr>
          <w:lang w:val="es-ES"/>
        </w:rPr>
      </w:pPr>
      <w:r w:rsidRPr="00675036">
        <w:rPr>
          <w:lang w:val="es-ES"/>
        </w:rPr>
        <w:t>3</w:t>
      </w:r>
      <w:r w:rsidRPr="00675036">
        <w:rPr>
          <w:lang w:val="es-ES"/>
        </w:rPr>
        <w:tab/>
        <w:t>que informe en cada futura Conferencia Mundial de Radiocomunicaciones de cualquier dificultad que encuentre en la aplicación de esta Resolución,</w:t>
      </w:r>
    </w:p>
    <w:p w14:paraId="45DE7B41" w14:textId="77777777" w:rsidR="0014576B" w:rsidRPr="00675036" w:rsidRDefault="0014576B" w:rsidP="001C7A74">
      <w:pPr>
        <w:pStyle w:val="Call"/>
        <w:rPr>
          <w:lang w:val="es-ES"/>
        </w:rPr>
      </w:pPr>
      <w:r w:rsidRPr="00675036">
        <w:rPr>
          <w:lang w:val="es-ES"/>
        </w:rPr>
        <w:t>encarga a la Junta del Reglamento de Radiocomunicaciones</w:t>
      </w:r>
    </w:p>
    <w:p w14:paraId="032B4422" w14:textId="77777777" w:rsidR="0014576B" w:rsidRPr="00675036" w:rsidRDefault="0014576B" w:rsidP="001C7A74">
      <w:pPr>
        <w:rPr>
          <w:lang w:val="es-ES"/>
        </w:rPr>
      </w:pPr>
      <w:r w:rsidRPr="00675036">
        <w:rPr>
          <w:lang w:val="es-ES"/>
        </w:rPr>
        <w:t xml:space="preserve">que presente un informe en cada futura Conferencia Mundial de Radiocomunicaciones sobre las medidas adoptadas por las administraciones notificantes en la aplicación del </w:t>
      </w:r>
      <w:r w:rsidRPr="00675036">
        <w:rPr>
          <w:i/>
          <w:iCs/>
          <w:lang w:val="es-ES"/>
        </w:rPr>
        <w:t>resuelve</w:t>
      </w:r>
      <w:r w:rsidRPr="00675036">
        <w:rPr>
          <w:lang w:val="es-ES"/>
        </w:rPr>
        <w:t xml:space="preserve"> 3.</w:t>
      </w:r>
    </w:p>
    <w:p w14:paraId="267E54A0" w14:textId="32E9A0A0" w:rsidR="006E7171" w:rsidRPr="00675036" w:rsidRDefault="006E7171" w:rsidP="006E7171">
      <w:pPr>
        <w:pStyle w:val="Reasons"/>
        <w:rPr>
          <w:lang w:val="es-ES"/>
        </w:rPr>
      </w:pPr>
    </w:p>
    <w:p w14:paraId="2DE185D3" w14:textId="1EAAC946" w:rsidR="00AF2E90" w:rsidRPr="00675036" w:rsidRDefault="006E7171" w:rsidP="005F17BB">
      <w:pPr>
        <w:jc w:val="center"/>
        <w:rPr>
          <w:lang w:val="es-ES"/>
        </w:rPr>
      </w:pPr>
      <w:r w:rsidRPr="00675036">
        <w:rPr>
          <w:lang w:val="es-ES"/>
        </w:rPr>
        <w:t>_________________</w:t>
      </w:r>
    </w:p>
    <w:sectPr w:rsidR="00AF2E90" w:rsidRPr="0067503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7E49E" w14:textId="77777777" w:rsidR="00666B37" w:rsidRDefault="00666B37">
      <w:r>
        <w:separator/>
      </w:r>
    </w:p>
  </w:endnote>
  <w:endnote w:type="continuationSeparator" w:id="0">
    <w:p w14:paraId="24CD685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A6E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68FC4" w14:textId="6E12CC8F"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0C74D9">
      <w:rPr>
        <w:noProof/>
      </w:rPr>
      <w:t>06.11.23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6356C" w14:textId="73EF3F6B" w:rsidR="0077084A" w:rsidRPr="00885AF1" w:rsidRDefault="000439E9" w:rsidP="00B86034">
    <w:pPr>
      <w:pStyle w:val="Footer"/>
      <w:ind w:right="360"/>
      <w:rPr>
        <w:lang w:val="en-US"/>
      </w:rPr>
    </w:pPr>
    <w:r>
      <w:fldChar w:fldCharType="begin"/>
    </w:r>
    <w:r>
      <w:rPr>
        <w:lang w:val="en-US"/>
      </w:rPr>
      <w:instrText xml:space="preserve"> FILENAME \p  \* MERGEFORMAT </w:instrText>
    </w:r>
    <w:r>
      <w:fldChar w:fldCharType="separate"/>
    </w:r>
    <w:r w:rsidR="00885AF1">
      <w:rPr>
        <w:lang w:val="en-US"/>
      </w:rPr>
      <w:t>P:\ESP\ITU-R\CONF-R\CMR23\000\085ADD22ADD11S.docx</w:t>
    </w:r>
    <w:r>
      <w:fldChar w:fldCharType="end"/>
    </w:r>
    <w:r w:rsidR="00885AF1" w:rsidRPr="00885AF1">
      <w:rPr>
        <w:lang w:val="en-US"/>
      </w:rPr>
      <w:t xml:space="preserve"> </w:t>
    </w:r>
    <w:r w:rsidR="00885AF1" w:rsidRPr="00927F70">
      <w:rPr>
        <w:lang w:val="en-US"/>
      </w:rPr>
      <w:t>(529906)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7EAE4" w14:textId="303649EA" w:rsidR="0077084A" w:rsidRPr="00885AF1" w:rsidRDefault="0077084A" w:rsidP="00B47331">
    <w:pPr>
      <w:pStyle w:val="Footer"/>
      <w:rPr>
        <w:lang w:val="en-US"/>
      </w:rPr>
    </w:pPr>
    <w:r>
      <w:fldChar w:fldCharType="begin"/>
    </w:r>
    <w:r>
      <w:rPr>
        <w:lang w:val="en-US"/>
      </w:rPr>
      <w:instrText xml:space="preserve"> FILENAME \p  \* MERGEFORMAT </w:instrText>
    </w:r>
    <w:r>
      <w:fldChar w:fldCharType="separate"/>
    </w:r>
    <w:r w:rsidR="00885AF1">
      <w:rPr>
        <w:lang w:val="en-US"/>
      </w:rPr>
      <w:t>P:\ESP\ITU-R\CONF-R\CMR23\000\085ADD22ADD11S.docx</w:t>
    </w:r>
    <w:r>
      <w:fldChar w:fldCharType="end"/>
    </w:r>
    <w:r w:rsidR="00885AF1" w:rsidRPr="00885AF1">
      <w:rPr>
        <w:lang w:val="en-US"/>
      </w:rPr>
      <w:t xml:space="preserve"> </w:t>
    </w:r>
    <w:r w:rsidR="00885AF1" w:rsidRPr="00927F70">
      <w:rPr>
        <w:lang w:val="en-US"/>
      </w:rPr>
      <w:t>(529906)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01309" w14:textId="77777777" w:rsidR="00666B37" w:rsidRDefault="00666B37">
      <w:r>
        <w:rPr>
          <w:b/>
        </w:rPr>
        <w:t>_______________</w:t>
      </w:r>
    </w:p>
  </w:footnote>
  <w:footnote w:type="continuationSeparator" w:id="0">
    <w:p w14:paraId="596A5BEC" w14:textId="77777777" w:rsidR="00666B37" w:rsidRDefault="00666B37">
      <w:r>
        <w:continuationSeparator/>
      </w:r>
    </w:p>
  </w:footnote>
  <w:footnote w:id="1">
    <w:p w14:paraId="56955D01" w14:textId="77777777" w:rsidR="0014576B" w:rsidRDefault="0014576B" w:rsidP="007B2C32">
      <w:pPr>
        <w:pStyle w:val="FootnoteText"/>
      </w:pPr>
      <w:r>
        <w:rPr>
          <w:rStyle w:val="FootnoteReference"/>
        </w:rPr>
        <w:t>1</w:t>
      </w:r>
      <w:r>
        <w:t xml:space="preserve"> </w:t>
      </w:r>
      <w:r>
        <w:tab/>
      </w:r>
      <w:r w:rsidRPr="00627921">
        <w:tab/>
        <w:t>De no recibirse los pagos de conformidad con lo dispuesto en el Acuerdo 482 del Consejo, modificado, relativo a la aplicación de la recuperación de costes a las notificaciones de redes de satélites, la Oficina anulará la publicación especificada en los § 6.7 y/o 6.23 y las inscripciones correspondientes en la Lista con arreglo a los § 6.23 y/o</w:t>
      </w:r>
      <w:r>
        <w:t> </w:t>
      </w:r>
      <w:r w:rsidRPr="00627921">
        <w:t>6.25, según proceda, y reintegrará las adjudicaciones en el Plan tras haber informado a las administraciones afectadas. La Oficina informará de tal medida a todas las administraciones y de que la red especificada en la publicación ya no se tomará en consideración por la Oficina ni las demás administraciones. La Oficina enviará un recordatorio a la administración notificante, si procede, a más tardar dos meses antes del plazo para el pago, de conformidad con el Acuerdo 482 del Consejo mencionado, de no haberse recibido ya antes. Véase también la Resolución </w:t>
      </w:r>
      <w:r w:rsidRPr="00627921">
        <w:rPr>
          <w:b/>
          <w:bCs/>
        </w:rPr>
        <w:t>905 (CMR</w:t>
      </w:r>
      <w:r w:rsidRPr="00627921">
        <w:rPr>
          <w:b/>
          <w:bCs/>
        </w:rPr>
        <w:noBreakHyphen/>
      </w:r>
      <w:proofErr w:type="gramStart"/>
      <w:r w:rsidRPr="00627921">
        <w:rPr>
          <w:b/>
          <w:bCs/>
        </w:rPr>
        <w:t>07)</w:t>
      </w:r>
      <w:r w:rsidRPr="00627921">
        <w:t>*</w:t>
      </w:r>
      <w:proofErr w:type="gramEnd"/>
      <w:r w:rsidRPr="00627921">
        <w:t>.</w:t>
      </w:r>
    </w:p>
    <w:p w14:paraId="3B1DE261" w14:textId="77777777" w:rsidR="0014576B" w:rsidRPr="00627921" w:rsidRDefault="0014576B" w:rsidP="007B2C32">
      <w:pPr>
        <w:pStyle w:val="FootnoteText"/>
        <w:rPr>
          <w:lang w:val="es-ES"/>
        </w:rPr>
      </w:pPr>
      <w:r w:rsidRPr="00627921">
        <w:tab/>
        <w:t>*   </w:t>
      </w:r>
      <w:r w:rsidRPr="00627921">
        <w:rPr>
          <w:i/>
          <w:iCs/>
        </w:rPr>
        <w:t>Nota de la Secretaría</w:t>
      </w:r>
      <w:r w:rsidRPr="00627921">
        <w:t>: Esta Resolución ha sido abrogada por la CMR-12.</w:t>
      </w:r>
    </w:p>
  </w:footnote>
  <w:footnote w:id="2">
    <w:p w14:paraId="0482761D" w14:textId="77777777" w:rsidR="0014576B" w:rsidRDefault="0014576B" w:rsidP="007B2C32">
      <w:pPr>
        <w:pStyle w:val="FootnoteText"/>
      </w:pPr>
      <w:r>
        <w:rPr>
          <w:rStyle w:val="FootnoteReference"/>
        </w:rPr>
        <w:t>2</w:t>
      </w:r>
      <w:r>
        <w:tab/>
      </w:r>
      <w:r w:rsidRPr="00627921">
        <w:t xml:space="preserve">Se aplican las disposiciones de la Resolución </w:t>
      </w:r>
      <w:r w:rsidRPr="00627921">
        <w:rPr>
          <w:b/>
          <w:bCs/>
        </w:rPr>
        <w:t>49 (Rev.CMR-15)</w:t>
      </w:r>
      <w:r w:rsidRPr="00627921">
        <w:t>.</w:t>
      </w:r>
      <w:r w:rsidRPr="0057320C">
        <w:rPr>
          <w:sz w:val="16"/>
          <w:szCs w:val="16"/>
        </w:rPr>
        <w:t>     (CMR</w:t>
      </w:r>
      <w:r w:rsidRPr="0057320C">
        <w:rPr>
          <w:sz w:val="16"/>
          <w:szCs w:val="16"/>
        </w:rPr>
        <w:noBreakHyphen/>
        <w:t>1</w:t>
      </w:r>
      <w:r>
        <w:rPr>
          <w:sz w:val="16"/>
          <w:szCs w:val="16"/>
        </w:rPr>
        <w:t>5</w:t>
      </w:r>
      <w:r w:rsidRPr="0057320C">
        <w:rPr>
          <w:sz w:val="16"/>
          <w:szCs w:val="16"/>
        </w:rPr>
        <w:t>)</w:t>
      </w:r>
    </w:p>
    <w:p w14:paraId="1BF9E5F8" w14:textId="77777777" w:rsidR="0014576B" w:rsidRPr="00246C60" w:rsidRDefault="0014576B" w:rsidP="007B2C32">
      <w:pPr>
        <w:pStyle w:val="FootnoteText"/>
      </w:pPr>
      <w:r>
        <w:rPr>
          <w:rStyle w:val="FootnoteReference"/>
        </w:rPr>
        <w:t>2</w:t>
      </w:r>
      <w:r w:rsidRPr="000D555D">
        <w:rPr>
          <w:rStyle w:val="FootnoteReference"/>
          <w:i/>
          <w:iCs/>
        </w:rPr>
        <w:t>bis</w:t>
      </w:r>
      <w:r>
        <w:t>  </w:t>
      </w:r>
      <w:r>
        <w:rPr>
          <w:noProof/>
          <w:lang w:val="es-ES"/>
        </w:rPr>
        <w:t>Es de aplicación la</w:t>
      </w:r>
      <w:r w:rsidRPr="00C83818">
        <w:rPr>
          <w:noProof/>
          <w:lang w:val="es-ES"/>
        </w:rPr>
        <w:t xml:space="preserve"> Resolución </w:t>
      </w:r>
      <w:r>
        <w:rPr>
          <w:b/>
          <w:bCs/>
          <w:noProof/>
        </w:rPr>
        <w:t>170</w:t>
      </w:r>
      <w:r w:rsidRPr="00C83818">
        <w:rPr>
          <w:b/>
          <w:bCs/>
          <w:noProof/>
          <w:lang w:val="es-ES"/>
        </w:rPr>
        <w:t xml:space="preserve"> (CMR</w:t>
      </w:r>
      <w:r w:rsidRPr="00C83818">
        <w:rPr>
          <w:b/>
          <w:bCs/>
          <w:noProof/>
          <w:lang w:val="es-ES"/>
        </w:rPr>
        <w:noBreakHyphen/>
        <w:t>19)</w:t>
      </w:r>
      <w:r w:rsidRPr="0057320C">
        <w:rPr>
          <w:sz w:val="16"/>
          <w:szCs w:val="16"/>
        </w:rPr>
        <w:t>  </w:t>
      </w:r>
      <w:proofErr w:type="gramStart"/>
      <w:r w:rsidRPr="0057320C">
        <w:rPr>
          <w:sz w:val="16"/>
          <w:szCs w:val="16"/>
        </w:rPr>
        <w:t>   (</w:t>
      </w:r>
      <w:proofErr w:type="gramEnd"/>
      <w:r w:rsidRPr="0057320C">
        <w:rPr>
          <w:sz w:val="16"/>
          <w:szCs w:val="16"/>
        </w:rPr>
        <w:t>CMR</w:t>
      </w:r>
      <w:r w:rsidRPr="0057320C">
        <w:rPr>
          <w:sz w:val="16"/>
          <w:szCs w:val="16"/>
        </w:rPr>
        <w:noBreakHyphen/>
        <w:t>19)</w:t>
      </w:r>
      <w:r>
        <w:t>.</w:t>
      </w:r>
    </w:p>
  </w:footnote>
  <w:footnote w:id="3">
    <w:p w14:paraId="5CF80DBE" w14:textId="77777777" w:rsidR="0014576B" w:rsidRPr="00D96FD5" w:rsidRDefault="0014576B" w:rsidP="007B2C32">
      <w:pPr>
        <w:pStyle w:val="FootnoteText"/>
      </w:pPr>
      <w:r w:rsidRPr="00D96FD5">
        <w:rPr>
          <w:rStyle w:val="FootnoteReference"/>
        </w:rPr>
        <w:t>11</w:t>
      </w:r>
      <w:r w:rsidRPr="00D96FD5">
        <w:tab/>
        <w:t>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o al § 8.16</w:t>
      </w:r>
      <w:r w:rsidRPr="00D96FD5">
        <w:rPr>
          <w:i/>
        </w:rPr>
        <w:t>bis</w:t>
      </w:r>
      <w:r w:rsidRPr="00D96FD5">
        <w:t>, según proceda,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w:t>
      </w:r>
      <w:r w:rsidRPr="00D96FD5">
        <w:rPr>
          <w:sz w:val="16"/>
          <w:szCs w:val="16"/>
        </w:rPr>
        <w:t>     (CMR</w:t>
      </w:r>
      <w:r w:rsidRPr="00D96FD5">
        <w:rPr>
          <w:sz w:val="16"/>
          <w:szCs w:val="16"/>
        </w:rPr>
        <w:noBreakHyphen/>
        <w:t>19)</w:t>
      </w:r>
    </w:p>
  </w:footnote>
  <w:footnote w:id="4">
    <w:p w14:paraId="33342A22" w14:textId="77777777" w:rsidR="0014576B" w:rsidRPr="006617B5" w:rsidRDefault="0014576B" w:rsidP="007B2C32">
      <w:pPr>
        <w:pStyle w:val="FootnoteText"/>
        <w:rPr>
          <w:lang w:val="es-ES"/>
        </w:rPr>
      </w:pPr>
      <w:r>
        <w:rPr>
          <w:rStyle w:val="FootnoteReference"/>
        </w:rPr>
        <w:t>12</w:t>
      </w:r>
      <w:r>
        <w:t xml:space="preserve"> </w:t>
      </w:r>
      <w:r>
        <w:rPr>
          <w:lang w:val="es-ES"/>
        </w:rPr>
        <w:tab/>
      </w:r>
      <w:r w:rsidRPr="006617B5">
        <w:t xml:space="preserve">Se aplica lo dispuesto en la Resolución </w:t>
      </w:r>
      <w:r w:rsidRPr="006617B5">
        <w:rPr>
          <w:b/>
          <w:bCs/>
        </w:rPr>
        <w:t>49 (Rev.CMR-15)</w:t>
      </w:r>
      <w:r w:rsidRPr="006617B5">
        <w:t>.</w:t>
      </w:r>
      <w:r w:rsidRPr="006617B5">
        <w:rPr>
          <w:sz w:val="16"/>
          <w:szCs w:val="16"/>
        </w:rPr>
        <w:t>     (CMR</w:t>
      </w:r>
      <w:r w:rsidRPr="006617B5">
        <w:rPr>
          <w:sz w:val="16"/>
          <w:szCs w:val="16"/>
        </w:rPr>
        <w:noBreakHyphen/>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3651" w14:textId="288182FB"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439E9">
      <w:rPr>
        <w:rStyle w:val="PageNumber"/>
        <w:noProof/>
      </w:rPr>
      <w:t>5</w:t>
    </w:r>
    <w:r>
      <w:rPr>
        <w:rStyle w:val="PageNumber"/>
      </w:rPr>
      <w:fldChar w:fldCharType="end"/>
    </w:r>
  </w:p>
  <w:p w14:paraId="4E679F9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w:t>
    </w:r>
    <w:proofErr w:type="gramStart"/>
    <w:r w:rsidR="00702F3D">
      <w:t>22)(</w:t>
    </w:r>
    <w:proofErr w:type="gramEnd"/>
    <w:r w:rsidR="00702F3D">
      <w:t>Add.11)-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39E9"/>
    <w:rsid w:val="00087AE8"/>
    <w:rsid w:val="00091054"/>
    <w:rsid w:val="000A2A7D"/>
    <w:rsid w:val="000A5B9A"/>
    <w:rsid w:val="000C74D9"/>
    <w:rsid w:val="000E5BF9"/>
    <w:rsid w:val="000F0E6D"/>
    <w:rsid w:val="00121170"/>
    <w:rsid w:val="00123CC5"/>
    <w:rsid w:val="0014576B"/>
    <w:rsid w:val="0015142D"/>
    <w:rsid w:val="001616DC"/>
    <w:rsid w:val="00163962"/>
    <w:rsid w:val="00170F85"/>
    <w:rsid w:val="00191A97"/>
    <w:rsid w:val="0019729C"/>
    <w:rsid w:val="001A083F"/>
    <w:rsid w:val="001C41FA"/>
    <w:rsid w:val="001E2B52"/>
    <w:rsid w:val="001E3F27"/>
    <w:rsid w:val="001E7D42"/>
    <w:rsid w:val="0023659C"/>
    <w:rsid w:val="00236D2A"/>
    <w:rsid w:val="0024569E"/>
    <w:rsid w:val="00255F12"/>
    <w:rsid w:val="00262C09"/>
    <w:rsid w:val="002967A5"/>
    <w:rsid w:val="002A791F"/>
    <w:rsid w:val="002C1A52"/>
    <w:rsid w:val="002C1B26"/>
    <w:rsid w:val="002C5D6C"/>
    <w:rsid w:val="002E701F"/>
    <w:rsid w:val="002F6664"/>
    <w:rsid w:val="003248A9"/>
    <w:rsid w:val="00324FFA"/>
    <w:rsid w:val="0032680B"/>
    <w:rsid w:val="00363A65"/>
    <w:rsid w:val="00371817"/>
    <w:rsid w:val="003B1E8C"/>
    <w:rsid w:val="003C0613"/>
    <w:rsid w:val="003C2508"/>
    <w:rsid w:val="003D0AA3"/>
    <w:rsid w:val="003E2086"/>
    <w:rsid w:val="003F7F66"/>
    <w:rsid w:val="00440B3A"/>
    <w:rsid w:val="0044375A"/>
    <w:rsid w:val="0045384C"/>
    <w:rsid w:val="00454553"/>
    <w:rsid w:val="00472A86"/>
    <w:rsid w:val="004776C0"/>
    <w:rsid w:val="004B124A"/>
    <w:rsid w:val="004B3095"/>
    <w:rsid w:val="004D2749"/>
    <w:rsid w:val="004D2C7C"/>
    <w:rsid w:val="005133B5"/>
    <w:rsid w:val="00516E04"/>
    <w:rsid w:val="00524392"/>
    <w:rsid w:val="00532097"/>
    <w:rsid w:val="0058350F"/>
    <w:rsid w:val="00583C7E"/>
    <w:rsid w:val="0059098E"/>
    <w:rsid w:val="005D46FB"/>
    <w:rsid w:val="005F17BB"/>
    <w:rsid w:val="005F2605"/>
    <w:rsid w:val="005F3B0E"/>
    <w:rsid w:val="005F3DB8"/>
    <w:rsid w:val="005F559C"/>
    <w:rsid w:val="00602857"/>
    <w:rsid w:val="006124AD"/>
    <w:rsid w:val="00624009"/>
    <w:rsid w:val="00662BA0"/>
    <w:rsid w:val="00666B37"/>
    <w:rsid w:val="0067344B"/>
    <w:rsid w:val="00675036"/>
    <w:rsid w:val="00684A94"/>
    <w:rsid w:val="00692AAE"/>
    <w:rsid w:val="006A0CB4"/>
    <w:rsid w:val="006C0E38"/>
    <w:rsid w:val="006D6E67"/>
    <w:rsid w:val="006E1A13"/>
    <w:rsid w:val="006E7171"/>
    <w:rsid w:val="00701C20"/>
    <w:rsid w:val="00702F3D"/>
    <w:rsid w:val="0070518E"/>
    <w:rsid w:val="007354E9"/>
    <w:rsid w:val="007424E8"/>
    <w:rsid w:val="0074579D"/>
    <w:rsid w:val="00765578"/>
    <w:rsid w:val="00766333"/>
    <w:rsid w:val="0077084A"/>
    <w:rsid w:val="007769B1"/>
    <w:rsid w:val="007952C7"/>
    <w:rsid w:val="007C0B95"/>
    <w:rsid w:val="007C2317"/>
    <w:rsid w:val="007D330A"/>
    <w:rsid w:val="0080079E"/>
    <w:rsid w:val="008504C2"/>
    <w:rsid w:val="00866AE6"/>
    <w:rsid w:val="008750A8"/>
    <w:rsid w:val="00885AF1"/>
    <w:rsid w:val="008D3316"/>
    <w:rsid w:val="008E5AF2"/>
    <w:rsid w:val="0090121B"/>
    <w:rsid w:val="009144C9"/>
    <w:rsid w:val="00927F70"/>
    <w:rsid w:val="0094091F"/>
    <w:rsid w:val="00962171"/>
    <w:rsid w:val="00973754"/>
    <w:rsid w:val="009C0BED"/>
    <w:rsid w:val="009E11EC"/>
    <w:rsid w:val="00A021CC"/>
    <w:rsid w:val="00A118DB"/>
    <w:rsid w:val="00A4450C"/>
    <w:rsid w:val="00AA5E6C"/>
    <w:rsid w:val="00AB3BAE"/>
    <w:rsid w:val="00AC49B1"/>
    <w:rsid w:val="00AE1609"/>
    <w:rsid w:val="00AE5677"/>
    <w:rsid w:val="00AE658F"/>
    <w:rsid w:val="00AF2E90"/>
    <w:rsid w:val="00AF2F78"/>
    <w:rsid w:val="00B10675"/>
    <w:rsid w:val="00B239FA"/>
    <w:rsid w:val="00B372AB"/>
    <w:rsid w:val="00B47331"/>
    <w:rsid w:val="00B52D55"/>
    <w:rsid w:val="00B8288C"/>
    <w:rsid w:val="00B86034"/>
    <w:rsid w:val="00BE2E80"/>
    <w:rsid w:val="00BE5EDD"/>
    <w:rsid w:val="00BE6A1F"/>
    <w:rsid w:val="00C126C4"/>
    <w:rsid w:val="00C35A77"/>
    <w:rsid w:val="00C44E9E"/>
    <w:rsid w:val="00C63EB5"/>
    <w:rsid w:val="00C87DA7"/>
    <w:rsid w:val="00CA0CF4"/>
    <w:rsid w:val="00CA4945"/>
    <w:rsid w:val="00CC01E0"/>
    <w:rsid w:val="00CD5FEE"/>
    <w:rsid w:val="00CE60D2"/>
    <w:rsid w:val="00CE7431"/>
    <w:rsid w:val="00CF2A34"/>
    <w:rsid w:val="00D00CA8"/>
    <w:rsid w:val="00D0288A"/>
    <w:rsid w:val="00D72A5D"/>
    <w:rsid w:val="00DA71A3"/>
    <w:rsid w:val="00DC1922"/>
    <w:rsid w:val="00DC629B"/>
    <w:rsid w:val="00DE1C31"/>
    <w:rsid w:val="00E05BFF"/>
    <w:rsid w:val="00E17BE5"/>
    <w:rsid w:val="00E262F1"/>
    <w:rsid w:val="00E3176A"/>
    <w:rsid w:val="00E36CE4"/>
    <w:rsid w:val="00E54754"/>
    <w:rsid w:val="00E56BD3"/>
    <w:rsid w:val="00E71D14"/>
    <w:rsid w:val="00EA77F0"/>
    <w:rsid w:val="00EB5FFF"/>
    <w:rsid w:val="00F32316"/>
    <w:rsid w:val="00F66597"/>
    <w:rsid w:val="00F675D0"/>
    <w:rsid w:val="00F8150C"/>
    <w:rsid w:val="00F84456"/>
    <w:rsid w:val="00FD03C4"/>
    <w:rsid w:val="00FE084F"/>
    <w:rsid w:val="00FE4136"/>
    <w:rsid w:val="00FE4574"/>
    <w:rsid w:val="00FE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0BB0E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FE084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084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7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R23-WRC23-C-0085!A22-A11!MSW-S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3B83-F946-40F4-8D67-05328DC6A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7BAFC-B00B-4ACC-B10B-1307DE475A1F}">
  <ds:schemaRefs>
    <ds:schemaRef ds:uri="http://schemas.microsoft.com/sharepoint/events"/>
  </ds:schemaRefs>
</ds:datastoreItem>
</file>

<file path=customXml/itemProps3.xml><?xml version="1.0" encoding="utf-8"?>
<ds:datastoreItem xmlns:ds="http://schemas.openxmlformats.org/officeDocument/2006/customXml" ds:itemID="{056BAC66-2657-4FA5-873E-6795236E3F8D}">
  <ds:schemaRefs>
    <ds:schemaRef ds:uri="http://schemas.microsoft.com/sharepoint/v3/contenttype/forms"/>
  </ds:schemaRefs>
</ds:datastoreItem>
</file>

<file path=customXml/itemProps4.xml><?xml version="1.0" encoding="utf-8"?>
<ds:datastoreItem xmlns:ds="http://schemas.openxmlformats.org/officeDocument/2006/customXml" ds:itemID="{6E4AB1C0-CED9-4534-82AB-FEF5F06E4B1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271078E-1A20-4546-A4A4-4BE72426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1584</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R23-WRC23-C-0085!A22-A11!MSW-S</vt:lpstr>
    </vt:vector>
  </TitlesOfParts>
  <Manager>Secretaría General - Pool</Manager>
  <Company>Unión Internacional de Telecomunicaciones (UIT)</Company>
  <LinksUpToDate>false</LinksUpToDate>
  <CharactersWithSpaces>10410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R23-WRC23-C-0085!A22-A11!MSW-S</dc:title>
  <dc:subject>Conferencia Mundial de Radiocomunicaciones - 2019</dc:subject>
  <dc:creator>Documents Proposals Manager (DPM)</dc:creator>
  <cp:keywords>DPM_v2023.8.1.1_prod</cp:keywords>
  <dc:description/>
  <cp:lastModifiedBy>Spanish</cp:lastModifiedBy>
  <cp:revision>8</cp:revision>
  <cp:lastPrinted>2003-02-19T20:20:00Z</cp:lastPrinted>
  <dcterms:created xsi:type="dcterms:W3CDTF">2023-11-06T11:38:00Z</dcterms:created>
  <dcterms:modified xsi:type="dcterms:W3CDTF">2023-11-06T12:00:00Z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