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78821976" w14:textId="77777777" w:rsidTr="0080079E">
        <w:trPr>
          <w:cantSplit/>
        </w:trPr>
        <w:tc>
          <w:tcPr>
            <w:tcW w:w="1418" w:type="dxa"/>
            <w:vAlign w:val="center"/>
          </w:tcPr>
          <w:p w14:paraId="7DB088B6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E5B84AA" wp14:editId="37FD2E0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78799C69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6C72505E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06DAE66C" wp14:editId="16C67762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69DFB23E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217B2B0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22ED64A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7189E6BE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5C5DACD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267C1FD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0B936F51" w14:textId="77777777" w:rsidTr="0090121B">
        <w:trPr>
          <w:cantSplit/>
        </w:trPr>
        <w:tc>
          <w:tcPr>
            <w:tcW w:w="6911" w:type="dxa"/>
            <w:gridSpan w:val="2"/>
          </w:tcPr>
          <w:p w14:paraId="5265ED13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2B44DB07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Addéndum 17 al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br/>
              <w:t>Documento 85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1"/>
      <w:tr w:rsidR="000A5B9A" w:rsidRPr="0002785D" w14:paraId="1063B618" w14:textId="77777777" w:rsidTr="0090121B">
        <w:trPr>
          <w:cantSplit/>
        </w:trPr>
        <w:tc>
          <w:tcPr>
            <w:tcW w:w="6911" w:type="dxa"/>
            <w:gridSpan w:val="2"/>
          </w:tcPr>
          <w:p w14:paraId="32222CC0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641B8FAC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22 de octubre de 2023</w:t>
            </w:r>
          </w:p>
        </w:tc>
      </w:tr>
      <w:tr w:rsidR="000A5B9A" w:rsidRPr="0002785D" w14:paraId="3EF2524E" w14:textId="77777777" w:rsidTr="0090121B">
        <w:trPr>
          <w:cantSplit/>
        </w:trPr>
        <w:tc>
          <w:tcPr>
            <w:tcW w:w="6911" w:type="dxa"/>
            <w:gridSpan w:val="2"/>
          </w:tcPr>
          <w:p w14:paraId="5C4D6CD1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21546D50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ruso</w:t>
            </w:r>
          </w:p>
        </w:tc>
      </w:tr>
      <w:tr w:rsidR="000A5B9A" w:rsidRPr="0002785D" w14:paraId="187F9170" w14:textId="77777777" w:rsidTr="006744FC">
        <w:trPr>
          <w:cantSplit/>
        </w:trPr>
        <w:tc>
          <w:tcPr>
            <w:tcW w:w="10031" w:type="dxa"/>
            <w:gridSpan w:val="4"/>
          </w:tcPr>
          <w:p w14:paraId="714C55AC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6D810C46" w14:textId="77777777" w:rsidTr="0050008E">
        <w:trPr>
          <w:cantSplit/>
        </w:trPr>
        <w:tc>
          <w:tcPr>
            <w:tcW w:w="10031" w:type="dxa"/>
            <w:gridSpan w:val="4"/>
          </w:tcPr>
          <w:p w14:paraId="70FB232B" w14:textId="77777777" w:rsidR="000A5B9A" w:rsidRPr="00342415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342415">
              <w:rPr>
                <w:lang w:val="es-ES"/>
              </w:rPr>
              <w:t>Propuestas Comunes de la Comunidad Regional de Comunicaciones</w:t>
            </w:r>
          </w:p>
        </w:tc>
      </w:tr>
      <w:tr w:rsidR="000A5B9A" w:rsidRPr="0002785D" w14:paraId="21088905" w14:textId="77777777" w:rsidTr="0050008E">
        <w:trPr>
          <w:cantSplit/>
        </w:trPr>
        <w:tc>
          <w:tcPr>
            <w:tcW w:w="10031" w:type="dxa"/>
            <w:gridSpan w:val="4"/>
          </w:tcPr>
          <w:p w14:paraId="0AC0C9C0" w14:textId="780907AB" w:rsidR="000A5B9A" w:rsidRPr="001E5CC5" w:rsidRDefault="001E5CC5" w:rsidP="001E5CC5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1E5CC5">
              <w:rPr>
                <w:lang w:val="es-ES"/>
              </w:rPr>
              <w:t>PROPUESTAS PARA LOS TRABAJOS D</w:t>
            </w:r>
            <w:r>
              <w:rPr>
                <w:lang w:val="es-ES"/>
              </w:rPr>
              <w:t>E LA CONFERENCIA</w:t>
            </w:r>
          </w:p>
        </w:tc>
      </w:tr>
      <w:tr w:rsidR="000A5B9A" w:rsidRPr="0002785D" w14:paraId="61920AAB" w14:textId="77777777" w:rsidTr="0050008E">
        <w:trPr>
          <w:cantSplit/>
        </w:trPr>
        <w:tc>
          <w:tcPr>
            <w:tcW w:w="10031" w:type="dxa"/>
            <w:gridSpan w:val="4"/>
          </w:tcPr>
          <w:p w14:paraId="5F7D361E" w14:textId="77777777" w:rsidR="000A5B9A" w:rsidRPr="001E5CC5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14:paraId="11C5D730" w14:textId="77777777" w:rsidTr="0050008E">
        <w:trPr>
          <w:cantSplit/>
        </w:trPr>
        <w:tc>
          <w:tcPr>
            <w:tcW w:w="10031" w:type="dxa"/>
            <w:gridSpan w:val="4"/>
          </w:tcPr>
          <w:p w14:paraId="3AB01FEF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1.17 del orden del día</w:t>
            </w:r>
          </w:p>
        </w:tc>
      </w:tr>
    </w:tbl>
    <w:bookmarkEnd w:id="5"/>
    <w:p w14:paraId="6DDD0B3A" w14:textId="77777777" w:rsidR="00B04815" w:rsidRPr="00550DDA" w:rsidRDefault="00342415" w:rsidP="00550DDA">
      <w:r w:rsidRPr="00ED1619">
        <w:t>1.17</w:t>
      </w:r>
      <w:r w:rsidRPr="00ED1619">
        <w:tab/>
        <w:t>determinar y tomar, basándose en los estudios del UIT-R previstos en la Resolución</w:t>
      </w:r>
      <w:r>
        <w:t> </w:t>
      </w:r>
      <w:r w:rsidRPr="00ED1619">
        <w:rPr>
          <w:b/>
        </w:rPr>
        <w:t>773 (CMR-19)</w:t>
      </w:r>
      <w:r w:rsidRPr="00ED1619">
        <w:t>,</w:t>
      </w:r>
      <w:r w:rsidRPr="00ED1619">
        <w:rPr>
          <w:b/>
        </w:rPr>
        <w:t xml:space="preserve"> </w:t>
      </w:r>
      <w:r w:rsidRPr="00ED1619">
        <w:t>las medidas reglamentarias apropiadas para el establecimiento de enlaces entre satélites en bandas de frecuencias específicas o partes de las mismas, mediante una nueva atribución al servicio entre satélites donde corresponda;</w:t>
      </w:r>
    </w:p>
    <w:p w14:paraId="4BD62BC6" w14:textId="77777777" w:rsidR="001E5CC5" w:rsidRPr="00A87775" w:rsidRDefault="001E5CC5" w:rsidP="001E5CC5">
      <w:pPr>
        <w:rPr>
          <w:b/>
          <w:bCs/>
        </w:rPr>
      </w:pPr>
      <w:r w:rsidRPr="00A87775">
        <w:rPr>
          <w:b/>
          <w:bCs/>
        </w:rPr>
        <w:t>Introducción</w:t>
      </w:r>
    </w:p>
    <w:p w14:paraId="725A2ECE" w14:textId="54E5EA76" w:rsidR="001E5CC5" w:rsidRDefault="001E5CC5" w:rsidP="001E5CC5">
      <w:r>
        <w:t xml:space="preserve">Las Administraciones de la CRC opinan que </w:t>
      </w:r>
      <w:r w:rsidR="00AE0D18">
        <w:t>la utilización</w:t>
      </w:r>
      <w:r>
        <w:t xml:space="preserve"> de enlaces de satélite a satélite en las bandas de frecuencias 11,7-12,7 GHz, 18,1-18,6 GHz, 18,8-20,2 GHz y 27,5-30 GHz, tal como se concibe actualmente, no corresponde a la definición del SFS e impone limitaciones adicionales a</w:t>
      </w:r>
      <w:r w:rsidR="00AE0D18">
        <w:t xml:space="preserve"> la </w:t>
      </w:r>
      <w:r w:rsidR="00465308">
        <w:t>utilización</w:t>
      </w:r>
      <w:r>
        <w:t xml:space="preserve"> de los actuales sistemas/redes de satélite</w:t>
      </w:r>
      <w:r w:rsidR="00A87775">
        <w:t>s</w:t>
      </w:r>
      <w:r>
        <w:t xml:space="preserve"> del SFS y los futuros, incluso en los territorios nacionales.</w:t>
      </w:r>
    </w:p>
    <w:p w14:paraId="08C299EA" w14:textId="26583154" w:rsidR="001E5CC5" w:rsidRDefault="001E5CC5" w:rsidP="001E5CC5">
      <w:r>
        <w:t>Las Administraciones de la CRC apoyan que no se introduzcan cambios en el Reglamento de Radiocomunicaciones de la UIT con respecto a la banda de frecuencias 11,7-12,7 GHz.</w:t>
      </w:r>
    </w:p>
    <w:p w14:paraId="2C9749E6" w14:textId="464B096B" w:rsidR="001E5CC5" w:rsidRDefault="001E5CC5" w:rsidP="001E5CC5">
      <w:r>
        <w:t xml:space="preserve">Las Administraciones de la CRC consideran que las condiciones de </w:t>
      </w:r>
      <w:r w:rsidR="00AE0D18">
        <w:t>utilización</w:t>
      </w:r>
      <w:r>
        <w:t xml:space="preserve"> de enlaces de satélite a satélite en las bandas de frecuencias mencionadas deben garantizar la protección de los </w:t>
      </w:r>
      <w:r w:rsidR="00A87775" w:rsidRPr="00A87775">
        <w:t>servicios existentes con atribución a título primario</w:t>
      </w:r>
      <w:r w:rsidR="00A87775">
        <w:t xml:space="preserve"> </w:t>
      </w:r>
      <w:r>
        <w:t xml:space="preserve">en la misma banda de frecuencias o en bandas </w:t>
      </w:r>
      <w:r w:rsidR="00AE0D18">
        <w:t xml:space="preserve">de frecuencias </w:t>
      </w:r>
      <w:r>
        <w:t xml:space="preserve">adyacentes, incluidos los servicios pasivos, y no deben imponer </w:t>
      </w:r>
      <w:r w:rsidR="00AE0D18">
        <w:t>limitaciones</w:t>
      </w:r>
      <w:r>
        <w:t xml:space="preserve"> adicionales </w:t>
      </w:r>
      <w:r w:rsidR="00AE0D18">
        <w:t xml:space="preserve">a la </w:t>
      </w:r>
      <w:r>
        <w:t>utilización de los sistemas existentes o futuros de estos servicios.</w:t>
      </w:r>
    </w:p>
    <w:p w14:paraId="54049227" w14:textId="5A62A401" w:rsidR="00363A65" w:rsidRDefault="001E5CC5" w:rsidP="001E5CC5">
      <w:r>
        <w:t>Las Administraciones de la CRC apoyan las condiciones técnicas y operativas, así como las disposiciones reglamentarias, incluidas las nuevas atribuciones al servicio entre satélites (S</w:t>
      </w:r>
      <w:r w:rsidR="00AE0D18">
        <w:t>ES</w:t>
      </w:r>
      <w:r>
        <w:t>), para el funcionamiento de enlaces entre satélites en las bandas de frecuencias 18,1-18,6 GHz, 18,8-20,2 GHz y 27,5-30 GHz, o p</w:t>
      </w:r>
      <w:r w:rsidR="00AE0D18">
        <w:t xml:space="preserve">artes </w:t>
      </w:r>
      <w:r>
        <w:t xml:space="preserve">de las mismas, teniendo en cuenta los resultados de los estudios, incluido un concepto de funcionamiento que </w:t>
      </w:r>
      <w:r w:rsidR="00465308">
        <w:t>cumpla</w:t>
      </w:r>
      <w:r>
        <w:t xml:space="preserve"> los requisitos anteriores.</w:t>
      </w:r>
    </w:p>
    <w:p w14:paraId="4EAB574A" w14:textId="132AC140" w:rsidR="00465308" w:rsidRDefault="00465308" w:rsidP="00465308">
      <w:r>
        <w:t>Las Administraciones de la CRC están valorando el Método A que figura en el Informe de la RPC, y también el Método B, si se cumplen las siguientes condiciones:</w:t>
      </w:r>
    </w:p>
    <w:p w14:paraId="1E40A26D" w14:textId="11B16845" w:rsidR="00465308" w:rsidRDefault="00F05967" w:rsidP="00B04815">
      <w:pPr>
        <w:pStyle w:val="enumlev1"/>
      </w:pPr>
      <w:r>
        <w:t>–</w:t>
      </w:r>
      <w:r>
        <w:tab/>
      </w:r>
      <w:r w:rsidR="00465308">
        <w:t>la utilización de enlaces de satélite a satélite sólo es posible en el marco de la nueva atribución al SES;</w:t>
      </w:r>
    </w:p>
    <w:p w14:paraId="30A402B2" w14:textId="5332B6D2" w:rsidR="00465308" w:rsidRDefault="00F05967" w:rsidP="00B04815">
      <w:pPr>
        <w:pStyle w:val="enumlev1"/>
      </w:pPr>
      <w:r>
        <w:lastRenderedPageBreak/>
        <w:t>–</w:t>
      </w:r>
      <w:r>
        <w:tab/>
      </w:r>
      <w:r w:rsidR="00465308">
        <w:t xml:space="preserve">la utilización de enlaces de satélite a satélite sólo es posible </w:t>
      </w:r>
      <w:r w:rsidR="00323B1E">
        <w:t>si se establece la</w:t>
      </w:r>
      <w:r w:rsidR="00465308">
        <w:t xml:space="preserve"> coordinación obligatoria en el marco de la nueva </w:t>
      </w:r>
      <w:r w:rsidR="00323B1E">
        <w:t>atribución</w:t>
      </w:r>
      <w:r w:rsidR="00465308">
        <w:t xml:space="preserve"> </w:t>
      </w:r>
      <w:r w:rsidR="00323B1E">
        <w:t>al SES</w:t>
      </w:r>
      <w:r w:rsidR="00465308">
        <w:t>, de conformidad con el</w:t>
      </w:r>
      <w:r w:rsidR="00323B1E">
        <w:t xml:space="preserve"> número </w:t>
      </w:r>
      <w:r w:rsidR="00465308" w:rsidRPr="00323B1E">
        <w:rPr>
          <w:b/>
          <w:bCs/>
        </w:rPr>
        <w:t>9.11А</w:t>
      </w:r>
      <w:r w:rsidR="00323B1E">
        <w:t xml:space="preserve"> del RR</w:t>
      </w:r>
      <w:r w:rsidR="00465308">
        <w:t>;</w:t>
      </w:r>
    </w:p>
    <w:p w14:paraId="1F082B00" w14:textId="587FD8F7" w:rsidR="00465308" w:rsidRDefault="00F05967" w:rsidP="00B04815">
      <w:pPr>
        <w:pStyle w:val="enumlev1"/>
      </w:pPr>
      <w:r>
        <w:t>–</w:t>
      </w:r>
      <w:r>
        <w:tab/>
      </w:r>
      <w:r w:rsidR="00323B1E">
        <w:t>la utilización</w:t>
      </w:r>
      <w:r w:rsidR="00465308">
        <w:t xml:space="preserve"> de enlaces de satélite a satélite en el marco de la nueva atribución al SES no debe reclamar protección ni </w:t>
      </w:r>
      <w:r w:rsidR="00323B1E">
        <w:t xml:space="preserve">causar </w:t>
      </w:r>
      <w:r w:rsidR="00465308">
        <w:t xml:space="preserve">interferencia inaceptable </w:t>
      </w:r>
      <w:r w:rsidR="00323B1E">
        <w:t>a l</w:t>
      </w:r>
      <w:r w:rsidR="00465308">
        <w:t xml:space="preserve">os sistemas </w:t>
      </w:r>
      <w:r w:rsidR="00323B1E">
        <w:t xml:space="preserve">del </w:t>
      </w:r>
      <w:r w:rsidR="00465308">
        <w:t>SFS;</w:t>
      </w:r>
    </w:p>
    <w:p w14:paraId="17666BA8" w14:textId="59A35351" w:rsidR="00465308" w:rsidRDefault="00F05967" w:rsidP="00B04815">
      <w:pPr>
        <w:pStyle w:val="enumlev1"/>
      </w:pPr>
      <w:r>
        <w:t>–</w:t>
      </w:r>
      <w:r>
        <w:tab/>
      </w:r>
      <w:r w:rsidR="00323B1E">
        <w:t>las</w:t>
      </w:r>
      <w:r w:rsidR="00465308">
        <w:t xml:space="preserve"> administraciones deben tener la posibilidad de excluir su territorio de la zona de servicio de cualquier sistema que utilice enlaces</w:t>
      </w:r>
      <w:r w:rsidR="00323B1E">
        <w:t xml:space="preserve"> de </w:t>
      </w:r>
      <w:r w:rsidR="00465308">
        <w:t>satélite</w:t>
      </w:r>
      <w:r w:rsidR="00323B1E">
        <w:t xml:space="preserve"> a </w:t>
      </w:r>
      <w:r w:rsidR="00465308">
        <w:t xml:space="preserve">satélite en el marco de la nueva atribución </w:t>
      </w:r>
      <w:r w:rsidR="00323B1E">
        <w:t>al SES</w:t>
      </w:r>
      <w:r w:rsidR="00465308">
        <w:t>;</w:t>
      </w:r>
    </w:p>
    <w:p w14:paraId="4F3CB88A" w14:textId="1EE1E54A" w:rsidR="00465308" w:rsidRDefault="00F05967" w:rsidP="00B04815">
      <w:pPr>
        <w:pStyle w:val="enumlev1"/>
      </w:pPr>
      <w:r>
        <w:t>–</w:t>
      </w:r>
      <w:r>
        <w:tab/>
      </w:r>
      <w:r w:rsidR="00465308">
        <w:t xml:space="preserve">definición de las funciones y mecanismos </w:t>
      </w:r>
      <w:r w:rsidR="00A87775">
        <w:t xml:space="preserve">del </w:t>
      </w:r>
      <w:r w:rsidR="00A87775" w:rsidRPr="00A87775">
        <w:t xml:space="preserve">centro de control y supervisión de la red (CCSR) </w:t>
      </w:r>
      <w:r w:rsidR="00465308">
        <w:t>en relación con los enlaces entre satélites</w:t>
      </w:r>
      <w:r w:rsidR="00F8527F">
        <w:t>;</w:t>
      </w:r>
    </w:p>
    <w:p w14:paraId="67805BEC" w14:textId="07D14625" w:rsidR="00465308" w:rsidRDefault="00F05967" w:rsidP="00B04815">
      <w:pPr>
        <w:pStyle w:val="enumlev1"/>
      </w:pPr>
      <w:r>
        <w:t>–</w:t>
      </w:r>
      <w:r>
        <w:tab/>
      </w:r>
      <w:r w:rsidR="00323B1E">
        <w:t xml:space="preserve">la utilización </w:t>
      </w:r>
      <w:r w:rsidR="00465308">
        <w:t xml:space="preserve">de enlaces </w:t>
      </w:r>
      <w:r w:rsidR="00323B1E">
        <w:t>de satélite a satélite</w:t>
      </w:r>
      <w:r w:rsidR="00465308">
        <w:t xml:space="preserve"> en el marco de la nueva atribución </w:t>
      </w:r>
      <w:r w:rsidR="00323B1E">
        <w:t>al SES</w:t>
      </w:r>
      <w:r w:rsidR="00465308">
        <w:t xml:space="preserve"> sólo se permite en el contexto del concepto </w:t>
      </w:r>
      <w:r w:rsidR="00A87775" w:rsidRPr="00A87775">
        <w:t>«</w:t>
      </w:r>
      <w:r w:rsidR="00465308">
        <w:t>dentro del cono</w:t>
      </w:r>
      <w:r w:rsidR="00A87775" w:rsidRPr="00A87775">
        <w:t xml:space="preserve"> »</w:t>
      </w:r>
      <w:r w:rsidR="00465308">
        <w:t>.</w:t>
      </w:r>
    </w:p>
    <w:p w14:paraId="6592C7F0" w14:textId="42536C1D" w:rsidR="00465308" w:rsidRPr="00A87775" w:rsidRDefault="00465308" w:rsidP="00465308">
      <w:pPr>
        <w:rPr>
          <w:b/>
          <w:bCs/>
        </w:rPr>
      </w:pPr>
      <w:r w:rsidRPr="00A87775">
        <w:rPr>
          <w:b/>
          <w:bCs/>
        </w:rPr>
        <w:t>Propuestas</w:t>
      </w:r>
    </w:p>
    <w:p w14:paraId="4E67B32A" w14:textId="77777777"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B5139A8" w14:textId="77777777" w:rsidR="00FB3B28" w:rsidRDefault="00342415">
      <w:pPr>
        <w:pStyle w:val="Proposal"/>
      </w:pPr>
      <w:r>
        <w:rPr>
          <w:u w:val="single"/>
        </w:rPr>
        <w:lastRenderedPageBreak/>
        <w:t>NOC</w:t>
      </w:r>
      <w:r>
        <w:tab/>
        <w:t>RCC/85A17/1</w:t>
      </w:r>
    </w:p>
    <w:p w14:paraId="761DD558" w14:textId="77777777" w:rsidR="00B04815" w:rsidRPr="00E66C7B" w:rsidRDefault="00342415" w:rsidP="006C3DD2">
      <w:pPr>
        <w:pStyle w:val="Volumetitle"/>
      </w:pPr>
      <w:bookmarkStart w:id="6" w:name="_Toc48141288"/>
      <w:r w:rsidRPr="00E66C7B">
        <w:t>ARTÍCULOS</w:t>
      </w:r>
      <w:bookmarkEnd w:id="6"/>
    </w:p>
    <w:p w14:paraId="02C934BD" w14:textId="77777777" w:rsidR="00FB3B28" w:rsidRDefault="00342415">
      <w:pPr>
        <w:pStyle w:val="Proposal"/>
      </w:pPr>
      <w:r>
        <w:rPr>
          <w:u w:val="single"/>
        </w:rPr>
        <w:t>NOC</w:t>
      </w:r>
      <w:r>
        <w:tab/>
        <w:t>RCC/85A17/2</w:t>
      </w:r>
    </w:p>
    <w:p w14:paraId="7BF8EDBB" w14:textId="77777777" w:rsidR="00B04815" w:rsidRPr="00FC5365" w:rsidRDefault="00342415" w:rsidP="003271E3">
      <w:pPr>
        <w:pStyle w:val="Volumetitle"/>
      </w:pPr>
      <w:bookmarkStart w:id="7" w:name="_Toc327956568"/>
      <w:r w:rsidRPr="00FC5365">
        <w:t>APÉNDICES</w:t>
      </w:r>
      <w:bookmarkEnd w:id="7"/>
    </w:p>
    <w:p w14:paraId="7D712B2E" w14:textId="77777777" w:rsidR="00FB3B28" w:rsidRDefault="00342415">
      <w:pPr>
        <w:pStyle w:val="Proposal"/>
      </w:pPr>
      <w:r>
        <w:t>SUP</w:t>
      </w:r>
      <w:r>
        <w:tab/>
        <w:t>RCC/85A17/3</w:t>
      </w:r>
    </w:p>
    <w:p w14:paraId="7992882E" w14:textId="77777777" w:rsidR="00B04815" w:rsidRPr="00ED1619" w:rsidRDefault="00342415" w:rsidP="00CC378D">
      <w:pPr>
        <w:pStyle w:val="ResNo"/>
      </w:pPr>
      <w:bookmarkStart w:id="8" w:name="_Toc39735093"/>
      <w:r w:rsidRPr="00ED1619">
        <w:rPr>
          <w:caps w:val="0"/>
        </w:rPr>
        <w:t xml:space="preserve">RESOLUCIÓN </w:t>
      </w:r>
      <w:r w:rsidRPr="0045622C">
        <w:rPr>
          <w:rStyle w:val="href"/>
          <w:caps w:val="0"/>
        </w:rPr>
        <w:t>773</w:t>
      </w:r>
      <w:r w:rsidRPr="00ED1619">
        <w:rPr>
          <w:caps w:val="0"/>
        </w:rPr>
        <w:t xml:space="preserve"> (CMR-19)</w:t>
      </w:r>
      <w:bookmarkEnd w:id="8"/>
    </w:p>
    <w:p w14:paraId="057F5250" w14:textId="77777777" w:rsidR="00B04815" w:rsidRPr="00ED1619" w:rsidDel="00970EBE" w:rsidRDefault="00342415" w:rsidP="00265C64">
      <w:pPr>
        <w:pStyle w:val="Restitle"/>
        <w:rPr>
          <w:iCs/>
          <w:szCs w:val="24"/>
        </w:rPr>
      </w:pPr>
      <w:bookmarkStart w:id="9" w:name="_Toc36190351"/>
      <w:bookmarkStart w:id="10" w:name="_Toc39735094"/>
      <w:r w:rsidRPr="00ED1619">
        <w:t>Estudio de l</w:t>
      </w:r>
      <w:r>
        <w:t>as cuestiones</w:t>
      </w:r>
      <w:r w:rsidRPr="00ED1619">
        <w:t xml:space="preserve"> técnic</w:t>
      </w:r>
      <w:r>
        <w:t>a</w:t>
      </w:r>
      <w:r w:rsidRPr="00ED1619">
        <w:t>s y operativ</w:t>
      </w:r>
      <w:r>
        <w:t>a</w:t>
      </w:r>
      <w:r w:rsidRPr="00ED1619">
        <w:t>s y de las disposiciones reglamentarias aplicables a los enlaces entre satélites en las bandas</w:t>
      </w:r>
      <w:r>
        <w:br/>
      </w:r>
      <w:r w:rsidRPr="00ED1619">
        <w:t>de frecuencias 11,7-12,7 GHz,</w:t>
      </w:r>
      <w:r>
        <w:t xml:space="preserve"> </w:t>
      </w:r>
      <w:r w:rsidRPr="00ED1619">
        <w:t>18,1-18,6</w:t>
      </w:r>
      <w:r w:rsidRPr="00ED1619">
        <w:rPr>
          <w:b w:val="0"/>
        </w:rPr>
        <w:t xml:space="preserve"> </w:t>
      </w:r>
      <w:r w:rsidRPr="00ED1619">
        <w:rPr>
          <w:bCs/>
        </w:rPr>
        <w:t>GHz</w:t>
      </w:r>
      <w:r w:rsidRPr="00ED1619">
        <w:rPr>
          <w:b w:val="0"/>
        </w:rPr>
        <w:t>,</w:t>
      </w:r>
      <w:r>
        <w:rPr>
          <w:b w:val="0"/>
        </w:rPr>
        <w:br/>
      </w:r>
      <w:r w:rsidRPr="00ED1619">
        <w:t>18,8-20,2 GHz y 27,5-30 GHz</w:t>
      </w:r>
      <w:bookmarkEnd w:id="9"/>
      <w:bookmarkEnd w:id="10"/>
    </w:p>
    <w:p w14:paraId="027CA80D" w14:textId="77777777" w:rsidR="00F05967" w:rsidRDefault="00F05967" w:rsidP="00411C49">
      <w:pPr>
        <w:pStyle w:val="Reasons"/>
      </w:pPr>
    </w:p>
    <w:p w14:paraId="0347AD74" w14:textId="77777777" w:rsidR="00F05967" w:rsidRDefault="00F05967">
      <w:pPr>
        <w:jc w:val="center"/>
      </w:pPr>
      <w:r>
        <w:t>______________</w:t>
      </w:r>
    </w:p>
    <w:sectPr w:rsidR="00F05967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31D9" w14:textId="77777777" w:rsidR="00FF2B6A" w:rsidRDefault="00FF2B6A">
      <w:r>
        <w:separator/>
      </w:r>
    </w:p>
  </w:endnote>
  <w:endnote w:type="continuationSeparator" w:id="0">
    <w:p w14:paraId="309898B6" w14:textId="77777777" w:rsidR="00FF2B6A" w:rsidRDefault="00FF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F5470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272D46" w14:textId="45171E9C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857B4">
      <w:rPr>
        <w:noProof/>
      </w:rPr>
      <w:t>09.11.23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DB208" w14:textId="4E299676" w:rsidR="0077084A" w:rsidRDefault="00342415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34C82">
      <w:rPr>
        <w:lang w:val="en-US"/>
      </w:rPr>
      <w:t>P:\ESP\ITU-R\CONF-R\CMR23\000\085ADD17S.docx</w:t>
    </w:r>
    <w:r>
      <w:fldChar w:fldCharType="end"/>
    </w:r>
    <w:r w:rsidRPr="00342415">
      <w:rPr>
        <w:lang w:val="en-US"/>
      </w:rPr>
      <w:t xml:space="preserve"> </w:t>
    </w:r>
    <w:r>
      <w:rPr>
        <w:lang w:val="en-US"/>
      </w:rPr>
      <w:t>(529884)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AAFE" w14:textId="131A1715" w:rsidR="0077084A" w:rsidRPr="00342415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34C82">
      <w:rPr>
        <w:lang w:val="en-US"/>
      </w:rPr>
      <w:t>P:\ESP\ITU-R\CONF-R\CMR23\000\085ADD17S.docx</w:t>
    </w:r>
    <w:r>
      <w:fldChar w:fldCharType="end"/>
    </w:r>
    <w:r w:rsidR="00342415" w:rsidRPr="00342415">
      <w:rPr>
        <w:lang w:val="en-US"/>
      </w:rPr>
      <w:t xml:space="preserve"> </w:t>
    </w:r>
    <w:r w:rsidR="00342415">
      <w:rPr>
        <w:lang w:val="en-US"/>
      </w:rPr>
      <w:t>(529884)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DBA89" w14:textId="77777777" w:rsidR="00FF2B6A" w:rsidRDefault="00FF2B6A">
      <w:r>
        <w:rPr>
          <w:b/>
        </w:rPr>
        <w:t>_______________</w:t>
      </w:r>
    </w:p>
  </w:footnote>
  <w:footnote w:type="continuationSeparator" w:id="0">
    <w:p w14:paraId="19C69548" w14:textId="77777777" w:rsidR="00FF2B6A" w:rsidRDefault="00FF2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8F5A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9A77538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85(Add.17)-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408843230">
    <w:abstractNumId w:val="8"/>
  </w:num>
  <w:num w:numId="2" w16cid:durableId="81082428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756434251">
    <w:abstractNumId w:val="9"/>
  </w:num>
  <w:num w:numId="4" w16cid:durableId="1908956319">
    <w:abstractNumId w:val="7"/>
  </w:num>
  <w:num w:numId="5" w16cid:durableId="1389109569">
    <w:abstractNumId w:val="6"/>
  </w:num>
  <w:num w:numId="6" w16cid:durableId="411900993">
    <w:abstractNumId w:val="5"/>
  </w:num>
  <w:num w:numId="7" w16cid:durableId="1713455398">
    <w:abstractNumId w:val="4"/>
  </w:num>
  <w:num w:numId="8" w16cid:durableId="1404402827">
    <w:abstractNumId w:val="3"/>
  </w:num>
  <w:num w:numId="9" w16cid:durableId="1793671760">
    <w:abstractNumId w:val="2"/>
  </w:num>
  <w:num w:numId="10" w16cid:durableId="43335548">
    <w:abstractNumId w:val="1"/>
  </w:num>
  <w:num w:numId="11" w16cid:durableId="283779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5CC5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3B1E"/>
    <w:rsid w:val="003248A9"/>
    <w:rsid w:val="00324FFA"/>
    <w:rsid w:val="0032680B"/>
    <w:rsid w:val="00342415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65308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857B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34C82"/>
    <w:rsid w:val="0094091F"/>
    <w:rsid w:val="00962171"/>
    <w:rsid w:val="00973754"/>
    <w:rsid w:val="009C0BED"/>
    <w:rsid w:val="009E11EC"/>
    <w:rsid w:val="00A021CC"/>
    <w:rsid w:val="00A118DB"/>
    <w:rsid w:val="00A4450C"/>
    <w:rsid w:val="00A87775"/>
    <w:rsid w:val="00AA5E6C"/>
    <w:rsid w:val="00AC49B1"/>
    <w:rsid w:val="00AD7144"/>
    <w:rsid w:val="00AE0D18"/>
    <w:rsid w:val="00AE5677"/>
    <w:rsid w:val="00AE658F"/>
    <w:rsid w:val="00AF2F78"/>
    <w:rsid w:val="00B04815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05967"/>
    <w:rsid w:val="00F32316"/>
    <w:rsid w:val="00F66597"/>
    <w:rsid w:val="00F675D0"/>
    <w:rsid w:val="00F8150C"/>
    <w:rsid w:val="00F8527F"/>
    <w:rsid w:val="00FB3B28"/>
    <w:rsid w:val="00FD03C4"/>
    <w:rsid w:val="00FE4574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C85430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DD5F56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R23-WRC23-C-0085!A17!MSW-S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Props1.xml><?xml version="1.0" encoding="utf-8"?>
<ds:datastoreItem xmlns:ds="http://schemas.openxmlformats.org/officeDocument/2006/customXml" ds:itemID="{F57801EE-5F7D-4886-B056-3D2555BA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E8A4DD-F2B0-4C46-93A5-A6201D3BF8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A2C41-30A6-4F12-BB4B-55A6D58F284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CA826A8-E50E-4342-B14F-61D0B2A0A9C2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571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R23-WRC23-C-0085!A17!MSW-S</vt:lpstr>
    </vt:vector>
  </TitlesOfParts>
  <Manager>Secretaría General - Pool</Manager>
  <Company>Unión Internacional de Telecomunicaciones (UIT)</Company>
  <LinksUpToDate>false</LinksUpToDate>
  <CharactersWithSpaces>3677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R23-WRC23-C-0085!A17!MSW-S</dc:title>
  <dc:subject>Conferencia Mundial de Radiocomunicaciones - 2019</dc:subject>
  <dc:creator>Documents Proposals Manager (DPM)</dc:creator>
  <cp:keywords>DPM_v2023.11.6.1_prod</cp:keywords>
  <dc:description/>
  <cp:lastModifiedBy>Spanish</cp:lastModifiedBy>
  <cp:revision>4</cp:revision>
  <cp:lastPrinted>2003-02-19T20:20:00Z</cp:lastPrinted>
  <dcterms:created xsi:type="dcterms:W3CDTF">2023-11-09T14:48:00Z</dcterms:created>
  <dcterms:modified xsi:type="dcterms:W3CDTF">2023-11-09T15:04:00Z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