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E60CB2" w14:paraId="51B701CD" w14:textId="77777777" w:rsidTr="00C1305F">
        <w:trPr>
          <w:cantSplit/>
        </w:trPr>
        <w:tc>
          <w:tcPr>
            <w:tcW w:w="1418" w:type="dxa"/>
            <w:vAlign w:val="center"/>
          </w:tcPr>
          <w:p w14:paraId="02F8E1D8" w14:textId="77777777" w:rsidR="00C1305F" w:rsidRPr="008C7123" w:rsidRDefault="00C1305F" w:rsidP="00C1305F">
            <w:pPr>
              <w:spacing w:before="0" w:line="240" w:lineRule="atLeast"/>
              <w:rPr>
                <w:rFonts w:ascii="Verdana" w:hAnsi="Verdana"/>
                <w:b/>
                <w:bCs/>
                <w:sz w:val="20"/>
                <w:lang w:val="fr-CH"/>
              </w:rPr>
            </w:pPr>
            <w:r>
              <w:rPr>
                <w:noProof/>
                <w:lang w:val="fr-CH"/>
              </w:rPr>
              <w:drawing>
                <wp:inline distT="0" distB="0" distL="0" distR="0" wp14:anchorId="34889FDC" wp14:editId="786997D5">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20FCD6BE" w14:textId="089DACDA" w:rsidR="00C1305F" w:rsidRPr="008C7123" w:rsidRDefault="00C1305F" w:rsidP="00F10064">
            <w:pPr>
              <w:spacing w:before="400" w:after="48" w:line="240" w:lineRule="atLeast"/>
              <w:rPr>
                <w:rFonts w:ascii="Verdana" w:hAnsi="Verdana"/>
                <w:b/>
                <w:bCs/>
                <w:sz w:val="20"/>
                <w:lang w:val="fr-CH"/>
              </w:rPr>
            </w:pPr>
            <w:r w:rsidRPr="00E60CB2">
              <w:rPr>
                <w:rFonts w:ascii="Verdana" w:hAnsi="Verdana"/>
                <w:b/>
                <w:bCs/>
                <w:sz w:val="20"/>
                <w:lang w:val="fr-CH"/>
              </w:rPr>
              <w:t>Conférence mondiale des radiocommunications (CMR-</w:t>
            </w:r>
            <w:r>
              <w:rPr>
                <w:rFonts w:ascii="Verdana" w:hAnsi="Verdana"/>
                <w:b/>
                <w:bCs/>
                <w:sz w:val="20"/>
                <w:lang w:val="fr-CH"/>
              </w:rPr>
              <w:t>23</w:t>
            </w:r>
            <w:r w:rsidRPr="00E60CB2">
              <w:rPr>
                <w:rFonts w:ascii="Verdana" w:hAnsi="Verdana"/>
                <w:b/>
                <w:bCs/>
                <w:sz w:val="20"/>
                <w:lang w:val="fr-CH"/>
              </w:rPr>
              <w:t>)</w:t>
            </w:r>
            <w:r w:rsidRPr="00E60CB2">
              <w:rPr>
                <w:rFonts w:ascii="Verdana" w:hAnsi="Verdana"/>
                <w:b/>
                <w:bCs/>
                <w:sz w:val="20"/>
                <w:lang w:val="fr-CH"/>
              </w:rPr>
              <w:br/>
            </w:r>
            <w:r w:rsidRPr="008C7123">
              <w:rPr>
                <w:rFonts w:ascii="Verdana" w:hAnsi="Verdana"/>
                <w:b/>
                <w:bCs/>
                <w:sz w:val="18"/>
                <w:szCs w:val="18"/>
                <w:lang w:val="fr-CH"/>
              </w:rPr>
              <w:t>Dubaï, 20</w:t>
            </w:r>
            <w:r>
              <w:rPr>
                <w:rFonts w:ascii="Verdana" w:hAnsi="Verdana"/>
                <w:b/>
                <w:bCs/>
                <w:sz w:val="18"/>
                <w:szCs w:val="18"/>
                <w:lang w:val="fr-CH"/>
              </w:rPr>
              <w:t xml:space="preserve"> </w:t>
            </w:r>
            <w:r w:rsidRPr="008C7123">
              <w:rPr>
                <w:rFonts w:ascii="Verdana" w:hAnsi="Verdana"/>
                <w:b/>
                <w:bCs/>
                <w:sz w:val="18"/>
                <w:szCs w:val="18"/>
                <w:lang w:val="fr-CH"/>
              </w:rPr>
              <w:t xml:space="preserve">novembre </w:t>
            </w:r>
            <w:r w:rsidR="002A79EB" w:rsidRPr="002A79EB">
              <w:rPr>
                <w:rFonts w:ascii="Verdana" w:hAnsi="Verdana"/>
                <w:b/>
                <w:bCs/>
                <w:sz w:val="18"/>
                <w:szCs w:val="18"/>
                <w:lang w:val="fr-CH"/>
              </w:rPr>
              <w:t>–</w:t>
            </w:r>
            <w:r w:rsidRPr="008C7123">
              <w:rPr>
                <w:rFonts w:ascii="Verdana" w:hAnsi="Verdana"/>
                <w:b/>
                <w:bCs/>
                <w:sz w:val="18"/>
                <w:szCs w:val="18"/>
                <w:lang w:val="fr-CH"/>
              </w:rPr>
              <w:t xml:space="preserve"> 15 décembre 2023</w:t>
            </w:r>
          </w:p>
        </w:tc>
        <w:tc>
          <w:tcPr>
            <w:tcW w:w="1809" w:type="dxa"/>
            <w:vAlign w:val="center"/>
          </w:tcPr>
          <w:p w14:paraId="1EC6F523" w14:textId="77777777" w:rsidR="00C1305F" w:rsidRPr="00E60CB2" w:rsidRDefault="00C1305F" w:rsidP="00C1305F">
            <w:pPr>
              <w:spacing w:before="0" w:line="240" w:lineRule="atLeast"/>
              <w:rPr>
                <w:lang w:val="fr-CH"/>
              </w:rPr>
            </w:pPr>
            <w:bookmarkStart w:id="0" w:name="ditulogo"/>
            <w:bookmarkEnd w:id="0"/>
            <w:r>
              <w:rPr>
                <w:noProof/>
              </w:rPr>
              <w:drawing>
                <wp:inline distT="0" distB="0" distL="0" distR="0" wp14:anchorId="05F2B4B7" wp14:editId="4B0B82C2">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E60CB2" w14:paraId="1D425B19" w14:textId="77777777" w:rsidTr="0050008E">
        <w:trPr>
          <w:cantSplit/>
        </w:trPr>
        <w:tc>
          <w:tcPr>
            <w:tcW w:w="6911" w:type="dxa"/>
            <w:gridSpan w:val="2"/>
            <w:tcBorders>
              <w:bottom w:val="single" w:sz="12" w:space="0" w:color="auto"/>
            </w:tcBorders>
          </w:tcPr>
          <w:p w14:paraId="74CCF740" w14:textId="77777777" w:rsidR="00BB1D82" w:rsidRPr="00E60CB2" w:rsidRDefault="00BB1D82" w:rsidP="00BB1D82">
            <w:pPr>
              <w:spacing w:before="0" w:after="48" w:line="240" w:lineRule="atLeast"/>
              <w:rPr>
                <w:b/>
                <w:smallCaps/>
                <w:szCs w:val="24"/>
                <w:lang w:val="fr-CH"/>
              </w:rPr>
            </w:pPr>
            <w:bookmarkStart w:id="1" w:name="dhead"/>
          </w:p>
        </w:tc>
        <w:tc>
          <w:tcPr>
            <w:tcW w:w="3120" w:type="dxa"/>
            <w:gridSpan w:val="2"/>
            <w:tcBorders>
              <w:bottom w:val="single" w:sz="12" w:space="0" w:color="auto"/>
            </w:tcBorders>
          </w:tcPr>
          <w:p w14:paraId="76365406" w14:textId="77777777" w:rsidR="00BB1D82" w:rsidRPr="00E60CB2" w:rsidRDefault="00BB1D82" w:rsidP="00BB1D82">
            <w:pPr>
              <w:spacing w:before="0" w:line="240" w:lineRule="atLeast"/>
              <w:rPr>
                <w:rFonts w:ascii="Verdana" w:hAnsi="Verdana"/>
                <w:szCs w:val="24"/>
                <w:lang w:val="fr-CH"/>
              </w:rPr>
            </w:pPr>
          </w:p>
        </w:tc>
      </w:tr>
      <w:tr w:rsidR="00BB1D82" w:rsidRPr="00E60CB2" w14:paraId="5FD2600A" w14:textId="77777777" w:rsidTr="00BB1D82">
        <w:trPr>
          <w:cantSplit/>
        </w:trPr>
        <w:tc>
          <w:tcPr>
            <w:tcW w:w="6911" w:type="dxa"/>
            <w:gridSpan w:val="2"/>
            <w:tcBorders>
              <w:top w:val="single" w:sz="12" w:space="0" w:color="auto"/>
            </w:tcBorders>
          </w:tcPr>
          <w:p w14:paraId="15AD9DBC" w14:textId="77777777" w:rsidR="00BB1D82" w:rsidRPr="00E60CB2" w:rsidRDefault="00BB1D82" w:rsidP="00BB1D82">
            <w:pPr>
              <w:spacing w:before="0" w:after="48" w:line="240" w:lineRule="atLeast"/>
              <w:rPr>
                <w:rFonts w:ascii="Verdana" w:hAnsi="Verdana"/>
                <w:b/>
                <w:smallCaps/>
                <w:sz w:val="20"/>
                <w:lang w:val="fr-CH"/>
              </w:rPr>
            </w:pPr>
          </w:p>
        </w:tc>
        <w:tc>
          <w:tcPr>
            <w:tcW w:w="3120" w:type="dxa"/>
            <w:gridSpan w:val="2"/>
            <w:tcBorders>
              <w:top w:val="single" w:sz="12" w:space="0" w:color="auto"/>
            </w:tcBorders>
          </w:tcPr>
          <w:p w14:paraId="4088EBFF" w14:textId="77777777" w:rsidR="00BB1D82" w:rsidRPr="00E60CB2" w:rsidRDefault="00BB1D82" w:rsidP="00BB1D82">
            <w:pPr>
              <w:spacing w:before="0" w:line="240" w:lineRule="atLeast"/>
              <w:rPr>
                <w:rFonts w:ascii="Verdana" w:hAnsi="Verdana"/>
                <w:sz w:val="20"/>
                <w:lang w:val="fr-CH"/>
              </w:rPr>
            </w:pPr>
          </w:p>
        </w:tc>
      </w:tr>
      <w:tr w:rsidR="00BB1D82" w:rsidRPr="00E60CB2" w14:paraId="0E862F37" w14:textId="77777777" w:rsidTr="00BB1D82">
        <w:trPr>
          <w:cantSplit/>
        </w:trPr>
        <w:tc>
          <w:tcPr>
            <w:tcW w:w="6911" w:type="dxa"/>
            <w:gridSpan w:val="2"/>
          </w:tcPr>
          <w:p w14:paraId="24BB47A3" w14:textId="77777777" w:rsidR="00BB1D82" w:rsidRPr="00E60CB2" w:rsidRDefault="006D4724" w:rsidP="00BA5BD0">
            <w:pPr>
              <w:spacing w:before="0"/>
              <w:rPr>
                <w:rFonts w:ascii="Verdana" w:hAnsi="Verdana"/>
                <w:b/>
                <w:sz w:val="20"/>
                <w:lang w:val="fr-CH"/>
              </w:rPr>
            </w:pPr>
            <w:r w:rsidRPr="00E60CB2">
              <w:rPr>
                <w:rFonts w:ascii="Verdana" w:hAnsi="Verdana"/>
                <w:b/>
                <w:sz w:val="20"/>
                <w:lang w:val="fr-CH"/>
              </w:rPr>
              <w:t>SÉANCE PLÉNIÈRE</w:t>
            </w:r>
          </w:p>
        </w:tc>
        <w:tc>
          <w:tcPr>
            <w:tcW w:w="3120" w:type="dxa"/>
            <w:gridSpan w:val="2"/>
          </w:tcPr>
          <w:p w14:paraId="3FB7F030" w14:textId="77777777" w:rsidR="00BB1D82" w:rsidRPr="00E60CB2" w:rsidRDefault="006D4724" w:rsidP="00BA5BD0">
            <w:pPr>
              <w:spacing w:before="0"/>
              <w:rPr>
                <w:rFonts w:ascii="Verdana" w:hAnsi="Verdana"/>
                <w:sz w:val="20"/>
                <w:lang w:val="fr-CH"/>
              </w:rPr>
            </w:pPr>
            <w:r>
              <w:rPr>
                <w:rFonts w:ascii="Verdana" w:hAnsi="Verdana"/>
                <w:b/>
                <w:sz w:val="20"/>
                <w:lang w:val="fr-CH"/>
              </w:rPr>
              <w:t>Addendum 17 au</w:t>
            </w:r>
            <w:r>
              <w:rPr>
                <w:rFonts w:ascii="Verdana" w:hAnsi="Verdana"/>
                <w:b/>
                <w:sz w:val="20"/>
                <w:lang w:val="fr-CH"/>
              </w:rPr>
              <w:br/>
              <w:t>Document 85</w:t>
            </w:r>
            <w:r w:rsidR="00BB1D82" w:rsidRPr="00E60CB2">
              <w:rPr>
                <w:rFonts w:ascii="Verdana" w:hAnsi="Verdana"/>
                <w:b/>
                <w:sz w:val="20"/>
                <w:lang w:val="fr-CH"/>
              </w:rPr>
              <w:t>-</w:t>
            </w:r>
            <w:r w:rsidRPr="00E60CB2">
              <w:rPr>
                <w:rFonts w:ascii="Verdana" w:hAnsi="Verdana"/>
                <w:b/>
                <w:sz w:val="20"/>
                <w:lang w:val="fr-CH"/>
              </w:rPr>
              <w:t>F</w:t>
            </w:r>
          </w:p>
        </w:tc>
      </w:tr>
      <w:bookmarkEnd w:id="1"/>
      <w:tr w:rsidR="00690C7B" w:rsidRPr="00E60CB2" w14:paraId="19A26B58" w14:textId="77777777" w:rsidTr="00BB1D82">
        <w:trPr>
          <w:cantSplit/>
        </w:trPr>
        <w:tc>
          <w:tcPr>
            <w:tcW w:w="6911" w:type="dxa"/>
            <w:gridSpan w:val="2"/>
          </w:tcPr>
          <w:p w14:paraId="4CCE1949" w14:textId="77777777" w:rsidR="00690C7B" w:rsidRPr="00E60CB2" w:rsidRDefault="00690C7B" w:rsidP="00BA5BD0">
            <w:pPr>
              <w:spacing w:before="0"/>
              <w:rPr>
                <w:rFonts w:ascii="Verdana" w:hAnsi="Verdana"/>
                <w:b/>
                <w:sz w:val="20"/>
                <w:lang w:val="fr-CH"/>
              </w:rPr>
            </w:pPr>
          </w:p>
        </w:tc>
        <w:tc>
          <w:tcPr>
            <w:tcW w:w="3120" w:type="dxa"/>
            <w:gridSpan w:val="2"/>
          </w:tcPr>
          <w:p w14:paraId="19ACEA3A" w14:textId="77777777" w:rsidR="00690C7B" w:rsidRPr="00E60CB2" w:rsidRDefault="00690C7B" w:rsidP="00BA5BD0">
            <w:pPr>
              <w:spacing w:before="0"/>
              <w:rPr>
                <w:rFonts w:ascii="Verdana" w:hAnsi="Verdana"/>
                <w:b/>
                <w:sz w:val="20"/>
                <w:lang w:val="fr-CH"/>
              </w:rPr>
            </w:pPr>
            <w:r w:rsidRPr="00E60CB2">
              <w:rPr>
                <w:rFonts w:ascii="Verdana" w:hAnsi="Verdana"/>
                <w:b/>
                <w:sz w:val="20"/>
                <w:lang w:val="fr-CH"/>
              </w:rPr>
              <w:t>22 octobre 2023</w:t>
            </w:r>
          </w:p>
        </w:tc>
      </w:tr>
      <w:tr w:rsidR="00690C7B" w:rsidRPr="00E60CB2" w14:paraId="1EEEA950" w14:textId="77777777" w:rsidTr="00BB1D82">
        <w:trPr>
          <w:cantSplit/>
        </w:trPr>
        <w:tc>
          <w:tcPr>
            <w:tcW w:w="6911" w:type="dxa"/>
            <w:gridSpan w:val="2"/>
          </w:tcPr>
          <w:p w14:paraId="06FCD242" w14:textId="77777777" w:rsidR="00690C7B" w:rsidRPr="00E60CB2" w:rsidRDefault="00690C7B" w:rsidP="00BA5BD0">
            <w:pPr>
              <w:spacing w:before="0" w:after="48"/>
              <w:rPr>
                <w:rFonts w:ascii="Verdana" w:hAnsi="Verdana"/>
                <w:b/>
                <w:smallCaps/>
                <w:sz w:val="20"/>
                <w:lang w:val="fr-CH"/>
              </w:rPr>
            </w:pPr>
          </w:p>
        </w:tc>
        <w:tc>
          <w:tcPr>
            <w:tcW w:w="3120" w:type="dxa"/>
            <w:gridSpan w:val="2"/>
          </w:tcPr>
          <w:p w14:paraId="2C1AE5CD" w14:textId="1752A4F5" w:rsidR="00690C7B" w:rsidRPr="00E60CB2" w:rsidRDefault="00690C7B" w:rsidP="00BA5BD0">
            <w:pPr>
              <w:spacing w:before="0"/>
              <w:rPr>
                <w:rFonts w:ascii="Verdana" w:hAnsi="Verdana"/>
                <w:b/>
                <w:sz w:val="20"/>
                <w:lang w:val="fr-CH"/>
              </w:rPr>
            </w:pPr>
            <w:r w:rsidRPr="00E60CB2">
              <w:rPr>
                <w:rFonts w:ascii="Verdana" w:hAnsi="Verdana"/>
                <w:b/>
                <w:sz w:val="20"/>
                <w:lang w:val="fr-CH"/>
              </w:rPr>
              <w:t xml:space="preserve">Original: </w:t>
            </w:r>
            <w:r w:rsidR="005B6472">
              <w:rPr>
                <w:rFonts w:ascii="Verdana" w:hAnsi="Verdana"/>
                <w:b/>
                <w:sz w:val="20"/>
                <w:lang w:val="fr-CH"/>
              </w:rPr>
              <w:t>r</w:t>
            </w:r>
            <w:r w:rsidRPr="00E60CB2">
              <w:rPr>
                <w:rFonts w:ascii="Verdana" w:hAnsi="Verdana"/>
                <w:b/>
                <w:sz w:val="20"/>
                <w:lang w:val="fr-CH"/>
              </w:rPr>
              <w:t>usse</w:t>
            </w:r>
          </w:p>
        </w:tc>
      </w:tr>
      <w:tr w:rsidR="00690C7B" w:rsidRPr="00E60CB2" w14:paraId="34BC6EA1" w14:textId="77777777" w:rsidTr="00C11970">
        <w:trPr>
          <w:cantSplit/>
        </w:trPr>
        <w:tc>
          <w:tcPr>
            <w:tcW w:w="10031" w:type="dxa"/>
            <w:gridSpan w:val="4"/>
          </w:tcPr>
          <w:p w14:paraId="44E2329C" w14:textId="77777777" w:rsidR="00690C7B" w:rsidRPr="00E60CB2" w:rsidRDefault="00690C7B" w:rsidP="00BA5BD0">
            <w:pPr>
              <w:spacing w:before="0"/>
              <w:rPr>
                <w:rFonts w:ascii="Verdana" w:hAnsi="Verdana"/>
                <w:b/>
                <w:sz w:val="20"/>
                <w:lang w:val="fr-CH"/>
              </w:rPr>
            </w:pPr>
          </w:p>
        </w:tc>
      </w:tr>
      <w:tr w:rsidR="00690C7B" w:rsidRPr="00E60CB2" w14:paraId="07D305F9" w14:textId="77777777" w:rsidTr="0050008E">
        <w:trPr>
          <w:cantSplit/>
        </w:trPr>
        <w:tc>
          <w:tcPr>
            <w:tcW w:w="10031" w:type="dxa"/>
            <w:gridSpan w:val="4"/>
          </w:tcPr>
          <w:p w14:paraId="3BECD5CE" w14:textId="77777777" w:rsidR="00690C7B" w:rsidRPr="00E60CB2" w:rsidRDefault="00690C7B" w:rsidP="00690C7B">
            <w:pPr>
              <w:pStyle w:val="Source"/>
              <w:rPr>
                <w:lang w:val="fr-CH"/>
              </w:rPr>
            </w:pPr>
            <w:bookmarkStart w:id="2" w:name="dsource" w:colFirst="0" w:colLast="0"/>
            <w:r w:rsidRPr="00E60CB2">
              <w:rPr>
                <w:lang w:val="fr-CH"/>
              </w:rPr>
              <w:t>Propositions communes de la Communauté régionale des communications</w:t>
            </w:r>
          </w:p>
        </w:tc>
      </w:tr>
      <w:tr w:rsidR="00690C7B" w:rsidRPr="00E60CB2" w14:paraId="1344A577" w14:textId="77777777" w:rsidTr="0050008E">
        <w:trPr>
          <w:cantSplit/>
        </w:trPr>
        <w:tc>
          <w:tcPr>
            <w:tcW w:w="10031" w:type="dxa"/>
            <w:gridSpan w:val="4"/>
          </w:tcPr>
          <w:p w14:paraId="4598D588" w14:textId="761FEE7F" w:rsidR="00690C7B" w:rsidRPr="00E60CB2" w:rsidRDefault="002A79EB" w:rsidP="00690C7B">
            <w:pPr>
              <w:pStyle w:val="Title1"/>
              <w:rPr>
                <w:lang w:val="fr-CH"/>
              </w:rPr>
            </w:pPr>
            <w:bookmarkStart w:id="3" w:name="dtitle1" w:colFirst="0" w:colLast="0"/>
            <w:bookmarkEnd w:id="2"/>
            <w:r>
              <w:rPr>
                <w:lang w:val="fr-CH"/>
              </w:rPr>
              <w:t>propositions pour les travaux de la conférence</w:t>
            </w:r>
          </w:p>
        </w:tc>
      </w:tr>
      <w:tr w:rsidR="00690C7B" w:rsidRPr="00E60CB2" w14:paraId="67E39DE3" w14:textId="77777777" w:rsidTr="0050008E">
        <w:trPr>
          <w:cantSplit/>
        </w:trPr>
        <w:tc>
          <w:tcPr>
            <w:tcW w:w="10031" w:type="dxa"/>
            <w:gridSpan w:val="4"/>
          </w:tcPr>
          <w:p w14:paraId="4B8C7EA7" w14:textId="77777777" w:rsidR="00690C7B" w:rsidRPr="00E60CB2" w:rsidRDefault="00690C7B" w:rsidP="00690C7B">
            <w:pPr>
              <w:pStyle w:val="Title2"/>
              <w:rPr>
                <w:lang w:val="fr-CH"/>
              </w:rPr>
            </w:pPr>
            <w:bookmarkStart w:id="4" w:name="dtitle2" w:colFirst="0" w:colLast="0"/>
            <w:bookmarkEnd w:id="3"/>
          </w:p>
        </w:tc>
      </w:tr>
      <w:tr w:rsidR="00690C7B" w:rsidRPr="00E60CB2" w14:paraId="34DCB185" w14:textId="77777777" w:rsidTr="0050008E">
        <w:trPr>
          <w:cantSplit/>
        </w:trPr>
        <w:tc>
          <w:tcPr>
            <w:tcW w:w="10031" w:type="dxa"/>
            <w:gridSpan w:val="4"/>
          </w:tcPr>
          <w:p w14:paraId="222D09C6" w14:textId="77777777" w:rsidR="00690C7B" w:rsidRPr="00E60CB2" w:rsidRDefault="00690C7B" w:rsidP="00690C7B">
            <w:pPr>
              <w:pStyle w:val="Agendaitem"/>
            </w:pPr>
            <w:bookmarkStart w:id="5" w:name="dtitle3" w:colFirst="0" w:colLast="0"/>
            <w:bookmarkEnd w:id="4"/>
            <w:r w:rsidRPr="00E60CB2">
              <w:t>Point 1.17 de l'ordre du jour</w:t>
            </w:r>
          </w:p>
        </w:tc>
      </w:tr>
    </w:tbl>
    <w:bookmarkEnd w:id="5"/>
    <w:p w14:paraId="119304D3" w14:textId="77777777" w:rsidR="00F5133A" w:rsidRPr="00CA7F01" w:rsidRDefault="00854EC7" w:rsidP="00067086">
      <w:r w:rsidRPr="00F0043D">
        <w:rPr>
          <w:bCs/>
          <w:iCs/>
        </w:rPr>
        <w:t>1.17</w:t>
      </w:r>
      <w:r w:rsidRPr="00F0043D">
        <w:rPr>
          <w:bCs/>
          <w:iCs/>
        </w:rPr>
        <w:tab/>
        <w:t xml:space="preserve">déterminer et prendre, sur la base des études menées par l'UIT-R conformément à la Résolution </w:t>
      </w:r>
      <w:r w:rsidRPr="00F0043D">
        <w:rPr>
          <w:b/>
          <w:bCs/>
          <w:iCs/>
        </w:rPr>
        <w:t>773 (CMR-19)</w:t>
      </w:r>
      <w:r w:rsidRPr="00F0043D">
        <w:rPr>
          <w:bCs/>
          <w:iCs/>
        </w:rPr>
        <w:t>, les mesures réglementaires qui conviennent concernant l'établissement de liaisons inter-satellites dans certaines bandes de fréquences, ou dans des parties de ces bandes, en ajoutant une attribution au service inter-satellites, s'il y a lieu;</w:t>
      </w:r>
    </w:p>
    <w:p w14:paraId="502CCD65" w14:textId="4B2CD6C8" w:rsidR="003A583E" w:rsidRDefault="00313602" w:rsidP="00313602">
      <w:pPr>
        <w:pStyle w:val="Headingb"/>
        <w:rPr>
          <w:lang w:val="fr-CH"/>
        </w:rPr>
      </w:pPr>
      <w:r>
        <w:rPr>
          <w:lang w:val="fr-CH"/>
        </w:rPr>
        <w:t>Introduction</w:t>
      </w:r>
    </w:p>
    <w:p w14:paraId="12388269" w14:textId="60D1114D" w:rsidR="00313602" w:rsidRDefault="00992925" w:rsidP="00313602">
      <w:pPr>
        <w:rPr>
          <w:lang w:val="fr-CH"/>
        </w:rPr>
      </w:pPr>
      <w:r>
        <w:rPr>
          <w:lang w:val="fr-CH"/>
        </w:rPr>
        <w:t xml:space="preserve">Les </w:t>
      </w:r>
      <w:r w:rsidR="005B6472">
        <w:rPr>
          <w:lang w:val="fr-CH"/>
        </w:rPr>
        <w:t>A</w:t>
      </w:r>
      <w:r>
        <w:rPr>
          <w:lang w:val="fr-CH"/>
        </w:rPr>
        <w:t xml:space="preserve">dministrations des pays membres de la RCC estiment que l'utilisation des liaisons entre satellites dans les bandes de fréquences </w:t>
      </w:r>
      <w:r w:rsidRPr="00992925">
        <w:rPr>
          <w:lang w:val="fr-CH"/>
        </w:rPr>
        <w:t>11</w:t>
      </w:r>
      <w:r>
        <w:rPr>
          <w:lang w:val="fr-CH"/>
        </w:rPr>
        <w:t>,</w:t>
      </w:r>
      <w:r w:rsidRPr="00992925">
        <w:rPr>
          <w:lang w:val="fr-CH"/>
        </w:rPr>
        <w:t>7-12</w:t>
      </w:r>
      <w:r>
        <w:rPr>
          <w:lang w:val="fr-CH"/>
        </w:rPr>
        <w:t>,</w:t>
      </w:r>
      <w:r w:rsidRPr="00992925">
        <w:rPr>
          <w:lang w:val="fr-CH"/>
        </w:rPr>
        <w:t>7 GHz, 18</w:t>
      </w:r>
      <w:r>
        <w:rPr>
          <w:lang w:val="fr-CH"/>
        </w:rPr>
        <w:t>,</w:t>
      </w:r>
      <w:r w:rsidRPr="00992925">
        <w:rPr>
          <w:lang w:val="fr-CH"/>
        </w:rPr>
        <w:t>1-18</w:t>
      </w:r>
      <w:r>
        <w:rPr>
          <w:lang w:val="fr-CH"/>
        </w:rPr>
        <w:t>,</w:t>
      </w:r>
      <w:r w:rsidRPr="00992925">
        <w:rPr>
          <w:lang w:val="fr-CH"/>
        </w:rPr>
        <w:t>6 GHz, 18</w:t>
      </w:r>
      <w:r>
        <w:rPr>
          <w:lang w:val="fr-CH"/>
        </w:rPr>
        <w:t>,</w:t>
      </w:r>
      <w:r w:rsidRPr="00992925">
        <w:rPr>
          <w:lang w:val="fr-CH"/>
        </w:rPr>
        <w:t xml:space="preserve">8-20.2 GHz </w:t>
      </w:r>
      <w:r>
        <w:rPr>
          <w:lang w:val="fr-CH"/>
        </w:rPr>
        <w:t>et</w:t>
      </w:r>
      <w:r w:rsidR="005B6472">
        <w:rPr>
          <w:lang w:val="fr-CH"/>
        </w:rPr>
        <w:t xml:space="preserve"> </w:t>
      </w:r>
      <w:r w:rsidRPr="00992925">
        <w:rPr>
          <w:lang w:val="fr-CH"/>
        </w:rPr>
        <w:t>27</w:t>
      </w:r>
      <w:r>
        <w:rPr>
          <w:lang w:val="fr-CH"/>
        </w:rPr>
        <w:t>,</w:t>
      </w:r>
      <w:r w:rsidRPr="00992925">
        <w:rPr>
          <w:lang w:val="fr-CH"/>
        </w:rPr>
        <w:t>5</w:t>
      </w:r>
      <w:r w:rsidR="005B6472">
        <w:rPr>
          <w:lang w:val="fr-CH"/>
        </w:rPr>
        <w:noBreakHyphen/>
      </w:r>
      <w:r w:rsidRPr="00992925">
        <w:rPr>
          <w:lang w:val="fr-CH"/>
        </w:rPr>
        <w:t>30</w:t>
      </w:r>
      <w:r w:rsidR="0081474A">
        <w:rPr>
          <w:lang w:val="fr-CH"/>
        </w:rPr>
        <w:t> </w:t>
      </w:r>
      <w:r w:rsidRPr="00992925">
        <w:rPr>
          <w:lang w:val="fr-CH"/>
        </w:rPr>
        <w:t>GHz</w:t>
      </w:r>
      <w:r>
        <w:rPr>
          <w:lang w:val="fr-CH"/>
        </w:rPr>
        <w:t>, telles que conçues actuellement, ne correspondent pas à la définition du SFS et imposent des contraintes supplémentaires à l'utilisation des systèmes à satellites/réseaux à satellite du SFS existants ou futurs, y compris à l'intérieur du territoire national d'un pays.</w:t>
      </w:r>
    </w:p>
    <w:p w14:paraId="6499A854" w14:textId="55166776" w:rsidR="00992925" w:rsidRDefault="00992925" w:rsidP="00313602">
      <w:pPr>
        <w:rPr>
          <w:lang w:val="fr-CH"/>
        </w:rPr>
      </w:pPr>
      <w:r>
        <w:rPr>
          <w:lang w:val="fr-CH"/>
        </w:rPr>
        <w:t xml:space="preserve">Les </w:t>
      </w:r>
      <w:r w:rsidR="005B6472">
        <w:rPr>
          <w:lang w:val="fr-CH"/>
        </w:rPr>
        <w:t>A</w:t>
      </w:r>
      <w:r>
        <w:rPr>
          <w:lang w:val="fr-CH"/>
        </w:rPr>
        <w:t>dministrations des pays membres de la RCC souhaitent qu'aucune modification ne soit apportée au Règlement des radiocommunications de l'UIT concernant la bande de fréquences 11,7</w:t>
      </w:r>
      <w:r w:rsidR="0081474A">
        <w:rPr>
          <w:lang w:val="fr-CH"/>
        </w:rPr>
        <w:noBreakHyphen/>
      </w:r>
      <w:r>
        <w:rPr>
          <w:lang w:val="fr-CH"/>
        </w:rPr>
        <w:t>12,7 GHz.</w:t>
      </w:r>
    </w:p>
    <w:p w14:paraId="674B2CC3" w14:textId="55A925A7" w:rsidR="00992925" w:rsidRDefault="00992925" w:rsidP="00313602">
      <w:pPr>
        <w:rPr>
          <w:lang w:val="fr-CH"/>
        </w:rPr>
      </w:pPr>
      <w:r>
        <w:rPr>
          <w:lang w:val="fr-CH"/>
        </w:rPr>
        <w:t xml:space="preserve">Les </w:t>
      </w:r>
      <w:r w:rsidR="005B6472">
        <w:rPr>
          <w:lang w:val="fr-CH"/>
        </w:rPr>
        <w:t>A</w:t>
      </w:r>
      <w:r>
        <w:rPr>
          <w:lang w:val="fr-CH"/>
        </w:rPr>
        <w:t>dministrations des pays membres de la RCC considèrent que les conditions régissant l'utilisation des liaisons entre satellites dans les bandes de fréquence susmentionnées doivent garantir la protection des services primaires existants ayant des attributions dans la même bande de fréquences ou dans des bandes de fréquences adjacentes, y compris les services passifs, et ne doivent pas imposer de contraintes supplémentaires sur l'utilisation des systèmes existants ou futurs de ces services.</w:t>
      </w:r>
    </w:p>
    <w:p w14:paraId="7CF6F80F" w14:textId="4EB37555" w:rsidR="00992925" w:rsidRDefault="00992925" w:rsidP="00313602">
      <w:pPr>
        <w:rPr>
          <w:lang w:val="fr-CH"/>
        </w:rPr>
      </w:pPr>
      <w:r>
        <w:rPr>
          <w:lang w:val="fr-CH"/>
        </w:rPr>
        <w:t xml:space="preserve">Les </w:t>
      </w:r>
      <w:r w:rsidR="005B6472">
        <w:rPr>
          <w:lang w:val="fr-CH"/>
        </w:rPr>
        <w:t>A</w:t>
      </w:r>
      <w:r>
        <w:rPr>
          <w:lang w:val="fr-CH"/>
        </w:rPr>
        <w:t xml:space="preserve">dministrations des pays membres de la RCC appuient les conditions techniques et opérationnelles, ainsi que les dispositions réglementaires, y compris de nouvelles attributions au service inter-satellites </w:t>
      </w:r>
      <w:r w:rsidR="007C3420">
        <w:rPr>
          <w:lang w:val="fr-CH"/>
        </w:rPr>
        <w:t xml:space="preserve">(SIS) </w:t>
      </w:r>
      <w:r>
        <w:rPr>
          <w:lang w:val="fr-CH"/>
        </w:rPr>
        <w:t>dans les bandes de fréquences</w:t>
      </w:r>
      <w:r w:rsidRPr="00992925">
        <w:rPr>
          <w:lang w:val="fr-CH"/>
        </w:rPr>
        <w:t xml:space="preserve"> 18</w:t>
      </w:r>
      <w:r>
        <w:rPr>
          <w:lang w:val="fr-CH"/>
        </w:rPr>
        <w:t>,</w:t>
      </w:r>
      <w:r w:rsidRPr="00992925">
        <w:rPr>
          <w:lang w:val="fr-CH"/>
        </w:rPr>
        <w:t>1-18</w:t>
      </w:r>
      <w:r>
        <w:rPr>
          <w:lang w:val="fr-CH"/>
        </w:rPr>
        <w:t>,</w:t>
      </w:r>
      <w:r w:rsidRPr="00992925">
        <w:rPr>
          <w:lang w:val="fr-CH"/>
        </w:rPr>
        <w:t>6 GHz, 18</w:t>
      </w:r>
      <w:r>
        <w:rPr>
          <w:lang w:val="fr-CH"/>
        </w:rPr>
        <w:t>,</w:t>
      </w:r>
      <w:r w:rsidRPr="00992925">
        <w:rPr>
          <w:lang w:val="fr-CH"/>
        </w:rPr>
        <w:t xml:space="preserve">8-20.2 GHz </w:t>
      </w:r>
      <w:r>
        <w:rPr>
          <w:lang w:val="fr-CH"/>
        </w:rPr>
        <w:t>et</w:t>
      </w:r>
      <w:r w:rsidRPr="00992925">
        <w:rPr>
          <w:lang w:val="fr-CH"/>
        </w:rPr>
        <w:t xml:space="preserve"> 27</w:t>
      </w:r>
      <w:r>
        <w:rPr>
          <w:lang w:val="fr-CH"/>
        </w:rPr>
        <w:t>,</w:t>
      </w:r>
      <w:r w:rsidRPr="00992925">
        <w:rPr>
          <w:lang w:val="fr-CH"/>
        </w:rPr>
        <w:t>5</w:t>
      </w:r>
      <w:r w:rsidR="0081474A">
        <w:rPr>
          <w:lang w:val="fr-CH"/>
        </w:rPr>
        <w:noBreakHyphen/>
      </w:r>
      <w:r w:rsidRPr="00992925">
        <w:rPr>
          <w:lang w:val="fr-CH"/>
        </w:rPr>
        <w:t>30 GHz</w:t>
      </w:r>
      <w:r>
        <w:rPr>
          <w:lang w:val="fr-CH"/>
        </w:rPr>
        <w:t>, ou dans des parties de ces bandes de fréquences, compte tenu des résultats des études, comprenant un concept d'exploitation répondant aux exigences ci-dessus.</w:t>
      </w:r>
    </w:p>
    <w:p w14:paraId="180ADE10" w14:textId="2F1CB7E9" w:rsidR="00313602" w:rsidRDefault="00992925" w:rsidP="0081474A">
      <w:pPr>
        <w:keepNext/>
        <w:keepLines/>
        <w:rPr>
          <w:lang w:val="fr-CH"/>
        </w:rPr>
      </w:pPr>
      <w:r>
        <w:rPr>
          <w:lang w:val="fr-CH"/>
        </w:rPr>
        <w:lastRenderedPageBreak/>
        <w:t xml:space="preserve">Les </w:t>
      </w:r>
      <w:r w:rsidR="005B6472">
        <w:rPr>
          <w:lang w:val="fr-CH"/>
        </w:rPr>
        <w:t>A</w:t>
      </w:r>
      <w:r>
        <w:rPr>
          <w:lang w:val="fr-CH"/>
        </w:rPr>
        <w:t>dministrations des pays membres de la RCC envisagent d'appuyer la Méthode A présentée dans le Rapport de la RPC, et également la Méthode B si les conditions suivantes sont respectées:</w:t>
      </w:r>
    </w:p>
    <w:p w14:paraId="4C929B4D" w14:textId="2972B3DD" w:rsidR="007C3420" w:rsidRDefault="007C3420" w:rsidP="007C3420">
      <w:pPr>
        <w:pStyle w:val="enumlev1"/>
        <w:rPr>
          <w:lang w:val="fr-CH"/>
        </w:rPr>
      </w:pPr>
      <w:r w:rsidRPr="0058643D">
        <w:rPr>
          <w:rFonts w:eastAsia="Calibri"/>
        </w:rPr>
        <w:t>•</w:t>
      </w:r>
      <w:r>
        <w:rPr>
          <w:lang w:val="fr-CH"/>
        </w:rPr>
        <w:tab/>
        <w:t>l'utilisation de liaisons entre satellites est possible uniquement dans le cadre de la nouvelle attribution au SIS;</w:t>
      </w:r>
    </w:p>
    <w:p w14:paraId="1769DC7D" w14:textId="216BB539" w:rsidR="00313602" w:rsidRPr="007C3420" w:rsidRDefault="00313602" w:rsidP="00313602">
      <w:pPr>
        <w:pStyle w:val="enumlev1"/>
        <w:rPr>
          <w:lang w:val="fr-CH"/>
        </w:rPr>
      </w:pPr>
      <w:r w:rsidRPr="0058643D">
        <w:rPr>
          <w:rFonts w:eastAsia="Calibri"/>
        </w:rPr>
        <w:t>•</w:t>
      </w:r>
      <w:r>
        <w:rPr>
          <w:lang w:val="fr-CH"/>
        </w:rPr>
        <w:tab/>
      </w:r>
      <w:r w:rsidR="007C3420">
        <w:rPr>
          <w:lang w:val="fr-CH"/>
        </w:rPr>
        <w:t xml:space="preserve">l'utilisation de liaisons entre satellites est possible uniquement sous réserve qu'une coordination soit obligatoirement menée à bien dans le cadre de la nouvelle attribution au SIS, conformément au numéro </w:t>
      </w:r>
      <w:r w:rsidR="007C3420">
        <w:rPr>
          <w:b/>
          <w:bCs/>
          <w:lang w:val="fr-CH"/>
        </w:rPr>
        <w:t>9.11A</w:t>
      </w:r>
      <w:r w:rsidR="007C3420">
        <w:rPr>
          <w:lang w:val="fr-CH"/>
        </w:rPr>
        <w:t xml:space="preserve"> du RR;</w:t>
      </w:r>
    </w:p>
    <w:p w14:paraId="03B26CAA" w14:textId="1ECF55AD" w:rsidR="00313602" w:rsidRDefault="00313602" w:rsidP="00313602">
      <w:pPr>
        <w:pStyle w:val="enumlev1"/>
        <w:rPr>
          <w:lang w:val="fr-CH"/>
        </w:rPr>
      </w:pPr>
      <w:r w:rsidRPr="0058643D">
        <w:rPr>
          <w:rFonts w:eastAsia="Calibri"/>
        </w:rPr>
        <w:t>•</w:t>
      </w:r>
      <w:r>
        <w:rPr>
          <w:lang w:val="fr-CH"/>
        </w:rPr>
        <w:tab/>
      </w:r>
      <w:r w:rsidR="007C3420">
        <w:rPr>
          <w:lang w:val="fr-CH"/>
        </w:rPr>
        <w:t>l'utilisation de liaisons entre satellites dans le cadre de la nouvelle attribution au SIS ne doit pas donner lieu à une demande de protection ou créer de brouillages inacceptables pour les systèmes du SFS;</w:t>
      </w:r>
    </w:p>
    <w:p w14:paraId="6A58BF14" w14:textId="07E8F3B8" w:rsidR="00313602" w:rsidRDefault="00313602" w:rsidP="00313602">
      <w:pPr>
        <w:pStyle w:val="enumlev1"/>
        <w:rPr>
          <w:lang w:val="fr-CH"/>
        </w:rPr>
      </w:pPr>
      <w:r w:rsidRPr="0058643D">
        <w:rPr>
          <w:rFonts w:eastAsia="Calibri"/>
        </w:rPr>
        <w:t>•</w:t>
      </w:r>
      <w:r>
        <w:rPr>
          <w:lang w:val="fr-CH"/>
        </w:rPr>
        <w:tab/>
      </w:r>
      <w:r w:rsidR="007C3420">
        <w:rPr>
          <w:lang w:val="fr-CH"/>
        </w:rPr>
        <w:t xml:space="preserve">une administration doit avoir la possibilité de demander que son territoire soit </w:t>
      </w:r>
      <w:proofErr w:type="gramStart"/>
      <w:r w:rsidR="007C3420">
        <w:rPr>
          <w:lang w:val="fr-CH"/>
        </w:rPr>
        <w:t>exclus</w:t>
      </w:r>
      <w:proofErr w:type="gramEnd"/>
      <w:r w:rsidR="007C3420">
        <w:rPr>
          <w:lang w:val="fr-CH"/>
        </w:rPr>
        <w:t xml:space="preserve"> de la zone de service de tout système utilisant des liaisons entre satellites dans le cadre de la nouvelle attribution au SIS;</w:t>
      </w:r>
    </w:p>
    <w:p w14:paraId="506341D9" w14:textId="576C04A2" w:rsidR="00313602" w:rsidRDefault="00313602" w:rsidP="00313602">
      <w:pPr>
        <w:pStyle w:val="enumlev1"/>
        <w:rPr>
          <w:lang w:val="fr-CH"/>
        </w:rPr>
      </w:pPr>
      <w:r w:rsidRPr="0058643D">
        <w:rPr>
          <w:rFonts w:eastAsia="Calibri"/>
        </w:rPr>
        <w:t>•</w:t>
      </w:r>
      <w:r>
        <w:rPr>
          <w:lang w:val="fr-CH"/>
        </w:rPr>
        <w:tab/>
      </w:r>
      <w:r w:rsidR="007C3420">
        <w:rPr>
          <w:lang w:val="fr-CH"/>
        </w:rPr>
        <w:t xml:space="preserve">les rôles et mécanismes pour le </w:t>
      </w:r>
      <w:r w:rsidR="007C3420" w:rsidRPr="007C3420">
        <w:rPr>
          <w:lang w:val="fr-CH"/>
        </w:rPr>
        <w:t>centre de contrôle et de surveillance de réseau (NCMC)</w:t>
      </w:r>
      <w:r w:rsidR="007C3420">
        <w:rPr>
          <w:lang w:val="fr-CH"/>
        </w:rPr>
        <w:t xml:space="preserve"> pour ce qui est des liaisons entre satellites doivent être définis;</w:t>
      </w:r>
    </w:p>
    <w:p w14:paraId="378F906C" w14:textId="3C38F3AF" w:rsidR="007A4886" w:rsidRDefault="00313602" w:rsidP="007A4886">
      <w:pPr>
        <w:pStyle w:val="enumlev1"/>
        <w:rPr>
          <w:lang w:val="fr-CH"/>
        </w:rPr>
      </w:pPr>
      <w:r w:rsidRPr="0058643D">
        <w:rPr>
          <w:rFonts w:eastAsia="Calibri"/>
        </w:rPr>
        <w:t>•</w:t>
      </w:r>
      <w:r>
        <w:rPr>
          <w:lang w:val="fr-CH"/>
        </w:rPr>
        <w:tab/>
      </w:r>
      <w:r w:rsidR="007C3420">
        <w:rPr>
          <w:lang w:val="fr-CH"/>
        </w:rPr>
        <w:t xml:space="preserve">l'utilisation de liaisons entre </w:t>
      </w:r>
      <w:r w:rsidR="007C3420" w:rsidRPr="007A4886">
        <w:t>satellites</w:t>
      </w:r>
      <w:r w:rsidR="007C3420">
        <w:rPr>
          <w:lang w:val="fr-CH"/>
        </w:rPr>
        <w:t xml:space="preserve"> dans le cadre de la nouvelle attribution au SIS n'est permise que dans le contexte du concept à </w:t>
      </w:r>
      <w:r w:rsidR="007A4886" w:rsidRPr="007A4886">
        <w:rPr>
          <w:szCs w:val="24"/>
          <w:lang w:val="fr-CH"/>
        </w:rPr>
        <w:t>«</w:t>
      </w:r>
      <w:r w:rsidR="007C3420">
        <w:rPr>
          <w:lang w:val="fr-CH"/>
        </w:rPr>
        <w:t>l'intérieur du cône</w:t>
      </w:r>
      <w:r w:rsidR="007A4886" w:rsidRPr="007A4886">
        <w:rPr>
          <w:szCs w:val="24"/>
          <w:lang w:val="fr-CH"/>
        </w:rPr>
        <w:t>»</w:t>
      </w:r>
      <w:r w:rsidR="007C3420">
        <w:rPr>
          <w:lang w:val="fr-CH"/>
        </w:rPr>
        <w:t>.</w:t>
      </w:r>
    </w:p>
    <w:p w14:paraId="623DD97B" w14:textId="17B4B884" w:rsidR="00313602" w:rsidRPr="00313602" w:rsidRDefault="00313602" w:rsidP="00313602">
      <w:pPr>
        <w:pStyle w:val="Headingb"/>
        <w:rPr>
          <w:lang w:val="fr-CH"/>
        </w:rPr>
      </w:pPr>
      <w:r>
        <w:rPr>
          <w:lang w:val="fr-CH"/>
        </w:rPr>
        <w:t>Propositions</w:t>
      </w:r>
    </w:p>
    <w:p w14:paraId="61D0851D" w14:textId="77777777" w:rsidR="0015203F" w:rsidRPr="00E60CB2" w:rsidRDefault="0015203F">
      <w:pPr>
        <w:tabs>
          <w:tab w:val="clear" w:pos="1134"/>
          <w:tab w:val="clear" w:pos="1871"/>
          <w:tab w:val="clear" w:pos="2268"/>
        </w:tabs>
        <w:overflowPunct/>
        <w:autoSpaceDE/>
        <w:autoSpaceDN/>
        <w:adjustRightInd/>
        <w:spacing w:before="0"/>
        <w:textAlignment w:val="auto"/>
        <w:rPr>
          <w:lang w:val="fr-CH"/>
        </w:rPr>
      </w:pPr>
      <w:r w:rsidRPr="00E60CB2">
        <w:rPr>
          <w:lang w:val="fr-CH"/>
        </w:rPr>
        <w:br w:type="page"/>
      </w:r>
    </w:p>
    <w:p w14:paraId="178F992E" w14:textId="77777777" w:rsidR="00DE75D2" w:rsidRDefault="00854EC7">
      <w:pPr>
        <w:pStyle w:val="Proposal"/>
      </w:pPr>
      <w:r>
        <w:rPr>
          <w:u w:val="single"/>
        </w:rPr>
        <w:lastRenderedPageBreak/>
        <w:t>NOC</w:t>
      </w:r>
      <w:r>
        <w:tab/>
        <w:t>RCC/85A17/1</w:t>
      </w:r>
    </w:p>
    <w:p w14:paraId="7AF445E9" w14:textId="77777777" w:rsidR="00DC48DB" w:rsidRPr="00885459" w:rsidRDefault="00854EC7" w:rsidP="00313602">
      <w:pPr>
        <w:pStyle w:val="Volumetitle"/>
        <w:rPr>
          <w:lang w:val="fr-FR"/>
        </w:rPr>
      </w:pPr>
      <w:bookmarkStart w:id="6" w:name="_Toc455752901"/>
      <w:bookmarkStart w:id="7" w:name="_Toc455756140"/>
      <w:r w:rsidRPr="00313602">
        <w:t>ARTICLES</w:t>
      </w:r>
      <w:bookmarkEnd w:id="6"/>
      <w:bookmarkEnd w:id="7"/>
    </w:p>
    <w:p w14:paraId="082AF16F" w14:textId="36BD823E" w:rsidR="00DE75D2" w:rsidRDefault="00DE75D2">
      <w:pPr>
        <w:pStyle w:val="Reasons"/>
      </w:pPr>
    </w:p>
    <w:p w14:paraId="727CF77A" w14:textId="77777777" w:rsidR="00DE75D2" w:rsidRDefault="00854EC7">
      <w:pPr>
        <w:pStyle w:val="Proposal"/>
      </w:pPr>
      <w:r>
        <w:rPr>
          <w:u w:val="single"/>
        </w:rPr>
        <w:t>NOC</w:t>
      </w:r>
      <w:r>
        <w:tab/>
        <w:t>RCC/85A17/2</w:t>
      </w:r>
    </w:p>
    <w:p w14:paraId="3F2F0073" w14:textId="77777777" w:rsidR="00D80A8A" w:rsidRPr="001B0CB1" w:rsidRDefault="00854EC7" w:rsidP="00854EC7">
      <w:pPr>
        <w:pStyle w:val="Volumetitle"/>
      </w:pPr>
      <w:bookmarkStart w:id="8" w:name="_Toc327956568"/>
      <w:r w:rsidRPr="001B0CB1">
        <w:t>APPENDICES</w:t>
      </w:r>
      <w:bookmarkEnd w:id="8"/>
    </w:p>
    <w:p w14:paraId="093122CF" w14:textId="498A3CB6" w:rsidR="00DE75D2" w:rsidRDefault="00DE75D2">
      <w:pPr>
        <w:pStyle w:val="Reasons"/>
      </w:pPr>
    </w:p>
    <w:p w14:paraId="3D11094F" w14:textId="77777777" w:rsidR="00DE75D2" w:rsidRDefault="00854EC7">
      <w:pPr>
        <w:pStyle w:val="Proposal"/>
      </w:pPr>
      <w:r>
        <w:t>SUP</w:t>
      </w:r>
      <w:r>
        <w:tab/>
        <w:t>RCC/85A17/3</w:t>
      </w:r>
    </w:p>
    <w:p w14:paraId="519EF8AF" w14:textId="77777777" w:rsidR="00BC1A64" w:rsidRPr="005B6472" w:rsidRDefault="00854EC7" w:rsidP="005B6472">
      <w:pPr>
        <w:pStyle w:val="ResNo"/>
      </w:pPr>
      <w:bookmarkStart w:id="9" w:name="_Toc35933915"/>
      <w:bookmarkStart w:id="10" w:name="_Toc39829397"/>
      <w:r w:rsidRPr="005B6472">
        <w:t xml:space="preserve">RÉSOLUTION </w:t>
      </w:r>
      <w:r w:rsidRPr="005B6472">
        <w:rPr>
          <w:rStyle w:val="href"/>
        </w:rPr>
        <w:t>773</w:t>
      </w:r>
      <w:r w:rsidRPr="005B6472">
        <w:t xml:space="preserve"> (CMR</w:t>
      </w:r>
      <w:r w:rsidRPr="005B6472">
        <w:noBreakHyphen/>
        <w:t>19)</w:t>
      </w:r>
      <w:bookmarkEnd w:id="9"/>
      <w:bookmarkEnd w:id="10"/>
    </w:p>
    <w:p w14:paraId="426D97A2" w14:textId="44E8BDFE" w:rsidR="00BC1A64" w:rsidRPr="00CB4369" w:rsidRDefault="00854EC7" w:rsidP="00854EC7">
      <w:pPr>
        <w:pStyle w:val="Restitle"/>
      </w:pPr>
      <w:bookmarkStart w:id="11" w:name="_Toc35933916"/>
      <w:bookmarkStart w:id="12" w:name="_Toc39829398"/>
      <w:r w:rsidRPr="00CB4369">
        <w:t>Étude des questions techniques et opérationnelles et des dispositions réglementaires relatives aux liaisons entre satellites dans les bandes de fréquences 11,7-12,7 GHz, 18,1-18,6 GHz, 18,8</w:t>
      </w:r>
      <w:r w:rsidRPr="00CB4369">
        <w:noBreakHyphen/>
        <w:t>20,2 GHz et 27,5-30 GHz</w:t>
      </w:r>
      <w:bookmarkEnd w:id="11"/>
      <w:bookmarkEnd w:id="12"/>
    </w:p>
    <w:p w14:paraId="7D827223" w14:textId="77777777" w:rsidR="00854EC7" w:rsidRDefault="00854EC7" w:rsidP="00411C49">
      <w:pPr>
        <w:pStyle w:val="Reasons"/>
      </w:pPr>
    </w:p>
    <w:p w14:paraId="1CB8EDAB" w14:textId="51487E9E" w:rsidR="00854EC7" w:rsidRDefault="00854EC7" w:rsidP="00854EC7">
      <w:pPr>
        <w:jc w:val="center"/>
      </w:pPr>
      <w:r>
        <w:t>______________</w:t>
      </w:r>
    </w:p>
    <w:sectPr w:rsidR="00854EC7">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F8B2" w14:textId="77777777" w:rsidR="00CB685A" w:rsidRDefault="00CB685A">
      <w:r>
        <w:separator/>
      </w:r>
    </w:p>
  </w:endnote>
  <w:endnote w:type="continuationSeparator" w:id="0">
    <w:p w14:paraId="5CFE1CBD" w14:textId="77777777" w:rsidR="00CB685A" w:rsidRDefault="00C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7225" w14:textId="21FA0A0F"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5B6472">
      <w:rPr>
        <w:noProof/>
      </w:rPr>
      <w:t>13.11.23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24CF" w14:textId="712A29F4" w:rsidR="00936D25" w:rsidRPr="0081474A" w:rsidRDefault="0081474A" w:rsidP="0081474A">
    <w:pPr>
      <w:pStyle w:val="Footer"/>
      <w:rPr>
        <w:lang w:val="en-GB"/>
      </w:rPr>
    </w:pPr>
    <w:r>
      <w:fldChar w:fldCharType="begin"/>
    </w:r>
    <w:r w:rsidRPr="0081474A">
      <w:rPr>
        <w:lang w:val="en-GB"/>
      </w:rPr>
      <w:instrText xml:space="preserve"> FILENAME \p  \* MERGEFORMAT </w:instrText>
    </w:r>
    <w:r>
      <w:fldChar w:fldCharType="separate"/>
    </w:r>
    <w:r w:rsidRPr="0081474A">
      <w:rPr>
        <w:lang w:val="en-GB"/>
      </w:rPr>
      <w:t>P:\FRA\ITU-R\CONF-R\CMR23\000\085ADD17F.docx</w:t>
    </w:r>
    <w:r>
      <w:fldChar w:fldCharType="end"/>
    </w:r>
    <w:r w:rsidRPr="0081474A">
      <w:rPr>
        <w:lang w:val="en-GB"/>
      </w:rPr>
      <w:t xml:space="preserve"> (</w:t>
    </w:r>
    <w:r>
      <w:rPr>
        <w:lang w:val="en-GB"/>
      </w:rPr>
      <w:t>529884)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459C" w14:textId="7DC1A072" w:rsidR="00936D25" w:rsidRPr="002A79EB" w:rsidRDefault="0081474A" w:rsidP="0081474A">
    <w:pPr>
      <w:pStyle w:val="Footer"/>
      <w:rPr>
        <w:lang w:val="en-GB"/>
      </w:rPr>
    </w:pPr>
    <w:r w:rsidRPr="0081474A">
      <w:rPr>
        <w:lang w:val="en-GB"/>
      </w:rPr>
      <w:fldChar w:fldCharType="begin"/>
    </w:r>
    <w:r w:rsidRPr="0081474A">
      <w:rPr>
        <w:lang w:val="en-GB"/>
      </w:rPr>
      <w:instrText xml:space="preserve"> FILENAME \p  \* MERGEFORMAT </w:instrText>
    </w:r>
    <w:r w:rsidRPr="0081474A">
      <w:rPr>
        <w:lang w:val="en-GB"/>
      </w:rPr>
      <w:fldChar w:fldCharType="separate"/>
    </w:r>
    <w:r>
      <w:rPr>
        <w:lang w:val="en-GB"/>
      </w:rPr>
      <w:t>P:\FRA\ITU-R\CONF-R\CMR23\000\085ADD17F.docx</w:t>
    </w:r>
    <w:r w:rsidRPr="0081474A">
      <w:rPr>
        <w:lang w:val="en-GB"/>
      </w:rPr>
      <w:fldChar w:fldCharType="end"/>
    </w:r>
    <w:r w:rsidRPr="0081474A">
      <w:rPr>
        <w:lang w:val="en-GB"/>
      </w:rPr>
      <w:t xml:space="preserve"> </w:t>
    </w:r>
    <w:r w:rsidR="002A79EB" w:rsidRPr="002A79EB">
      <w:rPr>
        <w:lang w:val="en-GB"/>
      </w:rPr>
      <w:t>(</w:t>
    </w:r>
    <w:r w:rsidR="002A79EB">
      <w:rPr>
        <w:lang w:val="en-GB"/>
      </w:rPr>
      <w:t>529884)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F6AFD" w14:textId="77777777" w:rsidR="00CB685A" w:rsidRDefault="00CB685A">
      <w:r>
        <w:rPr>
          <w:b/>
        </w:rPr>
        <w:t>_______________</w:t>
      </w:r>
    </w:p>
  </w:footnote>
  <w:footnote w:type="continuationSeparator" w:id="0">
    <w:p w14:paraId="0DE526D1" w14:textId="77777777" w:rsidR="00CB685A" w:rsidRDefault="00CB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693B"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0B31AFB0" w14:textId="77777777" w:rsidR="004F1F8E" w:rsidRDefault="00225CF2" w:rsidP="00FD7AA3">
    <w:pPr>
      <w:pStyle w:val="Header"/>
    </w:pPr>
    <w:r>
      <w:t>WRC</w:t>
    </w:r>
    <w:r w:rsidR="00D3426F">
      <w:t>23</w:t>
    </w:r>
    <w:r w:rsidR="004F1F8E">
      <w:t>/</w:t>
    </w:r>
    <w:r w:rsidR="006A4B45">
      <w:t>85(Add.17)-</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506792825">
    <w:abstractNumId w:val="0"/>
  </w:num>
  <w:num w:numId="2" w16cid:durableId="164423656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1893"/>
    <w:rsid w:val="00016648"/>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F17E8"/>
    <w:rsid w:val="00204306"/>
    <w:rsid w:val="00225CF2"/>
    <w:rsid w:val="00232FD2"/>
    <w:rsid w:val="0026554E"/>
    <w:rsid w:val="002A4622"/>
    <w:rsid w:val="002A6F8F"/>
    <w:rsid w:val="002A79EB"/>
    <w:rsid w:val="002B17E5"/>
    <w:rsid w:val="002C0EBF"/>
    <w:rsid w:val="002C28A4"/>
    <w:rsid w:val="002D7E0A"/>
    <w:rsid w:val="00313602"/>
    <w:rsid w:val="00315AFE"/>
    <w:rsid w:val="003411F6"/>
    <w:rsid w:val="003606A6"/>
    <w:rsid w:val="0036650C"/>
    <w:rsid w:val="00393ACD"/>
    <w:rsid w:val="003A583E"/>
    <w:rsid w:val="003E112B"/>
    <w:rsid w:val="003E1D1C"/>
    <w:rsid w:val="003E7B05"/>
    <w:rsid w:val="003F3719"/>
    <w:rsid w:val="003F6F2D"/>
    <w:rsid w:val="00466211"/>
    <w:rsid w:val="00483196"/>
    <w:rsid w:val="004834A9"/>
    <w:rsid w:val="004D01FC"/>
    <w:rsid w:val="004E28C3"/>
    <w:rsid w:val="004F1F8E"/>
    <w:rsid w:val="00512A32"/>
    <w:rsid w:val="005343DA"/>
    <w:rsid w:val="00560874"/>
    <w:rsid w:val="00586CF2"/>
    <w:rsid w:val="005A7C75"/>
    <w:rsid w:val="005B6472"/>
    <w:rsid w:val="005C3768"/>
    <w:rsid w:val="005C6C3F"/>
    <w:rsid w:val="00613635"/>
    <w:rsid w:val="0062093D"/>
    <w:rsid w:val="00637ECF"/>
    <w:rsid w:val="00647B59"/>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A4886"/>
    <w:rsid w:val="007B2C34"/>
    <w:rsid w:val="007C3420"/>
    <w:rsid w:val="007F282B"/>
    <w:rsid w:val="0081474A"/>
    <w:rsid w:val="00830086"/>
    <w:rsid w:val="00851625"/>
    <w:rsid w:val="00854EC7"/>
    <w:rsid w:val="00863C0A"/>
    <w:rsid w:val="008A3120"/>
    <w:rsid w:val="008A4B97"/>
    <w:rsid w:val="008C0F75"/>
    <w:rsid w:val="008C47BB"/>
    <w:rsid w:val="008C5B8E"/>
    <w:rsid w:val="008C5DD5"/>
    <w:rsid w:val="008C7123"/>
    <w:rsid w:val="008D41BE"/>
    <w:rsid w:val="008D58D3"/>
    <w:rsid w:val="008E3BC9"/>
    <w:rsid w:val="00923064"/>
    <w:rsid w:val="00930FFD"/>
    <w:rsid w:val="00936D25"/>
    <w:rsid w:val="00941EA5"/>
    <w:rsid w:val="00964700"/>
    <w:rsid w:val="00966C16"/>
    <w:rsid w:val="0098732F"/>
    <w:rsid w:val="00992925"/>
    <w:rsid w:val="009A045F"/>
    <w:rsid w:val="009A6A2B"/>
    <w:rsid w:val="009C7E7C"/>
    <w:rsid w:val="00A00473"/>
    <w:rsid w:val="00A03C9B"/>
    <w:rsid w:val="00A37105"/>
    <w:rsid w:val="00A606C3"/>
    <w:rsid w:val="00A83B09"/>
    <w:rsid w:val="00A84541"/>
    <w:rsid w:val="00AE36A0"/>
    <w:rsid w:val="00B00294"/>
    <w:rsid w:val="00B3749C"/>
    <w:rsid w:val="00B64FD0"/>
    <w:rsid w:val="00BA5BD0"/>
    <w:rsid w:val="00BB1D82"/>
    <w:rsid w:val="00BC217E"/>
    <w:rsid w:val="00BD51C5"/>
    <w:rsid w:val="00BF26E7"/>
    <w:rsid w:val="00C1305F"/>
    <w:rsid w:val="00C53FCA"/>
    <w:rsid w:val="00C71DEB"/>
    <w:rsid w:val="00C76BAF"/>
    <w:rsid w:val="00C814B9"/>
    <w:rsid w:val="00CB685A"/>
    <w:rsid w:val="00CD516F"/>
    <w:rsid w:val="00D119A7"/>
    <w:rsid w:val="00D25FBA"/>
    <w:rsid w:val="00D32B28"/>
    <w:rsid w:val="00D3426F"/>
    <w:rsid w:val="00D42954"/>
    <w:rsid w:val="00D66EAC"/>
    <w:rsid w:val="00D730DF"/>
    <w:rsid w:val="00D772F0"/>
    <w:rsid w:val="00D77BDC"/>
    <w:rsid w:val="00DC402B"/>
    <w:rsid w:val="00DE0932"/>
    <w:rsid w:val="00DE75D2"/>
    <w:rsid w:val="00DF15E8"/>
    <w:rsid w:val="00E03A27"/>
    <w:rsid w:val="00E049F1"/>
    <w:rsid w:val="00E37A25"/>
    <w:rsid w:val="00E537FF"/>
    <w:rsid w:val="00E60CB2"/>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06048A0"/>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DD4258"/>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R23-WRC23-C-0085!A17!MSW-F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4B5A0FDA-9C28-4B5F-AF06-A055726B7F43}">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3EF1B53C-9954-4F29-8132-779AD37F1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69AF6-FB97-4D27-A6D5-B2C2B9D22574}">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568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R23-WRC23-C-0085!A17!MSW-F</vt:lpstr>
    </vt:vector>
  </TitlesOfParts>
  <Manager>Secrétariat général - Pool</Manager>
  <Company>Union internationale des télécommunications (UIT)</Company>
  <LinksUpToDate>false</LinksUpToDate>
  <CharactersWithSpaces>3915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R23-WRC23-C-0085!A17!MSW-F</dc:title>
  <dc:subject>Conférence mondiale des radiocommunications - 2019</dc:subject>
  <dc:creator>Documents Proposals Manager (DPM)</dc:creator>
  <cp:keywords>DPM_v2023.11.6.1_prod</cp:keywords>
  <dc:description/>
  <cp:lastModifiedBy>French</cp:lastModifiedBy>
  <cp:revision>5</cp:revision>
  <cp:lastPrinted>2003-06-05T19:34:00Z</cp:lastPrinted>
  <dcterms:created xsi:type="dcterms:W3CDTF">2023-11-13T06:49:00Z</dcterms:created>
  <dcterms:modified xsi:type="dcterms:W3CDTF">2023-11-13T08:12:00Z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