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58643D" w14:paraId="13CF73B9" w14:textId="77777777" w:rsidTr="00F320AA">
        <w:trPr>
          <w:cantSplit/>
        </w:trPr>
        <w:tc>
          <w:tcPr>
            <w:tcW w:w="1418" w:type="dxa"/>
            <w:vAlign w:val="center"/>
          </w:tcPr>
          <w:p w14:paraId="4680C076" w14:textId="77777777" w:rsidR="00F320AA" w:rsidRPr="0058643D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58643D">
              <w:rPr>
                <w:noProof/>
              </w:rPr>
              <w:drawing>
                <wp:inline distT="0" distB="0" distL="0" distR="0" wp14:anchorId="48D50E0F" wp14:editId="30893330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4644209" w14:textId="77777777" w:rsidR="00F320AA" w:rsidRPr="0058643D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8643D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58643D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58643D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254644F0" w14:textId="77777777" w:rsidR="00F320AA" w:rsidRPr="0058643D" w:rsidRDefault="00EB0812" w:rsidP="00F320AA">
            <w:pPr>
              <w:spacing w:before="0" w:line="240" w:lineRule="atLeast"/>
            </w:pPr>
            <w:r w:rsidRPr="0058643D">
              <w:rPr>
                <w:noProof/>
              </w:rPr>
              <w:drawing>
                <wp:inline distT="0" distB="0" distL="0" distR="0" wp14:anchorId="1A7D74D5" wp14:editId="59F7D24A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58643D" w14:paraId="5810EDE6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8972D18" w14:textId="77777777" w:rsidR="00A066F1" w:rsidRPr="0058643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AA99DA0" w14:textId="77777777" w:rsidR="00A066F1" w:rsidRPr="0058643D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58643D" w14:paraId="465CBC24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C836441" w14:textId="77777777" w:rsidR="00A066F1" w:rsidRPr="0058643D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7A9C0F7" w14:textId="77777777" w:rsidR="00A066F1" w:rsidRPr="0058643D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58643D" w14:paraId="78529C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EAA8705" w14:textId="77777777" w:rsidR="00A066F1" w:rsidRPr="0058643D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58643D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F0AB1C5" w14:textId="77777777" w:rsidR="00A066F1" w:rsidRPr="0058643D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58643D">
              <w:rPr>
                <w:rFonts w:ascii="Verdana" w:hAnsi="Verdana"/>
                <w:b/>
                <w:sz w:val="20"/>
              </w:rPr>
              <w:t>Addendum 17 to</w:t>
            </w:r>
            <w:r w:rsidRPr="0058643D">
              <w:rPr>
                <w:rFonts w:ascii="Verdana" w:hAnsi="Verdana"/>
                <w:b/>
                <w:sz w:val="20"/>
              </w:rPr>
              <w:br/>
              <w:t>Document 85</w:t>
            </w:r>
            <w:r w:rsidR="00A066F1" w:rsidRPr="0058643D">
              <w:rPr>
                <w:rFonts w:ascii="Verdana" w:hAnsi="Verdana"/>
                <w:b/>
                <w:sz w:val="20"/>
              </w:rPr>
              <w:t>-</w:t>
            </w:r>
            <w:r w:rsidR="005E10C9" w:rsidRPr="0058643D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58643D" w14:paraId="77D5ED9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43FFF64" w14:textId="77777777" w:rsidR="00A066F1" w:rsidRPr="005864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76355A4B" w14:textId="77777777" w:rsidR="00A066F1" w:rsidRPr="0058643D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8643D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58643D" w14:paraId="1A519F6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50803D5" w14:textId="77777777" w:rsidR="00A066F1" w:rsidRPr="0058643D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F87DDB7" w14:textId="77777777" w:rsidR="00A066F1" w:rsidRPr="0058643D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58643D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58643D" w14:paraId="5C044C7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85E12CE" w14:textId="77777777" w:rsidR="00A066F1" w:rsidRPr="0058643D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58643D" w14:paraId="4881CF6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F74794" w14:textId="77777777" w:rsidR="00E55816" w:rsidRPr="0058643D" w:rsidRDefault="00884D60" w:rsidP="00E55816">
            <w:pPr>
              <w:pStyle w:val="Source"/>
            </w:pPr>
            <w:r w:rsidRPr="0058643D">
              <w:t>Regional Commonwealth in the field of Communications Common Proposals</w:t>
            </w:r>
          </w:p>
        </w:tc>
      </w:tr>
      <w:tr w:rsidR="00E55816" w:rsidRPr="0058643D" w14:paraId="3F108E4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6FDBB8B" w14:textId="666B2A33" w:rsidR="00E55816" w:rsidRPr="0058643D" w:rsidRDefault="00491AB2" w:rsidP="00E55816">
            <w:pPr>
              <w:pStyle w:val="Title1"/>
            </w:pPr>
            <w:r w:rsidRPr="0058643D">
              <w:t>proposals for the work of the conference</w:t>
            </w:r>
          </w:p>
        </w:tc>
      </w:tr>
      <w:tr w:rsidR="00E55816" w:rsidRPr="0058643D" w14:paraId="19E96F6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92EF7E8" w14:textId="77777777" w:rsidR="00E55816" w:rsidRPr="0058643D" w:rsidRDefault="00E55816" w:rsidP="00E55816">
            <w:pPr>
              <w:pStyle w:val="Title2"/>
            </w:pPr>
          </w:p>
        </w:tc>
      </w:tr>
      <w:tr w:rsidR="00A538A6" w:rsidRPr="0058643D" w14:paraId="7DA942B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628586" w14:textId="77777777" w:rsidR="00A538A6" w:rsidRPr="0058643D" w:rsidRDefault="004B13CB" w:rsidP="004B13CB">
            <w:pPr>
              <w:pStyle w:val="Agendaitem"/>
              <w:rPr>
                <w:lang w:val="en-GB"/>
              </w:rPr>
            </w:pPr>
            <w:r w:rsidRPr="0058643D">
              <w:rPr>
                <w:lang w:val="en-GB"/>
              </w:rPr>
              <w:t>Agenda item 1.17</w:t>
            </w:r>
          </w:p>
        </w:tc>
      </w:tr>
    </w:tbl>
    <w:bookmarkEnd w:id="5"/>
    <w:bookmarkEnd w:id="6"/>
    <w:p w14:paraId="61723D6D" w14:textId="2460A9E4" w:rsidR="00187BD9" w:rsidRPr="0058643D" w:rsidRDefault="00491AB2" w:rsidP="005E3917">
      <w:r w:rsidRPr="0058643D">
        <w:t>1.17</w:t>
      </w:r>
      <w:r w:rsidRPr="0058643D">
        <w:tab/>
        <w:t>to determine and carry out, on the basis of ITU</w:t>
      </w:r>
      <w:r w:rsidRPr="0058643D">
        <w:noBreakHyphen/>
        <w:t>R studies in</w:t>
      </w:r>
      <w:r w:rsidRPr="0058643D">
        <w:rPr>
          <w:spacing w:val="-8"/>
        </w:rPr>
        <w:t xml:space="preserve"> </w:t>
      </w:r>
      <w:r w:rsidRPr="0058643D">
        <w:t>accordance</w:t>
      </w:r>
      <w:r w:rsidRPr="0058643D">
        <w:rPr>
          <w:spacing w:val="-2"/>
        </w:rPr>
        <w:t xml:space="preserve"> </w:t>
      </w:r>
      <w:r w:rsidRPr="0058643D">
        <w:t>with Resolution </w:t>
      </w:r>
      <w:r w:rsidRPr="0058643D">
        <w:rPr>
          <w:b/>
        </w:rPr>
        <w:t>773 (WRC</w:t>
      </w:r>
      <w:r w:rsidRPr="0058643D">
        <w:rPr>
          <w:b/>
        </w:rPr>
        <w:noBreakHyphen/>
        <w:t>19)</w:t>
      </w:r>
      <w:r w:rsidRPr="0058643D">
        <w:t xml:space="preserve">, the appropriate regulatory actions for the provision of inter-satellite links in specific frequency bands, or portions thereof, by adding an inter-satellite service allocation where </w:t>
      </w:r>
      <w:proofErr w:type="gramStart"/>
      <w:r w:rsidRPr="0058643D">
        <w:t>appropriate;</w:t>
      </w:r>
      <w:proofErr w:type="gramEnd"/>
    </w:p>
    <w:p w14:paraId="24FE2F7A" w14:textId="0C4A3181" w:rsidR="00491AB2" w:rsidRPr="0058643D" w:rsidRDefault="00491AB2" w:rsidP="00491AB2">
      <w:pPr>
        <w:pStyle w:val="Headingb"/>
        <w:rPr>
          <w:lang w:val="en-GB"/>
        </w:rPr>
      </w:pPr>
      <w:r w:rsidRPr="0058643D">
        <w:rPr>
          <w:lang w:val="en-GB"/>
        </w:rPr>
        <w:t>Introduction</w:t>
      </w:r>
    </w:p>
    <w:p w14:paraId="1559E23B" w14:textId="45FEB996" w:rsidR="00491AB2" w:rsidRPr="0058643D" w:rsidRDefault="00491AB2" w:rsidP="00724A07">
      <w:pPr>
        <w:rPr>
          <w:snapToGrid w:val="0"/>
        </w:rPr>
      </w:pPr>
      <w:r w:rsidRPr="0058643D">
        <w:rPr>
          <w:snapToGrid w:val="0"/>
        </w:rPr>
        <w:t>The RCC Administrations are of the view that the use of satellite</w:t>
      </w:r>
      <w:r w:rsidRPr="0058643D">
        <w:rPr>
          <w:rFonts w:ascii="Cambria Math" w:hAnsi="Cambria Math" w:cs="Cambria Math"/>
          <w:snapToGrid w:val="0"/>
        </w:rPr>
        <w:t>‐</w:t>
      </w:r>
      <w:r w:rsidRPr="0058643D">
        <w:rPr>
          <w:snapToGrid w:val="0"/>
        </w:rPr>
        <w:t>to</w:t>
      </w:r>
      <w:r w:rsidRPr="0058643D">
        <w:rPr>
          <w:rFonts w:ascii="Cambria Math" w:hAnsi="Cambria Math" w:cs="Cambria Math"/>
          <w:snapToGrid w:val="0"/>
        </w:rPr>
        <w:t>‐</w:t>
      </w:r>
      <w:r w:rsidRPr="0058643D">
        <w:rPr>
          <w:snapToGrid w:val="0"/>
        </w:rPr>
        <w:t xml:space="preserve">satellite links in the frequency bands 11.7-12.7 GHz, 18.1-18.6 GHz, 18.8-20.2 </w:t>
      </w:r>
      <w:proofErr w:type="gramStart"/>
      <w:r w:rsidRPr="0058643D">
        <w:rPr>
          <w:snapToGrid w:val="0"/>
        </w:rPr>
        <w:t>GHz</w:t>
      </w:r>
      <w:proofErr w:type="gramEnd"/>
      <w:r w:rsidRPr="0058643D">
        <w:rPr>
          <w:snapToGrid w:val="0"/>
        </w:rPr>
        <w:t xml:space="preserve"> and 27.5-30 GHz, </w:t>
      </w:r>
      <w:r w:rsidR="009E404A" w:rsidRPr="0058643D">
        <w:rPr>
          <w:snapToGrid w:val="0"/>
        </w:rPr>
        <w:t>as currently conceived</w:t>
      </w:r>
      <w:r w:rsidRPr="0058643D">
        <w:rPr>
          <w:snapToGrid w:val="0"/>
        </w:rPr>
        <w:t xml:space="preserve">, does not correspond to the FSS definition and imposes additional </w:t>
      </w:r>
      <w:r w:rsidR="00B64F9C" w:rsidRPr="0058643D">
        <w:rPr>
          <w:snapToGrid w:val="0"/>
        </w:rPr>
        <w:t>constraints</w:t>
      </w:r>
      <w:r w:rsidRPr="0058643D">
        <w:rPr>
          <w:snapToGrid w:val="0"/>
        </w:rPr>
        <w:t xml:space="preserve"> on the use of existing and future FSS </w:t>
      </w:r>
      <w:r w:rsidR="00B95CF8" w:rsidRPr="0058643D">
        <w:rPr>
          <w:snapToGrid w:val="0"/>
        </w:rPr>
        <w:t xml:space="preserve">satellite </w:t>
      </w:r>
      <w:r w:rsidRPr="0058643D">
        <w:rPr>
          <w:snapToGrid w:val="0"/>
        </w:rPr>
        <w:t xml:space="preserve">systems/networks, including </w:t>
      </w:r>
      <w:r w:rsidR="00B64F9C" w:rsidRPr="0058643D">
        <w:rPr>
          <w:snapToGrid w:val="0"/>
        </w:rPr>
        <w:t>with</w:t>
      </w:r>
      <w:r w:rsidRPr="0058643D">
        <w:rPr>
          <w:snapToGrid w:val="0"/>
        </w:rPr>
        <w:t>in national territories.</w:t>
      </w:r>
    </w:p>
    <w:p w14:paraId="70E11BFF" w14:textId="59FD996D" w:rsidR="005970DD" w:rsidRPr="0058643D" w:rsidRDefault="005970DD" w:rsidP="00724A07">
      <w:pPr>
        <w:rPr>
          <w:snapToGrid w:val="0"/>
        </w:rPr>
      </w:pPr>
      <w:r w:rsidRPr="0058643D">
        <w:rPr>
          <w:snapToGrid w:val="0"/>
        </w:rPr>
        <w:t xml:space="preserve">The RCC Administrations support not making </w:t>
      </w:r>
      <w:r w:rsidR="00B95CF8" w:rsidRPr="0058643D">
        <w:rPr>
          <w:snapToGrid w:val="0"/>
        </w:rPr>
        <w:t>changes</w:t>
      </w:r>
      <w:r w:rsidRPr="0058643D">
        <w:rPr>
          <w:snapToGrid w:val="0"/>
        </w:rPr>
        <w:t xml:space="preserve"> to the ITU Radio Regulations with respect to the frequency band 11.7-12.7 GHz.</w:t>
      </w:r>
    </w:p>
    <w:p w14:paraId="3E9DB846" w14:textId="37137E8D" w:rsidR="005970DD" w:rsidRPr="0058643D" w:rsidRDefault="005970DD" w:rsidP="00724A07">
      <w:pPr>
        <w:rPr>
          <w:snapToGrid w:val="0"/>
        </w:rPr>
      </w:pPr>
      <w:r w:rsidRPr="0058643D">
        <w:rPr>
          <w:snapToGrid w:val="0"/>
        </w:rPr>
        <w:t xml:space="preserve">The RCC Administrations consider that the conditions for using satellite-to-satellite links in the above frequency bands must ensure protection for existing primary services with allocations in the same or adjacent frequency bands, including passive services, and must not </w:t>
      </w:r>
      <w:r w:rsidR="00B64F9C" w:rsidRPr="0058643D">
        <w:rPr>
          <w:snapToGrid w:val="0"/>
        </w:rPr>
        <w:t>impose</w:t>
      </w:r>
      <w:r w:rsidRPr="0058643D">
        <w:rPr>
          <w:snapToGrid w:val="0"/>
        </w:rPr>
        <w:t xml:space="preserve"> additional </w:t>
      </w:r>
      <w:r w:rsidR="00B64F9C" w:rsidRPr="0058643D">
        <w:rPr>
          <w:snapToGrid w:val="0"/>
        </w:rPr>
        <w:t>constraints</w:t>
      </w:r>
      <w:r w:rsidRPr="0058643D">
        <w:rPr>
          <w:snapToGrid w:val="0"/>
        </w:rPr>
        <w:t xml:space="preserve"> on the use of existing or future systems of these services.</w:t>
      </w:r>
    </w:p>
    <w:p w14:paraId="05843268" w14:textId="7F049D29" w:rsidR="00491AB2" w:rsidRPr="0058643D" w:rsidRDefault="00491AB2" w:rsidP="00724A07">
      <w:pPr>
        <w:rPr>
          <w:snapToGrid w:val="0"/>
        </w:rPr>
      </w:pPr>
      <w:r w:rsidRPr="0058643D">
        <w:rPr>
          <w:lang w:eastAsia="zh-CN"/>
        </w:rPr>
        <w:t xml:space="preserve">The RCC </w:t>
      </w:r>
      <w:r w:rsidRPr="0058643D">
        <w:rPr>
          <w:snapToGrid w:val="0"/>
        </w:rPr>
        <w:t xml:space="preserve">Administrations support the technical and operational conditions, as well as regulatory provisions, including new allocations to the inter-satellite service (ISS), for </w:t>
      </w:r>
      <w:r w:rsidR="00B64F9C" w:rsidRPr="0058643D">
        <w:rPr>
          <w:snapToGrid w:val="0"/>
        </w:rPr>
        <w:t xml:space="preserve">the </w:t>
      </w:r>
      <w:r w:rsidRPr="0058643D">
        <w:rPr>
          <w:snapToGrid w:val="0"/>
        </w:rPr>
        <w:t xml:space="preserve">operation of satellite-to-satellite links in the frequency bands 18.1-18.6 GHz, 18.8-20.2 GHz and 27.5-30 GHz, or </w:t>
      </w:r>
      <w:r w:rsidR="005970DD" w:rsidRPr="0058643D">
        <w:rPr>
          <w:snapToGrid w:val="0"/>
        </w:rPr>
        <w:t>portions</w:t>
      </w:r>
      <w:r w:rsidRPr="0058643D">
        <w:rPr>
          <w:snapToGrid w:val="0"/>
        </w:rPr>
        <w:t xml:space="preserve"> thereof, </w:t>
      </w:r>
      <w:proofErr w:type="gramStart"/>
      <w:r w:rsidRPr="0058643D">
        <w:rPr>
          <w:snapToGrid w:val="0"/>
        </w:rPr>
        <w:t>taking into account</w:t>
      </w:r>
      <w:proofErr w:type="gramEnd"/>
      <w:r w:rsidRPr="0058643D">
        <w:rPr>
          <w:snapToGrid w:val="0"/>
        </w:rPr>
        <w:t xml:space="preserve"> the</w:t>
      </w:r>
      <w:r w:rsidR="005970DD" w:rsidRPr="0058643D">
        <w:rPr>
          <w:snapToGrid w:val="0"/>
        </w:rPr>
        <w:t xml:space="preserve"> results of studies, including a</w:t>
      </w:r>
      <w:r w:rsidR="00B64F9C" w:rsidRPr="0058643D">
        <w:rPr>
          <w:snapToGrid w:val="0"/>
        </w:rPr>
        <w:t xml:space="preserve"> concept of</w:t>
      </w:r>
      <w:r w:rsidRPr="0058643D">
        <w:rPr>
          <w:snapToGrid w:val="0"/>
        </w:rPr>
        <w:t xml:space="preserve"> operation </w:t>
      </w:r>
      <w:r w:rsidR="00B95CF8" w:rsidRPr="0058643D">
        <w:rPr>
          <w:snapToGrid w:val="0"/>
        </w:rPr>
        <w:t>satisfying</w:t>
      </w:r>
      <w:r w:rsidRPr="0058643D">
        <w:rPr>
          <w:snapToGrid w:val="0"/>
        </w:rPr>
        <w:t xml:space="preserve"> the above requirements.</w:t>
      </w:r>
    </w:p>
    <w:p w14:paraId="2B4A8612" w14:textId="12F2C80F" w:rsidR="005970DD" w:rsidRPr="0058643D" w:rsidRDefault="005970DD" w:rsidP="00724A07">
      <w:pPr>
        <w:rPr>
          <w:snapToGrid w:val="0"/>
        </w:rPr>
      </w:pPr>
      <w:r w:rsidRPr="0058643D">
        <w:rPr>
          <w:snapToGrid w:val="0"/>
        </w:rPr>
        <w:t xml:space="preserve">The RCC Administrations are </w:t>
      </w:r>
      <w:r w:rsidR="00B64F9C" w:rsidRPr="0058643D">
        <w:rPr>
          <w:snapToGrid w:val="0"/>
        </w:rPr>
        <w:t>considering</w:t>
      </w:r>
      <w:r w:rsidRPr="0058643D">
        <w:rPr>
          <w:snapToGrid w:val="0"/>
        </w:rPr>
        <w:t xml:space="preserve"> </w:t>
      </w:r>
      <w:r w:rsidR="00A473B8">
        <w:rPr>
          <w:snapToGrid w:val="0"/>
        </w:rPr>
        <w:t>M</w:t>
      </w:r>
      <w:r w:rsidRPr="0058643D">
        <w:rPr>
          <w:snapToGrid w:val="0"/>
        </w:rPr>
        <w:t xml:space="preserve">ethod A </w:t>
      </w:r>
      <w:r w:rsidR="00B64F9C" w:rsidRPr="0058643D">
        <w:rPr>
          <w:snapToGrid w:val="0"/>
        </w:rPr>
        <w:t xml:space="preserve">in the CPM Report, </w:t>
      </w:r>
      <w:proofErr w:type="gramStart"/>
      <w:r w:rsidRPr="0058643D">
        <w:rPr>
          <w:snapToGrid w:val="0"/>
        </w:rPr>
        <w:t>and</w:t>
      </w:r>
      <w:r w:rsidR="00B64F9C" w:rsidRPr="0058643D">
        <w:rPr>
          <w:snapToGrid w:val="0"/>
        </w:rPr>
        <w:t xml:space="preserve"> also</w:t>
      </w:r>
      <w:proofErr w:type="gramEnd"/>
      <w:r w:rsidRPr="0058643D">
        <w:rPr>
          <w:snapToGrid w:val="0"/>
        </w:rPr>
        <w:t xml:space="preserve"> </w:t>
      </w:r>
      <w:r w:rsidR="00A473B8">
        <w:rPr>
          <w:snapToGrid w:val="0"/>
        </w:rPr>
        <w:t>M</w:t>
      </w:r>
      <w:r w:rsidRPr="0058643D">
        <w:rPr>
          <w:snapToGrid w:val="0"/>
        </w:rPr>
        <w:t xml:space="preserve">ethod B </w:t>
      </w:r>
      <w:r w:rsidR="00E824C7" w:rsidRPr="0058643D">
        <w:rPr>
          <w:snapToGrid w:val="0"/>
        </w:rPr>
        <w:t>if the following conditions are met:</w:t>
      </w:r>
    </w:p>
    <w:p w14:paraId="07A392AB" w14:textId="1262E420" w:rsidR="00E824C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t>•</w:t>
      </w:r>
      <w:r w:rsidRPr="0058643D">
        <w:rPr>
          <w:rFonts w:eastAsia="Calibri"/>
        </w:rPr>
        <w:tab/>
        <w:t xml:space="preserve">the use of satellite-to-satellite links is possible only within the framework of the new allocation to the </w:t>
      </w:r>
      <w:proofErr w:type="gramStart"/>
      <w:r w:rsidRPr="0058643D">
        <w:rPr>
          <w:rFonts w:eastAsia="Calibri"/>
        </w:rPr>
        <w:t>ISS</w:t>
      </w:r>
      <w:r w:rsidRPr="0058643D">
        <w:t>;</w:t>
      </w:r>
      <w:proofErr w:type="gramEnd"/>
    </w:p>
    <w:p w14:paraId="293E5F19" w14:textId="09C9ED9B" w:rsidR="00E824C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lastRenderedPageBreak/>
        <w:t>•</w:t>
      </w:r>
      <w:r w:rsidRPr="0058643D">
        <w:rPr>
          <w:rFonts w:eastAsia="Calibri"/>
        </w:rPr>
        <w:tab/>
        <w:t xml:space="preserve">the use of satellite-to-satellite links is possible only </w:t>
      </w:r>
      <w:r w:rsidR="00B64F9C" w:rsidRPr="0058643D">
        <w:rPr>
          <w:rFonts w:eastAsia="Calibri"/>
        </w:rPr>
        <w:t>on the provis</w:t>
      </w:r>
      <w:r w:rsidR="000052A0">
        <w:rPr>
          <w:rFonts w:eastAsia="Calibri"/>
        </w:rPr>
        <w:t>i</w:t>
      </w:r>
      <w:r w:rsidR="00B64F9C" w:rsidRPr="0058643D">
        <w:rPr>
          <w:rFonts w:eastAsia="Calibri"/>
        </w:rPr>
        <w:t>o</w:t>
      </w:r>
      <w:r w:rsidR="000052A0">
        <w:rPr>
          <w:rFonts w:eastAsia="Calibri"/>
        </w:rPr>
        <w:t>n</w:t>
      </w:r>
      <w:r w:rsidR="00B64F9C" w:rsidRPr="0058643D">
        <w:rPr>
          <w:rFonts w:eastAsia="Calibri"/>
        </w:rPr>
        <w:t xml:space="preserve"> that there is compulsory</w:t>
      </w:r>
      <w:r w:rsidRPr="0058643D">
        <w:rPr>
          <w:rFonts w:eastAsia="Calibri"/>
        </w:rPr>
        <w:t xml:space="preserve"> coordination within the framework of</w:t>
      </w:r>
      <w:r w:rsidR="00B64F9C" w:rsidRPr="0058643D">
        <w:rPr>
          <w:rFonts w:eastAsia="Calibri"/>
        </w:rPr>
        <w:t xml:space="preserve"> the new</w:t>
      </w:r>
      <w:r w:rsidRPr="0058643D">
        <w:rPr>
          <w:rFonts w:eastAsia="Calibri"/>
        </w:rPr>
        <w:t xml:space="preserve"> ISS allocation</w:t>
      </w:r>
      <w:r w:rsidR="00B64F9C" w:rsidRPr="0058643D">
        <w:rPr>
          <w:rFonts w:eastAsia="Calibri"/>
        </w:rPr>
        <w:t>,</w:t>
      </w:r>
      <w:r w:rsidRPr="0058643D">
        <w:rPr>
          <w:rFonts w:eastAsia="Calibri"/>
        </w:rPr>
        <w:t xml:space="preserve"> in accordance with </w:t>
      </w:r>
      <w:r w:rsidR="000052A0">
        <w:rPr>
          <w:rFonts w:eastAsia="Calibri"/>
        </w:rPr>
        <w:t xml:space="preserve">RR </w:t>
      </w:r>
      <w:r w:rsidRPr="0058643D">
        <w:rPr>
          <w:rFonts w:eastAsia="Calibri"/>
        </w:rPr>
        <w:t>No. </w:t>
      </w:r>
      <w:r w:rsidRPr="0058643D">
        <w:rPr>
          <w:rFonts w:eastAsia="Calibri"/>
          <w:b/>
          <w:bCs/>
        </w:rPr>
        <w:t>9.11</w:t>
      </w:r>
      <w:proofErr w:type="gramStart"/>
      <w:r w:rsidRPr="0058643D">
        <w:rPr>
          <w:rFonts w:eastAsia="Calibri"/>
          <w:b/>
          <w:bCs/>
        </w:rPr>
        <w:t>А</w:t>
      </w:r>
      <w:r w:rsidRPr="0058643D">
        <w:rPr>
          <w:rFonts w:eastAsia="Calibri"/>
        </w:rPr>
        <w:t>;</w:t>
      </w:r>
      <w:proofErr w:type="gramEnd"/>
    </w:p>
    <w:p w14:paraId="58D305AB" w14:textId="29CB1C88" w:rsidR="00E824C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t>•</w:t>
      </w:r>
      <w:r w:rsidRPr="0058643D">
        <w:rPr>
          <w:rFonts w:eastAsia="Calibri"/>
        </w:rPr>
        <w:tab/>
        <w:t xml:space="preserve">the use of satellite-to-satellite links within the framework of the new ISS allocation must not </w:t>
      </w:r>
      <w:r w:rsidR="00B64F9C" w:rsidRPr="0058643D">
        <w:rPr>
          <w:rFonts w:eastAsia="Calibri"/>
        </w:rPr>
        <w:t>claim</w:t>
      </w:r>
      <w:r w:rsidRPr="0058643D">
        <w:rPr>
          <w:rFonts w:eastAsia="Calibri"/>
        </w:rPr>
        <w:t xml:space="preserve"> protection or create unacceptable interference for FSS </w:t>
      </w:r>
      <w:proofErr w:type="gramStart"/>
      <w:r w:rsidRPr="0058643D">
        <w:rPr>
          <w:rFonts w:eastAsia="Calibri"/>
        </w:rPr>
        <w:t>systems;</w:t>
      </w:r>
      <w:proofErr w:type="gramEnd"/>
    </w:p>
    <w:p w14:paraId="328D44D1" w14:textId="7664C132" w:rsidR="00E824C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t>•</w:t>
      </w:r>
      <w:r w:rsidRPr="0058643D">
        <w:rPr>
          <w:rFonts w:eastAsia="Calibri"/>
        </w:rPr>
        <w:tab/>
        <w:t>Administrations must be given the opportunity to exclude their territor</w:t>
      </w:r>
      <w:r w:rsidR="00B95CF8" w:rsidRPr="0058643D">
        <w:rPr>
          <w:rFonts w:eastAsia="Calibri"/>
        </w:rPr>
        <w:t>y</w:t>
      </w:r>
      <w:r w:rsidRPr="0058643D">
        <w:rPr>
          <w:rFonts w:eastAsia="Calibri"/>
        </w:rPr>
        <w:t xml:space="preserve"> from the </w:t>
      </w:r>
      <w:r w:rsidR="00B95CF8" w:rsidRPr="0058643D">
        <w:rPr>
          <w:rFonts w:eastAsia="Calibri"/>
        </w:rPr>
        <w:t>service</w:t>
      </w:r>
      <w:r w:rsidRPr="0058643D">
        <w:rPr>
          <w:rFonts w:eastAsia="Calibri"/>
        </w:rPr>
        <w:t xml:space="preserve"> area of a</w:t>
      </w:r>
      <w:r w:rsidR="00B64F9C" w:rsidRPr="0058643D">
        <w:rPr>
          <w:rFonts w:eastAsia="Calibri"/>
        </w:rPr>
        <w:t>ny</w:t>
      </w:r>
      <w:r w:rsidRPr="0058643D">
        <w:rPr>
          <w:rFonts w:eastAsia="Calibri"/>
        </w:rPr>
        <w:t xml:space="preserve"> system using satellite-to-satellite links within the framework of the new ISS </w:t>
      </w:r>
      <w:proofErr w:type="gramStart"/>
      <w:r w:rsidRPr="0058643D">
        <w:rPr>
          <w:rFonts w:eastAsia="Calibri"/>
        </w:rPr>
        <w:t>allocation;</w:t>
      </w:r>
      <w:proofErr w:type="gramEnd"/>
    </w:p>
    <w:p w14:paraId="7095DBA4" w14:textId="76BDB447" w:rsidR="00E824C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t>•</w:t>
      </w:r>
      <w:r w:rsidRPr="0058643D">
        <w:rPr>
          <w:rFonts w:eastAsia="Calibri"/>
        </w:rPr>
        <w:tab/>
      </w:r>
      <w:r w:rsidR="00B95CF8" w:rsidRPr="0058643D">
        <w:rPr>
          <w:rFonts w:eastAsia="Calibri"/>
        </w:rPr>
        <w:t xml:space="preserve">definition of </w:t>
      </w:r>
      <w:r w:rsidRPr="0058643D">
        <w:rPr>
          <w:rFonts w:eastAsia="Calibri"/>
        </w:rPr>
        <w:t xml:space="preserve">roles and mechanisms for the Network Control and Monitoring Centre (NCMC) in relation to </w:t>
      </w:r>
      <w:r w:rsidR="00B95CF8" w:rsidRPr="0058643D">
        <w:rPr>
          <w:rFonts w:eastAsia="Calibri"/>
        </w:rPr>
        <w:t>inter</w:t>
      </w:r>
      <w:r w:rsidRPr="0058643D">
        <w:rPr>
          <w:rFonts w:eastAsia="Calibri"/>
        </w:rPr>
        <w:t xml:space="preserve">-satellite </w:t>
      </w:r>
      <w:proofErr w:type="gramStart"/>
      <w:r w:rsidRPr="0058643D">
        <w:rPr>
          <w:rFonts w:eastAsia="Calibri"/>
        </w:rPr>
        <w:t>links;</w:t>
      </w:r>
      <w:proofErr w:type="gramEnd"/>
    </w:p>
    <w:p w14:paraId="69C377AA" w14:textId="12696E78" w:rsidR="00724A07" w:rsidRPr="0058643D" w:rsidRDefault="00E824C7" w:rsidP="00E824C7">
      <w:pPr>
        <w:pStyle w:val="enumlev1"/>
        <w:rPr>
          <w:rFonts w:eastAsia="Calibri"/>
        </w:rPr>
      </w:pPr>
      <w:r w:rsidRPr="0058643D">
        <w:rPr>
          <w:rFonts w:eastAsia="Calibri"/>
        </w:rPr>
        <w:t>•</w:t>
      </w:r>
      <w:r w:rsidRPr="0058643D">
        <w:rPr>
          <w:rFonts w:eastAsia="Calibri"/>
        </w:rPr>
        <w:tab/>
        <w:t xml:space="preserve">the use of satellite-to-satellite links within the framework of the new ISS allocation is permitted only </w:t>
      </w:r>
      <w:r w:rsidR="00B95CF8" w:rsidRPr="0058643D">
        <w:rPr>
          <w:rFonts w:eastAsia="Calibri"/>
        </w:rPr>
        <w:t>in the context</w:t>
      </w:r>
      <w:r w:rsidRPr="0058643D">
        <w:rPr>
          <w:rFonts w:eastAsia="Calibri"/>
        </w:rPr>
        <w:t xml:space="preserve"> of the “within the cone” concept.</w:t>
      </w:r>
    </w:p>
    <w:p w14:paraId="3897BEB3" w14:textId="73CE3282" w:rsidR="00491AB2" w:rsidRPr="0058643D" w:rsidRDefault="00491AB2" w:rsidP="00491AB2">
      <w:pPr>
        <w:pStyle w:val="Headingb"/>
        <w:rPr>
          <w:rFonts w:ascii="Times New Roman" w:hAnsi="Times New Roman" w:cs="Times New Roman"/>
          <w:snapToGrid w:val="0"/>
          <w:lang w:val="en-GB"/>
        </w:rPr>
      </w:pPr>
      <w:r w:rsidRPr="0058643D">
        <w:rPr>
          <w:snapToGrid w:val="0"/>
          <w:lang w:val="en-GB"/>
        </w:rPr>
        <w:t>Proposals</w:t>
      </w:r>
    </w:p>
    <w:p w14:paraId="555CD6D6" w14:textId="3B8E6A57" w:rsidR="00491AB2" w:rsidRPr="0058643D" w:rsidRDefault="00491AB2" w:rsidP="00EB54B2"/>
    <w:p w14:paraId="288EB9CA" w14:textId="77777777" w:rsidR="00187BD9" w:rsidRPr="0058643D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8643D">
        <w:br w:type="page"/>
      </w:r>
    </w:p>
    <w:p w14:paraId="067A440B" w14:textId="77777777" w:rsidR="005C2E80" w:rsidRPr="0058643D" w:rsidRDefault="00491AB2">
      <w:pPr>
        <w:pStyle w:val="Proposal"/>
      </w:pPr>
      <w:r w:rsidRPr="0058643D">
        <w:rPr>
          <w:u w:val="single"/>
        </w:rPr>
        <w:lastRenderedPageBreak/>
        <w:t>NOC</w:t>
      </w:r>
      <w:r w:rsidRPr="0058643D">
        <w:tab/>
        <w:t>RCC/85A17/1</w:t>
      </w:r>
    </w:p>
    <w:p w14:paraId="1B90FC51" w14:textId="77777777" w:rsidR="00724A07" w:rsidRPr="0058643D" w:rsidRDefault="00491AB2" w:rsidP="005410BF">
      <w:pPr>
        <w:pStyle w:val="Volumetitle"/>
      </w:pPr>
      <w:bookmarkStart w:id="7" w:name="_Toc451865278"/>
      <w:bookmarkStart w:id="8" w:name="_Toc42842370"/>
      <w:r w:rsidRPr="0058643D">
        <w:t>ARTICLES</w:t>
      </w:r>
      <w:bookmarkEnd w:id="7"/>
      <w:bookmarkEnd w:id="8"/>
    </w:p>
    <w:p w14:paraId="242C6A3F" w14:textId="05669D26" w:rsidR="005C2E80" w:rsidRPr="0058643D" w:rsidRDefault="005C2E80">
      <w:pPr>
        <w:pStyle w:val="Reasons"/>
      </w:pPr>
    </w:p>
    <w:p w14:paraId="56F4BCEA" w14:textId="77777777" w:rsidR="005C2E80" w:rsidRPr="0058643D" w:rsidRDefault="00491AB2">
      <w:pPr>
        <w:pStyle w:val="Proposal"/>
      </w:pPr>
      <w:r w:rsidRPr="0058643D">
        <w:rPr>
          <w:u w:val="single"/>
        </w:rPr>
        <w:t>NOC</w:t>
      </w:r>
      <w:r w:rsidRPr="0058643D">
        <w:tab/>
        <w:t>RCC/85A17/2</w:t>
      </w:r>
    </w:p>
    <w:p w14:paraId="06004889" w14:textId="77777777" w:rsidR="00724A07" w:rsidRPr="0058643D" w:rsidRDefault="00491AB2" w:rsidP="008A5CB3">
      <w:pPr>
        <w:pStyle w:val="Volumetitle"/>
      </w:pPr>
      <w:r w:rsidRPr="0058643D">
        <w:t>APPENDICES</w:t>
      </w:r>
    </w:p>
    <w:p w14:paraId="53EB55FB" w14:textId="4CA75C13" w:rsidR="005C2E80" w:rsidRPr="0058643D" w:rsidRDefault="005C2E80">
      <w:pPr>
        <w:pStyle w:val="Reasons"/>
      </w:pPr>
    </w:p>
    <w:p w14:paraId="064E7074" w14:textId="77777777" w:rsidR="005C2E80" w:rsidRPr="0058643D" w:rsidRDefault="00491AB2">
      <w:pPr>
        <w:pStyle w:val="Proposal"/>
      </w:pPr>
      <w:r w:rsidRPr="0058643D">
        <w:t>SUP</w:t>
      </w:r>
      <w:r w:rsidRPr="0058643D">
        <w:tab/>
        <w:t>RCC/85A17/3</w:t>
      </w:r>
    </w:p>
    <w:p w14:paraId="0A3CC5B2" w14:textId="77777777" w:rsidR="00724A07" w:rsidRPr="0058643D" w:rsidRDefault="00491AB2" w:rsidP="009771DC">
      <w:pPr>
        <w:pStyle w:val="ResNo"/>
      </w:pPr>
      <w:bookmarkStart w:id="9" w:name="_Toc39649627"/>
      <w:r w:rsidRPr="0058643D">
        <w:t xml:space="preserve">RESOLUTION </w:t>
      </w:r>
      <w:r w:rsidRPr="0058643D">
        <w:rPr>
          <w:rStyle w:val="href"/>
        </w:rPr>
        <w:t>773</w:t>
      </w:r>
      <w:r w:rsidRPr="0058643D">
        <w:t xml:space="preserve"> (WRC</w:t>
      </w:r>
      <w:r w:rsidRPr="0058643D">
        <w:noBreakHyphen/>
        <w:t>19)</w:t>
      </w:r>
      <w:bookmarkEnd w:id="9"/>
    </w:p>
    <w:p w14:paraId="3299C5D2" w14:textId="1A0C58D2" w:rsidR="00724A07" w:rsidRPr="0058643D" w:rsidRDefault="00491AB2" w:rsidP="00491AB2">
      <w:pPr>
        <w:pStyle w:val="Restitle"/>
      </w:pPr>
      <w:bookmarkStart w:id="10" w:name="_Toc35789432"/>
      <w:bookmarkStart w:id="11" w:name="_Toc35857129"/>
      <w:bookmarkStart w:id="12" w:name="_Toc35877764"/>
      <w:bookmarkStart w:id="13" w:name="_Toc35963707"/>
      <w:bookmarkStart w:id="14" w:name="_Toc39649628"/>
      <w:r w:rsidRPr="0058643D">
        <w:t xml:space="preserve">Study of technical and operational issues and regulatory provisions for </w:t>
      </w:r>
      <w:r w:rsidRPr="0058643D">
        <w:br/>
        <w:t xml:space="preserve">satellite-to-satellite links in the frequency bands 11.7-12.7 GHz, </w:t>
      </w:r>
      <w:r w:rsidRPr="0058643D">
        <w:br/>
        <w:t>18.1-18.6 GHz, 18.8</w:t>
      </w:r>
      <w:r w:rsidRPr="0058643D">
        <w:noBreakHyphen/>
        <w:t>20.2 GHz and 27.5-30 GHz</w:t>
      </w:r>
      <w:bookmarkEnd w:id="10"/>
      <w:bookmarkEnd w:id="11"/>
      <w:bookmarkEnd w:id="12"/>
      <w:bookmarkEnd w:id="13"/>
      <w:bookmarkEnd w:id="14"/>
    </w:p>
    <w:p w14:paraId="5046D7E3" w14:textId="4B841141" w:rsidR="005C2E80" w:rsidRPr="0058643D" w:rsidRDefault="005C2E80">
      <w:pPr>
        <w:pStyle w:val="Reasons"/>
      </w:pPr>
    </w:p>
    <w:p w14:paraId="478281BC" w14:textId="77777777" w:rsidR="00724A07" w:rsidRPr="0058643D" w:rsidRDefault="00724A07" w:rsidP="00724A07"/>
    <w:p w14:paraId="4D386B65" w14:textId="033F4334" w:rsidR="00724A07" w:rsidRPr="0058643D" w:rsidRDefault="00724A07" w:rsidP="00724A07">
      <w:pPr>
        <w:jc w:val="center"/>
      </w:pPr>
      <w:r w:rsidRPr="0058643D">
        <w:t>________________</w:t>
      </w:r>
    </w:p>
    <w:sectPr w:rsidR="00724A07" w:rsidRPr="0058643D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1B77D" w14:textId="77777777" w:rsidR="00717580" w:rsidRDefault="00717580">
      <w:r>
        <w:separator/>
      </w:r>
    </w:p>
  </w:endnote>
  <w:endnote w:type="continuationSeparator" w:id="0">
    <w:p w14:paraId="7A6351B1" w14:textId="77777777" w:rsidR="00717580" w:rsidRDefault="0071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E83C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52C1B25" w14:textId="5D4FF88E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64F9C">
      <w:rPr>
        <w:noProof/>
        <w:lang w:val="en-US"/>
      </w:rPr>
      <w:t>M:\ENGSECT\TRANSLATORS - REFERENCE MATERIAL\ARCHIVE\WRC\WRC-23\Contributions\Russian\RCC\529884 085 ADD 17\085ADD17E.docx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73B8">
      <w:rPr>
        <w:noProof/>
      </w:rPr>
      <w:t>31.10.23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4F9C">
      <w:rPr>
        <w:noProof/>
      </w:rPr>
      <w:t>31.10.23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E969" w14:textId="78FF3B7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E7FC8">
      <w:rPr>
        <w:lang w:val="en-US"/>
      </w:rPr>
      <w:t>P:\ENG\ITU-R\CONF-R\CMR23\000\085ADD17E.docx</w:t>
    </w:r>
    <w:r>
      <w:fldChar w:fldCharType="end"/>
    </w:r>
    <w:r w:rsidR="00491AB2">
      <w:t xml:space="preserve"> (529884)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FB2C" w14:textId="2C6FD26E" w:rsidR="00491AB2" w:rsidRDefault="002D6323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E7FC8">
      <w:t>P:\ENG\ITU-R\CONF-R\CMR23\000\085ADD17E.docx</w:t>
    </w:r>
    <w:r>
      <w:fldChar w:fldCharType="end"/>
    </w:r>
    <w:r w:rsidR="00491AB2">
      <w:t xml:space="preserve"> (529884)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6273" w14:textId="77777777" w:rsidR="00717580" w:rsidRDefault="00717580">
      <w:r>
        <w:rPr>
          <w:b/>
        </w:rPr>
        <w:t>_______________</w:t>
      </w:r>
    </w:p>
  </w:footnote>
  <w:footnote w:type="continuationSeparator" w:id="0">
    <w:p w14:paraId="3752F10A" w14:textId="77777777" w:rsidR="00717580" w:rsidRDefault="0071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B6E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60237D5C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5" w:name="OLE_LINK1"/>
    <w:bookmarkStart w:id="16" w:name="OLE_LINK2"/>
    <w:bookmarkStart w:id="17" w:name="OLE_LINK3"/>
    <w:r w:rsidR="00EB55C6">
      <w:t>85(Add.17)</w:t>
    </w:r>
    <w:bookmarkEnd w:id="15"/>
    <w:bookmarkEnd w:id="16"/>
    <w:bookmarkEnd w:id="17"/>
    <w:r w:rsidR="00187BD9">
      <w:t>-</w:t>
    </w:r>
    <w:proofErr w:type="gramStart"/>
    <w:r w:rsidR="004A26C4" w:rsidRPr="004A26C4">
      <w:t>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F86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B6C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06FF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10B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C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AF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E0C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A0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A2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3CE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92479317">
    <w:abstractNumId w:val="8"/>
  </w:num>
  <w:num w:numId="2" w16cid:durableId="143146635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2243609">
    <w:abstractNumId w:val="9"/>
  </w:num>
  <w:num w:numId="4" w16cid:durableId="1028992722">
    <w:abstractNumId w:val="7"/>
  </w:num>
  <w:num w:numId="5" w16cid:durableId="1091464094">
    <w:abstractNumId w:val="6"/>
  </w:num>
  <w:num w:numId="6" w16cid:durableId="1246265197">
    <w:abstractNumId w:val="5"/>
  </w:num>
  <w:num w:numId="7" w16cid:durableId="872575279">
    <w:abstractNumId w:val="4"/>
  </w:num>
  <w:num w:numId="8" w16cid:durableId="884564279">
    <w:abstractNumId w:val="3"/>
  </w:num>
  <w:num w:numId="9" w16cid:durableId="1361052494">
    <w:abstractNumId w:val="2"/>
  </w:num>
  <w:num w:numId="10" w16cid:durableId="1203708901">
    <w:abstractNumId w:val="1"/>
  </w:num>
  <w:num w:numId="11" w16cid:durableId="18862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052A0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D6323"/>
    <w:rsid w:val="002F4747"/>
    <w:rsid w:val="00302605"/>
    <w:rsid w:val="0031191C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6CA5"/>
    <w:rsid w:val="0041348E"/>
    <w:rsid w:val="00420873"/>
    <w:rsid w:val="00435CF8"/>
    <w:rsid w:val="00491AB2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8643D"/>
    <w:rsid w:val="005964AB"/>
    <w:rsid w:val="005970DD"/>
    <w:rsid w:val="005C099A"/>
    <w:rsid w:val="005C2E80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17580"/>
    <w:rsid w:val="00724A07"/>
    <w:rsid w:val="00733A30"/>
    <w:rsid w:val="00745AEE"/>
    <w:rsid w:val="00750F10"/>
    <w:rsid w:val="007742CA"/>
    <w:rsid w:val="00790D70"/>
    <w:rsid w:val="007A6F1F"/>
    <w:rsid w:val="007D5320"/>
    <w:rsid w:val="007F0925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E7FC8"/>
    <w:rsid w:val="00907B5A"/>
    <w:rsid w:val="009274B4"/>
    <w:rsid w:val="00934EA2"/>
    <w:rsid w:val="00944A5C"/>
    <w:rsid w:val="00952A66"/>
    <w:rsid w:val="009B1EA1"/>
    <w:rsid w:val="009B7C9A"/>
    <w:rsid w:val="009C56E5"/>
    <w:rsid w:val="009C7716"/>
    <w:rsid w:val="009E404A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473B8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64F9C"/>
    <w:rsid w:val="00B817CD"/>
    <w:rsid w:val="00B81A7D"/>
    <w:rsid w:val="00B91EF7"/>
    <w:rsid w:val="00B94AD0"/>
    <w:rsid w:val="00B95CF8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B58FA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824C7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76ACF"/>
    <w:rsid w:val="00F822B0"/>
    <w:rsid w:val="00FB681C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85E6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E824C7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A473B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R23-WRC23-C-0085!A17!MSW-E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E5AF-D227-4BBD-9C2A-E520F37DC888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CC2A0CDB-EB24-422B-8C03-3F64BC04EC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37044E-360B-47A9-802A-E08FA3B6B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17452-6A9B-4B11-A3F3-C2FDF7665A85}"/>
</file>

<file path=customXml/itemProps5.xml><?xml version="1.0" encoding="utf-8"?>
<ds:datastoreItem xmlns:ds="http://schemas.openxmlformats.org/officeDocument/2006/customXml" ds:itemID="{6538C6B8-0CD3-4C9E-8D35-D825DB7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R23-WRC23-C-0085!A17!MSW-E</vt:lpstr>
    </vt:vector>
  </TitlesOfParts>
  <Manager>General Secretariat - Pool</Manager>
  <Company>International Telecommunication Union (ITU)</Company>
  <LinksUpToDate>false</LinksUpToDate>
  <CharactersWithSpaces>3304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R23-WRC23-C-0085!A17!MSW-E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8</cp:revision>
  <cp:lastPrinted>2023-10-31T09:36:00Z</cp:lastPrinted>
  <dcterms:created xsi:type="dcterms:W3CDTF">2023-10-31T10:31:00Z</dcterms:created>
  <dcterms:modified xsi:type="dcterms:W3CDTF">2023-11-08T16:48:00Z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