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0"/>
        <w:gridCol w:w="989"/>
        <w:gridCol w:w="1983"/>
      </w:tblGrid>
      <w:tr w:rsidR="00752552" w:rsidRPr="006A708D" w14:paraId="035B3FB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3BC3AF9D" w14:textId="77777777" w:rsidR="00752552" w:rsidRPr="006A708D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6A708D">
              <w:rPr>
                <w:noProof/>
                <w:lang w:val="en-GB" w:bidi="ar-EG"/>
              </w:rPr>
              <w:drawing>
                <wp:inline distT="0" distB="0" distL="0" distR="0" wp14:anchorId="32ABFCE5" wp14:editId="0B11A833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D34DC7F" w14:textId="77777777" w:rsidR="00752552" w:rsidRPr="006A708D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6A708D">
              <w:rPr>
                <w:rtl/>
              </w:rPr>
              <w:t xml:space="preserve">المؤتمر العالمي للاتصالات الراديوية </w:t>
            </w:r>
            <w:r w:rsidRPr="006A708D">
              <w:t>(WRC-23)</w:t>
            </w:r>
          </w:p>
          <w:p w14:paraId="4FFBD265" w14:textId="77777777" w:rsidR="00752552" w:rsidRPr="006A708D" w:rsidRDefault="00752552" w:rsidP="00752552">
            <w:pPr>
              <w:rPr>
                <w:b/>
                <w:bCs/>
                <w:rtl/>
                <w:lang w:bidi="ar-EG"/>
              </w:rPr>
            </w:pPr>
            <w:r w:rsidRPr="006A708D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6A708D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6A708D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6A708D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6A708D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6A708D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AC359DE" w14:textId="77777777" w:rsidR="00752552" w:rsidRPr="006A708D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A708D">
              <w:rPr>
                <w:noProof/>
              </w:rPr>
              <w:drawing>
                <wp:inline distT="0" distB="0" distL="0" distR="0" wp14:anchorId="3F6E592F" wp14:editId="076043CF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6A708D" w14:paraId="7E3AA8E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EA80D72" w14:textId="77777777" w:rsidR="000D1EE4" w:rsidRPr="006A708D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018B091" w14:textId="77777777" w:rsidR="000D1EE4" w:rsidRPr="006A708D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6A708D" w14:paraId="1ECE7E7D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2B6F8ED9" w14:textId="77777777" w:rsidR="000D1EE4" w:rsidRPr="006A708D" w:rsidRDefault="000D1EE4" w:rsidP="007C4D86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1C7F352" w14:textId="77777777" w:rsidR="000D1EE4" w:rsidRPr="006A708D" w:rsidRDefault="000D1EE4" w:rsidP="007C4D86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D1EE4" w:rsidRPr="006A708D" w14:paraId="0C351EA2" w14:textId="77777777" w:rsidTr="00752552">
        <w:trPr>
          <w:cantSplit/>
        </w:trPr>
        <w:tc>
          <w:tcPr>
            <w:tcW w:w="6696" w:type="dxa"/>
            <w:gridSpan w:val="2"/>
          </w:tcPr>
          <w:p w14:paraId="72D731E3" w14:textId="77777777" w:rsidR="000D1EE4" w:rsidRPr="006A708D" w:rsidRDefault="00E50850" w:rsidP="006A708D">
            <w:pPr>
              <w:pStyle w:val="Committee"/>
              <w:bidi/>
              <w:rPr>
                <w:rtl/>
                <w:lang w:bidi="ar-EG"/>
              </w:rPr>
            </w:pPr>
            <w:r w:rsidRPr="006A708D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4A1BF4F" w14:textId="77777777" w:rsidR="000D1EE4" w:rsidRPr="006A708D" w:rsidRDefault="00E50850" w:rsidP="006A708D">
            <w:pPr>
              <w:jc w:val="left"/>
              <w:rPr>
                <w:b/>
                <w:bCs/>
                <w:rtl/>
                <w:lang w:bidi="ar-EG"/>
              </w:rPr>
            </w:pPr>
            <w:r w:rsidRPr="006A708D">
              <w:rPr>
                <w:rFonts w:eastAsia="SimSun"/>
                <w:b/>
                <w:bCs/>
                <w:rtl/>
                <w:lang w:bidi="ar-EG"/>
              </w:rPr>
              <w:t>الإضافة 17</w:t>
            </w:r>
            <w:r w:rsidRPr="006A708D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6A708D">
              <w:rPr>
                <w:rFonts w:eastAsia="SimSun"/>
                <w:b/>
                <w:bCs/>
              </w:rPr>
              <w:t>85-A</w:t>
            </w:r>
          </w:p>
        </w:tc>
      </w:tr>
      <w:tr w:rsidR="000D1EE4" w:rsidRPr="006A708D" w14:paraId="0556CB62" w14:textId="77777777" w:rsidTr="00752552">
        <w:trPr>
          <w:cantSplit/>
        </w:trPr>
        <w:tc>
          <w:tcPr>
            <w:tcW w:w="6696" w:type="dxa"/>
            <w:gridSpan w:val="2"/>
          </w:tcPr>
          <w:p w14:paraId="6CE4D3A9" w14:textId="77777777" w:rsidR="000D1EE4" w:rsidRPr="006A708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198FE0C" w14:textId="77777777" w:rsidR="000D1EE4" w:rsidRPr="006A708D" w:rsidRDefault="00E50850" w:rsidP="006A708D">
            <w:pPr>
              <w:jc w:val="left"/>
              <w:rPr>
                <w:b/>
                <w:bCs/>
                <w:rtl/>
                <w:lang w:bidi="ar-EG"/>
              </w:rPr>
            </w:pPr>
            <w:r w:rsidRPr="006A708D">
              <w:rPr>
                <w:rFonts w:eastAsia="SimSun"/>
                <w:b/>
                <w:bCs/>
              </w:rPr>
              <w:t>22</w:t>
            </w:r>
            <w:r w:rsidRPr="006A708D">
              <w:rPr>
                <w:rFonts w:eastAsia="SimSun"/>
                <w:b/>
                <w:bCs/>
                <w:rtl/>
              </w:rPr>
              <w:t xml:space="preserve"> أكتوبر </w:t>
            </w:r>
            <w:r w:rsidRPr="006A708D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6A708D" w14:paraId="46DF77DC" w14:textId="77777777" w:rsidTr="00752552">
        <w:trPr>
          <w:cantSplit/>
        </w:trPr>
        <w:tc>
          <w:tcPr>
            <w:tcW w:w="6696" w:type="dxa"/>
            <w:gridSpan w:val="2"/>
          </w:tcPr>
          <w:p w14:paraId="6DC52AD7" w14:textId="77777777" w:rsidR="000D1EE4" w:rsidRPr="006A708D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0097BCF" w14:textId="77777777" w:rsidR="000D1EE4" w:rsidRPr="006A708D" w:rsidRDefault="00E50850" w:rsidP="006A708D">
            <w:pPr>
              <w:jc w:val="left"/>
              <w:rPr>
                <w:b/>
                <w:bCs/>
                <w:lang w:bidi="ar-EG"/>
              </w:rPr>
            </w:pPr>
            <w:r w:rsidRPr="006A708D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6A708D" w14:paraId="31440517" w14:textId="77777777" w:rsidTr="00752552">
        <w:trPr>
          <w:cantSplit/>
        </w:trPr>
        <w:tc>
          <w:tcPr>
            <w:tcW w:w="9666" w:type="dxa"/>
            <w:gridSpan w:val="4"/>
          </w:tcPr>
          <w:p w14:paraId="06060D97" w14:textId="77777777" w:rsidR="000D1EE4" w:rsidRPr="006A708D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6A708D" w14:paraId="7B4445A3" w14:textId="77777777" w:rsidTr="00752552">
        <w:trPr>
          <w:cantSplit/>
        </w:trPr>
        <w:tc>
          <w:tcPr>
            <w:tcW w:w="9666" w:type="dxa"/>
            <w:gridSpan w:val="4"/>
          </w:tcPr>
          <w:p w14:paraId="198415C7" w14:textId="77777777" w:rsidR="000D1EE4" w:rsidRPr="006A708D" w:rsidRDefault="000D1EE4" w:rsidP="006A708D">
            <w:pPr>
              <w:pStyle w:val="Source"/>
              <w:rPr>
                <w:rtl/>
              </w:rPr>
            </w:pPr>
            <w:r w:rsidRPr="006A708D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6A708D" w14:paraId="2E43D9A7" w14:textId="77777777" w:rsidTr="00752552">
        <w:trPr>
          <w:cantSplit/>
        </w:trPr>
        <w:tc>
          <w:tcPr>
            <w:tcW w:w="9666" w:type="dxa"/>
            <w:gridSpan w:val="4"/>
          </w:tcPr>
          <w:p w14:paraId="05306FF6" w14:textId="173C1265" w:rsidR="000D1EE4" w:rsidRPr="006A708D" w:rsidRDefault="006A708D" w:rsidP="006A708D">
            <w:pPr>
              <w:pStyle w:val="Title1"/>
              <w:rPr>
                <w:rtl/>
              </w:rPr>
            </w:pPr>
            <w:r w:rsidRPr="006A708D">
              <w:rPr>
                <w:rtl/>
              </w:rPr>
              <w:t>مقترحات بشأن أعمال المؤتمر</w:t>
            </w:r>
          </w:p>
        </w:tc>
      </w:tr>
      <w:tr w:rsidR="000D1EE4" w:rsidRPr="006A708D" w14:paraId="6918A856" w14:textId="77777777" w:rsidTr="00752552">
        <w:trPr>
          <w:cantSplit/>
        </w:trPr>
        <w:tc>
          <w:tcPr>
            <w:tcW w:w="9666" w:type="dxa"/>
            <w:gridSpan w:val="4"/>
          </w:tcPr>
          <w:p w14:paraId="7C01B8BA" w14:textId="77777777" w:rsidR="000D1EE4" w:rsidRPr="006A708D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6A708D" w14:paraId="57FDAFBA" w14:textId="77777777" w:rsidTr="00752552">
        <w:trPr>
          <w:cantSplit/>
        </w:trPr>
        <w:tc>
          <w:tcPr>
            <w:tcW w:w="9666" w:type="dxa"/>
            <w:gridSpan w:val="4"/>
          </w:tcPr>
          <w:p w14:paraId="71FED351" w14:textId="5C83349F" w:rsidR="00E50850" w:rsidRPr="006A708D" w:rsidRDefault="00E50850" w:rsidP="006A708D">
            <w:pPr>
              <w:pStyle w:val="Agendaitem"/>
            </w:pPr>
            <w:r w:rsidRPr="006A708D">
              <w:rPr>
                <w:rtl/>
              </w:rPr>
              <w:t>بند جدول الأعمال</w:t>
            </w:r>
            <w:r w:rsidR="006A708D" w:rsidRPr="006A708D">
              <w:rPr>
                <w:rFonts w:hint="cs"/>
                <w:rtl/>
              </w:rPr>
              <w:t xml:space="preserve"> </w:t>
            </w:r>
            <w:r w:rsidR="006A708D" w:rsidRPr="006A708D">
              <w:rPr>
                <w:rtl/>
              </w:rPr>
              <w:t>17.1</w:t>
            </w:r>
          </w:p>
        </w:tc>
      </w:tr>
    </w:tbl>
    <w:p w14:paraId="3A4B6297" w14:textId="77777777" w:rsidR="007B4973" w:rsidRPr="006A708D" w:rsidRDefault="007B4973" w:rsidP="00552D8B">
      <w:pPr>
        <w:spacing w:line="185" w:lineRule="auto"/>
        <w:rPr>
          <w:b/>
          <w:spacing w:val="2"/>
          <w:lang w:val="es-ES" w:bidi="ar-EG"/>
        </w:rPr>
      </w:pPr>
      <w:r w:rsidRPr="006A708D">
        <w:t>17.1</w:t>
      </w:r>
      <w:r w:rsidRPr="006A708D">
        <w:tab/>
      </w:r>
      <w:r w:rsidRPr="006A708D">
        <w:rPr>
          <w:spacing w:val="2"/>
          <w:rtl/>
          <w:lang w:val="es-ES"/>
        </w:rPr>
        <w:t>تحديد وتنفيذ التدابير التنظيمية المناسبة، استناداً إلى الدراسات التي يُجريها قطاع الاتصالات الراديوية وفقاً للقرار </w:t>
      </w:r>
      <w:r w:rsidRPr="006A708D">
        <w:rPr>
          <w:b/>
          <w:spacing w:val="2"/>
          <w:lang w:bidi="ar-EG"/>
        </w:rPr>
        <w:t>773 (WRC-19)</w:t>
      </w:r>
      <w:r w:rsidRPr="006A708D">
        <w:rPr>
          <w:b/>
          <w:spacing w:val="2"/>
          <w:rtl/>
          <w:lang w:val="es-ES"/>
        </w:rPr>
        <w:t xml:space="preserve">، لتوفير وصلات فيما بين </w:t>
      </w:r>
      <w:proofErr w:type="spellStart"/>
      <w:r w:rsidRPr="006A708D">
        <w:rPr>
          <w:b/>
          <w:spacing w:val="2"/>
          <w:rtl/>
          <w:lang w:val="es-ES"/>
        </w:rPr>
        <w:t>السواتل</w:t>
      </w:r>
      <w:proofErr w:type="spellEnd"/>
      <w:r w:rsidRPr="006A708D">
        <w:rPr>
          <w:b/>
          <w:spacing w:val="2"/>
          <w:rtl/>
          <w:lang w:val="es-ES"/>
        </w:rPr>
        <w:t xml:space="preserve"> في نطاقات تردد محددة، أو أجزاء منها، بإضافة توزيع لخدمة ما بين </w:t>
      </w:r>
      <w:proofErr w:type="spellStart"/>
      <w:r w:rsidRPr="006A708D">
        <w:rPr>
          <w:b/>
          <w:spacing w:val="2"/>
          <w:rtl/>
          <w:lang w:val="es-ES"/>
        </w:rPr>
        <w:t>السواتل</w:t>
      </w:r>
      <w:proofErr w:type="spellEnd"/>
      <w:r w:rsidRPr="006A708D">
        <w:rPr>
          <w:b/>
          <w:spacing w:val="2"/>
          <w:rtl/>
          <w:lang w:val="es-ES"/>
        </w:rPr>
        <w:t xml:space="preserve"> عند الاقتضاء</w:t>
      </w:r>
      <w:r w:rsidRPr="006A708D">
        <w:rPr>
          <w:b/>
          <w:spacing w:val="2"/>
          <w:rtl/>
          <w:lang w:val="es-ES" w:bidi="ar-EG"/>
        </w:rPr>
        <w:t>؛</w:t>
      </w:r>
    </w:p>
    <w:p w14:paraId="79120388" w14:textId="5101488F" w:rsidR="007B4973" w:rsidRPr="005D0A99" w:rsidRDefault="006A708D" w:rsidP="005D0A99">
      <w:pPr>
        <w:pStyle w:val="Headingb"/>
        <w:rPr>
          <w:rtl/>
        </w:rPr>
      </w:pPr>
      <w:r w:rsidRPr="005D0A99">
        <w:rPr>
          <w:rFonts w:hint="cs"/>
          <w:rtl/>
        </w:rPr>
        <w:t>مقدمة</w:t>
      </w:r>
    </w:p>
    <w:p w14:paraId="431E7FF4" w14:textId="463730A2" w:rsidR="00417E14" w:rsidRPr="006A708D" w:rsidRDefault="00792EF9" w:rsidP="006A708D">
      <w:pPr>
        <w:rPr>
          <w:rtl/>
        </w:rPr>
      </w:pPr>
      <w:r>
        <w:rPr>
          <w:rFonts w:hint="cs"/>
          <w:rtl/>
        </w:rPr>
        <w:t>ت</w:t>
      </w:r>
      <w:r w:rsidRPr="00792EF9">
        <w:rPr>
          <w:rtl/>
        </w:rPr>
        <w:t xml:space="preserve">رى إدارات الكومنولث الإقليمي في مجال الاتصالات أن استعمال الوصلات </w:t>
      </w:r>
      <w:r>
        <w:rPr>
          <w:rFonts w:hint="cs"/>
          <w:rtl/>
        </w:rPr>
        <w:t xml:space="preserve">بين </w:t>
      </w:r>
      <w:proofErr w:type="spellStart"/>
      <w:r>
        <w:rPr>
          <w:rFonts w:hint="cs"/>
          <w:rtl/>
        </w:rPr>
        <w:t>السواتل</w:t>
      </w:r>
      <w:proofErr w:type="spellEnd"/>
      <w:r w:rsidRPr="00792EF9">
        <w:rPr>
          <w:rtl/>
        </w:rPr>
        <w:t xml:space="preserve"> </w:t>
      </w:r>
      <w:r w:rsidRPr="00792EF9">
        <w:rPr>
          <w:rFonts w:hint="cs"/>
          <w:rtl/>
        </w:rPr>
        <w:t>في</w:t>
      </w:r>
      <w:r w:rsidRPr="00792EF9">
        <w:rPr>
          <w:rtl/>
        </w:rPr>
        <w:t xml:space="preserve"> </w:t>
      </w:r>
      <w:r w:rsidRPr="00792EF9">
        <w:rPr>
          <w:rFonts w:hint="cs"/>
          <w:rtl/>
        </w:rPr>
        <w:t>نطاقات</w:t>
      </w:r>
      <w:r w:rsidRPr="00792EF9">
        <w:rPr>
          <w:rtl/>
        </w:rPr>
        <w:t xml:space="preserve"> </w:t>
      </w:r>
      <w:r w:rsidRPr="00792EF9">
        <w:rPr>
          <w:rFonts w:hint="cs"/>
          <w:rtl/>
        </w:rPr>
        <w:t>التردد</w:t>
      </w:r>
      <w:r w:rsidRPr="00792EF9">
        <w:rPr>
          <w:rtl/>
        </w:rPr>
        <w:t xml:space="preserve"> </w:t>
      </w:r>
      <w:r w:rsidRPr="00792EF9">
        <w:rPr>
          <w:cs/>
        </w:rPr>
        <w:t>‎</w:t>
      </w:r>
      <w:r w:rsidRPr="00792EF9">
        <w:t>GHz 12,7-11,7</w:t>
      </w:r>
      <w:r w:rsidRPr="00792EF9">
        <w:rPr>
          <w:rtl/>
        </w:rPr>
        <w:t xml:space="preserve">‏، </w:t>
      </w:r>
      <w:r>
        <w:rPr>
          <w:rFonts w:hint="cs"/>
          <w:rtl/>
        </w:rPr>
        <w:t>و</w:t>
      </w:r>
      <w:r w:rsidRPr="00792EF9">
        <w:rPr>
          <w:cs/>
        </w:rPr>
        <w:t>‎</w:t>
      </w:r>
      <w:r w:rsidRPr="00792EF9">
        <w:t>GHz 18,6-18,1</w:t>
      </w:r>
      <w:r w:rsidRPr="00792EF9">
        <w:rPr>
          <w:rtl/>
        </w:rPr>
        <w:t xml:space="preserve"> ‏و</w:t>
      </w:r>
      <w:r w:rsidRPr="00792EF9">
        <w:rPr>
          <w:cs/>
        </w:rPr>
        <w:t>‎</w:t>
      </w:r>
      <w:r>
        <w:t>G</w:t>
      </w:r>
      <w:r w:rsidRPr="00792EF9">
        <w:t>Hz 20,2-18,8</w:t>
      </w:r>
      <w:r w:rsidRPr="00792EF9">
        <w:rPr>
          <w:rtl/>
        </w:rPr>
        <w:t xml:space="preserve"> ‏و</w:t>
      </w:r>
      <w:r w:rsidRPr="00792EF9">
        <w:rPr>
          <w:cs/>
        </w:rPr>
        <w:t>‎</w:t>
      </w:r>
      <w:r>
        <w:t>G</w:t>
      </w:r>
      <w:r w:rsidRPr="00792EF9">
        <w:t>Hz 30-27,5</w:t>
      </w:r>
      <w:r w:rsidRPr="00792EF9">
        <w:rPr>
          <w:rtl/>
        </w:rPr>
        <w:t>‏، كما هو متصور حاليا</w:t>
      </w:r>
      <w:r>
        <w:rPr>
          <w:rFonts w:hint="cs"/>
          <w:rtl/>
        </w:rPr>
        <w:t>ً</w:t>
      </w:r>
      <w:r w:rsidRPr="00792EF9">
        <w:rPr>
          <w:rtl/>
        </w:rPr>
        <w:t xml:space="preserve">، لا </w:t>
      </w:r>
      <w:r>
        <w:rPr>
          <w:rFonts w:hint="cs"/>
          <w:rtl/>
        </w:rPr>
        <w:t>يتوافق مع</w:t>
      </w:r>
      <w:r w:rsidRPr="00792EF9">
        <w:rPr>
          <w:rtl/>
        </w:rPr>
        <w:t xml:space="preserve"> تعريف الخدمة الثابتة </w:t>
      </w:r>
      <w:proofErr w:type="spellStart"/>
      <w:r w:rsidRPr="00792EF9">
        <w:rPr>
          <w:rtl/>
        </w:rPr>
        <w:t>الساتلية</w:t>
      </w:r>
      <w:proofErr w:type="spellEnd"/>
      <w:r w:rsidRPr="00792EF9">
        <w:rPr>
          <w:rtl/>
        </w:rPr>
        <w:t xml:space="preserve"> و</w:t>
      </w:r>
      <w:r>
        <w:rPr>
          <w:rFonts w:hint="cs"/>
          <w:rtl/>
        </w:rPr>
        <w:t>ي</w:t>
      </w:r>
      <w:r w:rsidRPr="00792EF9">
        <w:rPr>
          <w:rtl/>
        </w:rPr>
        <w:t>فرض قيودا</w:t>
      </w:r>
      <w:r>
        <w:rPr>
          <w:rFonts w:hint="cs"/>
          <w:rtl/>
        </w:rPr>
        <w:t>ً</w:t>
      </w:r>
      <w:r w:rsidRPr="00792EF9">
        <w:rPr>
          <w:rtl/>
        </w:rPr>
        <w:t xml:space="preserve"> إضافية على استعمال الأنظمة/الشبكات </w:t>
      </w:r>
      <w:proofErr w:type="spellStart"/>
      <w:r w:rsidRPr="00792EF9">
        <w:rPr>
          <w:rtl/>
        </w:rPr>
        <w:t>الساتلية</w:t>
      </w:r>
      <w:proofErr w:type="spellEnd"/>
      <w:r w:rsidRPr="00792EF9">
        <w:rPr>
          <w:rtl/>
        </w:rPr>
        <w:t xml:space="preserve"> للخدمة الثابتة </w:t>
      </w:r>
      <w:proofErr w:type="spellStart"/>
      <w:r w:rsidRPr="00792EF9">
        <w:rPr>
          <w:rtl/>
        </w:rPr>
        <w:t>الساتلية</w:t>
      </w:r>
      <w:proofErr w:type="spellEnd"/>
      <w:r w:rsidRPr="00792EF9">
        <w:rPr>
          <w:rtl/>
        </w:rPr>
        <w:t xml:space="preserve"> الحالية والمستقبلية، بما في ذلك داخل الأراضي الوطنية.</w:t>
      </w:r>
      <w:r w:rsidRPr="00792EF9">
        <w:rPr>
          <w:cs/>
        </w:rPr>
        <w:t>‎</w:t>
      </w:r>
    </w:p>
    <w:p w14:paraId="52432681" w14:textId="6AED9E15" w:rsidR="006A708D" w:rsidRPr="006A708D" w:rsidRDefault="00792EF9" w:rsidP="006A708D">
      <w:pPr>
        <w:rPr>
          <w:rtl/>
        </w:rPr>
      </w:pPr>
      <w:r>
        <w:rPr>
          <w:rFonts w:hint="cs"/>
          <w:rtl/>
        </w:rPr>
        <w:t>و</w:t>
      </w:r>
      <w:r w:rsidRPr="00792EF9">
        <w:rPr>
          <w:rtl/>
        </w:rPr>
        <w:t xml:space="preserve">تؤيد إدارات الكومنولث الإقليمي </w:t>
      </w:r>
      <w:r>
        <w:rPr>
          <w:rFonts w:hint="cs"/>
          <w:rtl/>
        </w:rPr>
        <w:t xml:space="preserve">في مجال الاتصالات </w:t>
      </w:r>
      <w:r w:rsidRPr="00792EF9">
        <w:rPr>
          <w:rtl/>
        </w:rPr>
        <w:t xml:space="preserve">عدم إدخال تغييرات على لوائح الراديو للاتحاد فيما يتعلق </w:t>
      </w:r>
      <w:r>
        <w:rPr>
          <w:rFonts w:hint="cs"/>
          <w:rtl/>
        </w:rPr>
        <w:t>بنطاق التردد</w:t>
      </w:r>
      <w:r w:rsidR="005D0A99">
        <w:rPr>
          <w:rFonts w:hint="cs"/>
          <w:rtl/>
        </w:rPr>
        <w:t> </w:t>
      </w:r>
      <w:r w:rsidRPr="00792EF9">
        <w:rPr>
          <w:cs/>
        </w:rPr>
        <w:t>‎</w:t>
      </w:r>
      <w:r w:rsidRPr="00792EF9">
        <w:t>GHz 12,7-11,7</w:t>
      </w:r>
      <w:r w:rsidRPr="00792EF9">
        <w:rPr>
          <w:rtl/>
        </w:rPr>
        <w:t>.</w:t>
      </w:r>
    </w:p>
    <w:p w14:paraId="7528FB63" w14:textId="018FAEA9" w:rsidR="006A708D" w:rsidRPr="006A708D" w:rsidRDefault="005507FD" w:rsidP="005D0A99">
      <w:pPr>
        <w:rPr>
          <w:rtl/>
        </w:rPr>
      </w:pPr>
      <w:r>
        <w:rPr>
          <w:rFonts w:hint="cs"/>
          <w:rtl/>
        </w:rPr>
        <w:t>و</w:t>
      </w:r>
      <w:r w:rsidR="00792EF9">
        <w:rPr>
          <w:rFonts w:hint="cs"/>
          <w:rtl/>
        </w:rPr>
        <w:t>ت</w:t>
      </w:r>
      <w:r w:rsidR="00792EF9" w:rsidRPr="00792EF9">
        <w:rPr>
          <w:rtl/>
        </w:rPr>
        <w:t xml:space="preserve">رى إدارات الكومنولث الإقليمي في مجال الاتصالات أن شروط استعمال الوصلات </w:t>
      </w:r>
      <w:r w:rsidR="00792EF9">
        <w:rPr>
          <w:rFonts w:hint="cs"/>
          <w:rtl/>
        </w:rPr>
        <w:t xml:space="preserve">بين </w:t>
      </w:r>
      <w:proofErr w:type="spellStart"/>
      <w:r>
        <w:rPr>
          <w:rFonts w:hint="cs"/>
          <w:rtl/>
        </w:rPr>
        <w:t>الساتلية</w:t>
      </w:r>
      <w:proofErr w:type="spellEnd"/>
      <w:r w:rsidR="00792EF9" w:rsidRPr="00792EF9">
        <w:rPr>
          <w:rtl/>
        </w:rPr>
        <w:t xml:space="preserve"> في نطاقات التردد المذكورة أعلاه يجب أن تضمن الحماية للخدمات الأولية القائمة التي </w:t>
      </w:r>
      <w:r>
        <w:rPr>
          <w:rFonts w:hint="cs"/>
          <w:rtl/>
        </w:rPr>
        <w:t>لديها</w:t>
      </w:r>
      <w:r w:rsidR="00792EF9" w:rsidRPr="00792EF9">
        <w:rPr>
          <w:rtl/>
        </w:rPr>
        <w:t xml:space="preserve"> توزيعات في نفس نطاقات التردد أو في نطاقات التردد المجاورة، بما في ذلك الخدمات المنفعلة، ويجب ألا تفرض قيودا</w:t>
      </w:r>
      <w:r w:rsidR="00792EF9">
        <w:rPr>
          <w:rFonts w:hint="cs"/>
          <w:rtl/>
        </w:rPr>
        <w:t>ً</w:t>
      </w:r>
      <w:r w:rsidR="00792EF9" w:rsidRPr="00792EF9">
        <w:rPr>
          <w:rtl/>
        </w:rPr>
        <w:t xml:space="preserve"> إضافية على استعمال الأنظمة القائمة أو المستقبلية لهذه الخدمات.</w:t>
      </w:r>
      <w:r w:rsidR="00792EF9" w:rsidRPr="00792EF9">
        <w:rPr>
          <w:cs/>
        </w:rPr>
        <w:t>‎</w:t>
      </w:r>
    </w:p>
    <w:p w14:paraId="4041094A" w14:textId="45B97DC2" w:rsidR="006A708D" w:rsidRPr="006A708D" w:rsidRDefault="00792EF9" w:rsidP="006A708D">
      <w:pPr>
        <w:rPr>
          <w:rtl/>
        </w:rPr>
      </w:pPr>
      <w:r>
        <w:rPr>
          <w:rFonts w:hint="cs"/>
          <w:rtl/>
        </w:rPr>
        <w:t>و</w:t>
      </w:r>
      <w:r w:rsidRPr="00792EF9">
        <w:rPr>
          <w:rtl/>
        </w:rPr>
        <w:t xml:space="preserve">تؤيد إدارات الكومنولث الإقليمي </w:t>
      </w:r>
      <w:r w:rsidR="00B81FFB">
        <w:rPr>
          <w:rFonts w:hint="cs"/>
          <w:rtl/>
        </w:rPr>
        <w:t xml:space="preserve">في مجال الاتصالات </w:t>
      </w:r>
      <w:r w:rsidRPr="00792EF9">
        <w:rPr>
          <w:rtl/>
        </w:rPr>
        <w:t xml:space="preserve">الشروط التقنية والتشغيلية </w:t>
      </w:r>
      <w:r w:rsidR="00B81FFB">
        <w:rPr>
          <w:rFonts w:hint="cs"/>
          <w:rtl/>
        </w:rPr>
        <w:t>وكذلك</w:t>
      </w:r>
      <w:r w:rsidRPr="00792EF9">
        <w:rPr>
          <w:rtl/>
        </w:rPr>
        <w:t xml:space="preserve"> الأحكام التنظيمية، بما في ذلك توزيعات جديدة للخدمة ما بين </w:t>
      </w:r>
      <w:proofErr w:type="spellStart"/>
      <w:r w:rsidRPr="00792EF9">
        <w:rPr>
          <w:rtl/>
        </w:rPr>
        <w:t>السواتل</w:t>
      </w:r>
      <w:proofErr w:type="spellEnd"/>
      <w:r w:rsidRPr="00792EF9">
        <w:rPr>
          <w:rtl/>
        </w:rPr>
        <w:t xml:space="preserve"> (</w:t>
      </w:r>
      <w:r w:rsidRPr="00792EF9">
        <w:rPr>
          <w:cs/>
        </w:rPr>
        <w:t>‎</w:t>
      </w:r>
      <w:r w:rsidR="00B81FFB">
        <w:t>ISS</w:t>
      </w:r>
      <w:r w:rsidRPr="00792EF9">
        <w:rPr>
          <w:rtl/>
        </w:rPr>
        <w:t>)</w:t>
      </w:r>
      <w:r w:rsidR="00B81FFB">
        <w:rPr>
          <w:rFonts w:hint="cs"/>
          <w:rtl/>
        </w:rPr>
        <w:t>،</w:t>
      </w:r>
      <w:r w:rsidRPr="00792EF9">
        <w:rPr>
          <w:rtl/>
        </w:rPr>
        <w:t xml:space="preserve"> ‏لتشغيل الوصلات </w:t>
      </w:r>
      <w:r w:rsidR="00B81FFB">
        <w:rPr>
          <w:rFonts w:hint="cs"/>
          <w:rtl/>
        </w:rPr>
        <w:t xml:space="preserve">بين </w:t>
      </w:r>
      <w:proofErr w:type="spellStart"/>
      <w:r w:rsidR="00B81FFB">
        <w:rPr>
          <w:rFonts w:hint="cs"/>
          <w:rtl/>
        </w:rPr>
        <w:t>السواتل</w:t>
      </w:r>
      <w:proofErr w:type="spellEnd"/>
      <w:r w:rsidRPr="00792EF9">
        <w:rPr>
          <w:rtl/>
        </w:rPr>
        <w:t xml:space="preserve"> في نطاقات التردد </w:t>
      </w:r>
      <w:r w:rsidRPr="00792EF9">
        <w:rPr>
          <w:cs/>
        </w:rPr>
        <w:t>‎</w:t>
      </w:r>
      <w:r w:rsidRPr="00792EF9">
        <w:t>GHz 18,6-18,1</w:t>
      </w:r>
      <w:r w:rsidRPr="00792EF9">
        <w:rPr>
          <w:rtl/>
        </w:rPr>
        <w:t xml:space="preserve"> و</w:t>
      </w:r>
      <w:r w:rsidRPr="00792EF9">
        <w:rPr>
          <w:cs/>
        </w:rPr>
        <w:t>‎</w:t>
      </w:r>
      <w:r w:rsidR="00B81FFB">
        <w:t>G</w:t>
      </w:r>
      <w:r w:rsidRPr="00792EF9">
        <w:t>Hz</w:t>
      </w:r>
      <w:r w:rsidR="005D0A99">
        <w:t> </w:t>
      </w:r>
      <w:r w:rsidRPr="00792EF9">
        <w:t>20,2-18,8</w:t>
      </w:r>
      <w:r w:rsidRPr="00792EF9">
        <w:rPr>
          <w:rtl/>
        </w:rPr>
        <w:t xml:space="preserve"> ‏و</w:t>
      </w:r>
      <w:r w:rsidRPr="00792EF9">
        <w:rPr>
          <w:cs/>
        </w:rPr>
        <w:t>‎</w:t>
      </w:r>
      <w:r w:rsidR="00B81FFB">
        <w:t>G</w:t>
      </w:r>
      <w:r w:rsidRPr="00792EF9">
        <w:t>Hz 30-27,5</w:t>
      </w:r>
      <w:r w:rsidRPr="00792EF9">
        <w:rPr>
          <w:rtl/>
        </w:rPr>
        <w:t xml:space="preserve"> ‏أو أجزاء منها، مع مراعاة نتائج الدراسات، بما في ذلك مفهوم التشغيل الذي </w:t>
      </w:r>
      <w:r w:rsidR="00B81FFB">
        <w:rPr>
          <w:rFonts w:hint="cs"/>
          <w:rtl/>
        </w:rPr>
        <w:t>يفي</w:t>
      </w:r>
      <w:r w:rsidRPr="00792EF9">
        <w:rPr>
          <w:rtl/>
        </w:rPr>
        <w:t xml:space="preserve"> </w:t>
      </w:r>
      <w:r w:rsidR="00B81FFB">
        <w:rPr>
          <w:rFonts w:hint="cs"/>
          <w:rtl/>
        </w:rPr>
        <w:t>ب</w:t>
      </w:r>
      <w:r w:rsidRPr="00792EF9">
        <w:rPr>
          <w:rtl/>
        </w:rPr>
        <w:t>المتطلبات المذكورة أعلاه.</w:t>
      </w:r>
      <w:r w:rsidRPr="00792EF9">
        <w:rPr>
          <w:cs/>
        </w:rPr>
        <w:t>‎</w:t>
      </w:r>
    </w:p>
    <w:p w14:paraId="1A0E2D55" w14:textId="5D5F9224" w:rsidR="006A708D" w:rsidRPr="006A708D" w:rsidRDefault="001F039C" w:rsidP="006A708D">
      <w:pPr>
        <w:rPr>
          <w:rtl/>
        </w:rPr>
      </w:pPr>
      <w:r w:rsidRPr="001F039C">
        <w:rPr>
          <w:rtl/>
        </w:rPr>
        <w:t>‏</w:t>
      </w:r>
      <w:r w:rsidR="005507FD">
        <w:rPr>
          <w:rFonts w:hint="cs"/>
          <w:rtl/>
        </w:rPr>
        <w:t>و</w:t>
      </w:r>
      <w:r w:rsidRPr="001F039C">
        <w:rPr>
          <w:rtl/>
        </w:rPr>
        <w:t xml:space="preserve">تنظر إدارات الكومنولث الإقليمي في </w:t>
      </w:r>
      <w:r w:rsidR="00016A96">
        <w:rPr>
          <w:rFonts w:hint="cs"/>
          <w:rtl/>
        </w:rPr>
        <w:t xml:space="preserve">تأييد </w:t>
      </w:r>
      <w:r w:rsidRPr="001F039C">
        <w:rPr>
          <w:rtl/>
        </w:rPr>
        <w:t xml:space="preserve">الأسلوب </w:t>
      </w:r>
      <w:r>
        <w:t>A</w:t>
      </w:r>
      <w:r w:rsidRPr="001F039C">
        <w:rPr>
          <w:rtl/>
        </w:rPr>
        <w:t xml:space="preserve"> في تقرير الاجتماع التحضيري للمؤتمر، وكذلك الأسلوب </w:t>
      </w:r>
      <w:r w:rsidRPr="001F039C">
        <w:rPr>
          <w:cs/>
        </w:rPr>
        <w:t>‎</w:t>
      </w:r>
      <w:r>
        <w:t>B</w:t>
      </w:r>
      <w:r w:rsidRPr="001F039C">
        <w:rPr>
          <w:rtl/>
        </w:rPr>
        <w:t xml:space="preserve"> ‏إذا </w:t>
      </w:r>
      <w:r>
        <w:rPr>
          <w:rFonts w:hint="cs"/>
          <w:rtl/>
        </w:rPr>
        <w:t>استُوفيت</w:t>
      </w:r>
      <w:r w:rsidRPr="001F039C">
        <w:rPr>
          <w:rtl/>
        </w:rPr>
        <w:t xml:space="preserve"> الشروط التالية:</w:t>
      </w:r>
      <w:r w:rsidRPr="001F039C">
        <w:rPr>
          <w:cs/>
        </w:rPr>
        <w:t>‎</w:t>
      </w:r>
    </w:p>
    <w:p w14:paraId="041F7DC0" w14:textId="09C1D215" w:rsidR="00B24B17" w:rsidRPr="006A708D" w:rsidRDefault="006A708D" w:rsidP="006A708D">
      <w:pPr>
        <w:pStyle w:val="enumlev1"/>
        <w:rPr>
          <w:rtl/>
        </w:rPr>
      </w:pPr>
      <w:r>
        <w:rPr>
          <w:rFonts w:hint="cs"/>
          <w:lang w:bidi="ar-EG"/>
        </w:rPr>
        <w:sym w:font="Wingdings 2" w:char="F097"/>
      </w:r>
      <w:r>
        <w:rPr>
          <w:rtl/>
          <w:lang w:bidi="ar-EG"/>
        </w:rPr>
        <w:tab/>
      </w:r>
      <w:r w:rsidR="00B37AC6" w:rsidRPr="00B37AC6">
        <w:rPr>
          <w:rtl/>
          <w:lang w:bidi="ar-EG"/>
        </w:rPr>
        <w:t xml:space="preserve">‏لا يمكن استعمال الوصلات </w:t>
      </w:r>
      <w:r w:rsidR="00B37AC6">
        <w:rPr>
          <w:rFonts w:hint="cs"/>
          <w:rtl/>
          <w:lang w:bidi="ar-EG"/>
        </w:rPr>
        <w:t xml:space="preserve">بين </w:t>
      </w:r>
      <w:proofErr w:type="spellStart"/>
      <w:r w:rsidR="00B37AC6">
        <w:rPr>
          <w:rFonts w:hint="cs"/>
          <w:rtl/>
          <w:lang w:bidi="ar-EG"/>
        </w:rPr>
        <w:t>السواتل</w:t>
      </w:r>
      <w:proofErr w:type="spellEnd"/>
      <w:r w:rsidR="00B37AC6" w:rsidRPr="00B37AC6">
        <w:rPr>
          <w:rtl/>
          <w:lang w:bidi="ar-EG"/>
        </w:rPr>
        <w:t xml:space="preserve"> إلا في إطار التوزيع الجديد للخدمة </w:t>
      </w:r>
      <w:r w:rsidR="00B37AC6" w:rsidRPr="00792EF9">
        <w:rPr>
          <w:rtl/>
        </w:rPr>
        <w:t xml:space="preserve">ما بين </w:t>
      </w:r>
      <w:proofErr w:type="spellStart"/>
      <w:r w:rsidR="00B37AC6" w:rsidRPr="00792EF9">
        <w:rPr>
          <w:rtl/>
        </w:rPr>
        <w:t>السواتل</w:t>
      </w:r>
      <w:proofErr w:type="spellEnd"/>
      <w:r w:rsidR="00B37AC6">
        <w:rPr>
          <w:rFonts w:hint="cs"/>
          <w:rtl/>
        </w:rPr>
        <w:t>؛</w:t>
      </w:r>
    </w:p>
    <w:p w14:paraId="46BE2EC4" w14:textId="781A5C35" w:rsidR="006A708D" w:rsidRDefault="006A708D" w:rsidP="006A708D">
      <w:pPr>
        <w:pStyle w:val="enumlev1"/>
        <w:rPr>
          <w:lang w:bidi="ar-EG"/>
        </w:rPr>
      </w:pPr>
      <w:r>
        <w:rPr>
          <w:rFonts w:hint="cs"/>
          <w:lang w:bidi="ar-EG"/>
        </w:rPr>
        <w:lastRenderedPageBreak/>
        <w:sym w:font="Wingdings 2" w:char="F097"/>
      </w:r>
      <w:r>
        <w:rPr>
          <w:rtl/>
          <w:lang w:bidi="ar-EG"/>
        </w:rPr>
        <w:tab/>
      </w:r>
      <w:r w:rsidR="006E3572" w:rsidRPr="006E3572">
        <w:rPr>
          <w:rtl/>
          <w:lang w:bidi="ar-EG"/>
        </w:rPr>
        <w:t xml:space="preserve">لا يمكن استعمال الوصلات </w:t>
      </w:r>
      <w:r w:rsidR="006E3572">
        <w:rPr>
          <w:rFonts w:hint="cs"/>
          <w:rtl/>
          <w:lang w:bidi="ar-EG"/>
        </w:rPr>
        <w:t xml:space="preserve">بين </w:t>
      </w:r>
      <w:proofErr w:type="spellStart"/>
      <w:r w:rsidR="006E3572">
        <w:rPr>
          <w:rFonts w:hint="cs"/>
          <w:rtl/>
          <w:lang w:bidi="ar-EG"/>
        </w:rPr>
        <w:t>السواتل</w:t>
      </w:r>
      <w:proofErr w:type="spellEnd"/>
      <w:r w:rsidR="006E3572" w:rsidRPr="006E3572">
        <w:rPr>
          <w:rtl/>
          <w:lang w:bidi="ar-EG"/>
        </w:rPr>
        <w:t xml:space="preserve"> إلا </w:t>
      </w:r>
      <w:r w:rsidR="006E3572">
        <w:rPr>
          <w:rFonts w:hint="cs"/>
          <w:rtl/>
          <w:lang w:bidi="ar-EG"/>
        </w:rPr>
        <w:t>بشرط وجود تنسيق إلزامي</w:t>
      </w:r>
      <w:r w:rsidR="006E3572" w:rsidRPr="006E3572">
        <w:rPr>
          <w:rtl/>
          <w:lang w:bidi="ar-EG"/>
        </w:rPr>
        <w:t xml:space="preserve"> في إطار التوزيع الجديد </w:t>
      </w:r>
      <w:r w:rsidR="006E3572" w:rsidRPr="00B37AC6">
        <w:rPr>
          <w:rtl/>
          <w:lang w:bidi="ar-EG"/>
        </w:rPr>
        <w:t xml:space="preserve">للخدمة </w:t>
      </w:r>
      <w:r w:rsidR="006E3572" w:rsidRPr="00792EF9">
        <w:rPr>
          <w:rtl/>
        </w:rPr>
        <w:t xml:space="preserve">ما بين </w:t>
      </w:r>
      <w:proofErr w:type="spellStart"/>
      <w:r w:rsidR="006E3572" w:rsidRPr="00792EF9">
        <w:rPr>
          <w:rtl/>
        </w:rPr>
        <w:t>السواتل</w:t>
      </w:r>
      <w:proofErr w:type="spellEnd"/>
      <w:r w:rsidR="006E3572" w:rsidRPr="006E3572">
        <w:rPr>
          <w:rtl/>
          <w:lang w:bidi="ar-EG"/>
        </w:rPr>
        <w:t>، وفقا</w:t>
      </w:r>
      <w:r w:rsidR="006E3572">
        <w:rPr>
          <w:rFonts w:hint="cs"/>
          <w:rtl/>
          <w:lang w:bidi="ar-EG"/>
        </w:rPr>
        <w:t>ً</w:t>
      </w:r>
      <w:r w:rsidR="006E3572" w:rsidRPr="006E3572">
        <w:rPr>
          <w:rtl/>
          <w:lang w:bidi="ar-EG"/>
        </w:rPr>
        <w:t xml:space="preserve"> للرقم </w:t>
      </w:r>
      <w:r w:rsidR="006E3572" w:rsidRPr="006E3572">
        <w:rPr>
          <w:b/>
          <w:bCs/>
          <w:cs/>
          <w:lang w:bidi="ar-EG"/>
        </w:rPr>
        <w:t>‎</w:t>
      </w:r>
      <w:r w:rsidR="006E3572" w:rsidRPr="006E3572">
        <w:rPr>
          <w:b/>
          <w:bCs/>
          <w:lang w:bidi="ar-EG"/>
        </w:rPr>
        <w:t>11A.9</w:t>
      </w:r>
      <w:r w:rsidR="006E3572" w:rsidRPr="006E3572">
        <w:rPr>
          <w:rtl/>
          <w:lang w:bidi="ar-EG"/>
        </w:rPr>
        <w:t xml:space="preserve"> ‏من لوائح الراديو؛</w:t>
      </w:r>
      <w:r w:rsidR="006E3572" w:rsidRPr="006E3572">
        <w:rPr>
          <w:cs/>
          <w:lang w:bidi="ar-EG"/>
        </w:rPr>
        <w:t>‎</w:t>
      </w:r>
    </w:p>
    <w:p w14:paraId="5C6E1486" w14:textId="0C8104C7" w:rsidR="006A708D" w:rsidRPr="006A708D" w:rsidRDefault="006A708D" w:rsidP="006A708D">
      <w:pPr>
        <w:pStyle w:val="enumlev1"/>
        <w:rPr>
          <w:lang w:bidi="ar-EG"/>
        </w:rPr>
      </w:pPr>
      <w:r>
        <w:rPr>
          <w:rFonts w:hint="cs"/>
          <w:lang w:bidi="ar-EG"/>
        </w:rPr>
        <w:sym w:font="Wingdings 2" w:char="F097"/>
      </w:r>
      <w:r>
        <w:rPr>
          <w:rtl/>
          <w:lang w:bidi="ar-EG"/>
        </w:rPr>
        <w:tab/>
      </w:r>
      <w:r w:rsidR="00C83AA2" w:rsidRPr="00C83AA2">
        <w:rPr>
          <w:rtl/>
          <w:lang w:bidi="ar-EG"/>
        </w:rPr>
        <w:t xml:space="preserve">‏يجب ألا يطالب استعمال الوصلات </w:t>
      </w:r>
      <w:r w:rsidR="00C83AA2">
        <w:rPr>
          <w:rFonts w:hint="cs"/>
          <w:rtl/>
          <w:lang w:bidi="ar-EG"/>
        </w:rPr>
        <w:t xml:space="preserve">بين </w:t>
      </w:r>
      <w:proofErr w:type="spellStart"/>
      <w:r w:rsidR="00C83AA2">
        <w:rPr>
          <w:rFonts w:hint="cs"/>
          <w:rtl/>
          <w:lang w:bidi="ar-EG"/>
        </w:rPr>
        <w:t>السواتل</w:t>
      </w:r>
      <w:proofErr w:type="spellEnd"/>
      <w:r w:rsidR="00C83AA2" w:rsidRPr="00C83AA2">
        <w:rPr>
          <w:rtl/>
          <w:lang w:bidi="ar-EG"/>
        </w:rPr>
        <w:t xml:space="preserve"> في إطار التوزيع الجديد </w:t>
      </w:r>
      <w:r w:rsidR="00C83AA2" w:rsidRPr="00B37AC6">
        <w:rPr>
          <w:rtl/>
          <w:lang w:bidi="ar-EG"/>
        </w:rPr>
        <w:t xml:space="preserve">للخدمة </w:t>
      </w:r>
      <w:r w:rsidR="00C83AA2" w:rsidRPr="00792EF9">
        <w:rPr>
          <w:rtl/>
        </w:rPr>
        <w:t xml:space="preserve">ما بين </w:t>
      </w:r>
      <w:proofErr w:type="spellStart"/>
      <w:r w:rsidR="00C83AA2" w:rsidRPr="00792EF9">
        <w:rPr>
          <w:rtl/>
        </w:rPr>
        <w:t>السواتل</w:t>
      </w:r>
      <w:proofErr w:type="spellEnd"/>
      <w:r w:rsidR="00C83AA2" w:rsidRPr="00C83AA2">
        <w:rPr>
          <w:rtl/>
          <w:lang w:bidi="ar-EG"/>
        </w:rPr>
        <w:t xml:space="preserve"> بالحماية أو أن يسبب تداخلا</w:t>
      </w:r>
      <w:r w:rsidR="00C83AA2">
        <w:rPr>
          <w:rFonts w:hint="cs"/>
          <w:rtl/>
          <w:lang w:bidi="ar-EG"/>
        </w:rPr>
        <w:t>ً</w:t>
      </w:r>
      <w:r w:rsidR="00C83AA2" w:rsidRPr="00C83AA2">
        <w:rPr>
          <w:rtl/>
          <w:lang w:bidi="ar-EG"/>
        </w:rPr>
        <w:t xml:space="preserve"> غير مقبول لأنظمة الخدمة الثابتة </w:t>
      </w:r>
      <w:proofErr w:type="spellStart"/>
      <w:r w:rsidR="00C83AA2" w:rsidRPr="00C83AA2">
        <w:rPr>
          <w:rtl/>
          <w:lang w:bidi="ar-EG"/>
        </w:rPr>
        <w:t>الساتلية</w:t>
      </w:r>
      <w:proofErr w:type="spellEnd"/>
      <w:r w:rsidR="00C83AA2">
        <w:rPr>
          <w:rFonts w:hint="cs"/>
          <w:rtl/>
          <w:cs/>
          <w:lang w:bidi="ar-EG"/>
        </w:rPr>
        <w:t>؛</w:t>
      </w:r>
    </w:p>
    <w:p w14:paraId="061650A5" w14:textId="56C9A41D" w:rsidR="006A708D" w:rsidRPr="006A708D" w:rsidRDefault="006A708D" w:rsidP="006A708D">
      <w:pPr>
        <w:pStyle w:val="enumlev1"/>
        <w:rPr>
          <w:rtl/>
        </w:rPr>
      </w:pPr>
      <w:r>
        <w:rPr>
          <w:rFonts w:hint="cs"/>
          <w:lang w:bidi="ar-EG"/>
        </w:rPr>
        <w:sym w:font="Wingdings 2" w:char="F097"/>
      </w:r>
      <w:r>
        <w:rPr>
          <w:rtl/>
          <w:lang w:bidi="ar-EG"/>
        </w:rPr>
        <w:tab/>
      </w:r>
      <w:r w:rsidR="0014536D" w:rsidRPr="0014536D">
        <w:rPr>
          <w:rtl/>
          <w:lang w:bidi="ar-EG"/>
        </w:rPr>
        <w:t xml:space="preserve">‏يجب </w:t>
      </w:r>
      <w:r w:rsidR="0014536D">
        <w:rPr>
          <w:rFonts w:hint="cs"/>
          <w:rtl/>
          <w:lang w:bidi="ar-EG"/>
        </w:rPr>
        <w:t>أن تتاح</w:t>
      </w:r>
      <w:r w:rsidR="0014536D" w:rsidRPr="0014536D">
        <w:rPr>
          <w:rtl/>
          <w:lang w:bidi="ar-EG"/>
        </w:rPr>
        <w:t xml:space="preserve"> </w:t>
      </w:r>
      <w:r w:rsidR="0014536D">
        <w:rPr>
          <w:rFonts w:hint="cs"/>
          <w:rtl/>
          <w:lang w:bidi="ar-EG"/>
        </w:rPr>
        <w:t>ل</w:t>
      </w:r>
      <w:r w:rsidR="0014536D" w:rsidRPr="0014536D">
        <w:rPr>
          <w:rtl/>
          <w:lang w:bidi="ar-EG"/>
        </w:rPr>
        <w:t xml:space="preserve">لإدارات الفرصة لاستبعاد أراضيها من منطقة </w:t>
      </w:r>
      <w:r w:rsidR="000C019E">
        <w:rPr>
          <w:rFonts w:hint="cs"/>
          <w:rtl/>
          <w:lang w:bidi="ar-EG"/>
        </w:rPr>
        <w:t>ال</w:t>
      </w:r>
      <w:r w:rsidR="0014536D" w:rsidRPr="0014536D">
        <w:rPr>
          <w:rtl/>
          <w:lang w:bidi="ar-EG"/>
        </w:rPr>
        <w:t xml:space="preserve">خدمة </w:t>
      </w:r>
      <w:r w:rsidR="000C019E">
        <w:rPr>
          <w:rFonts w:hint="cs"/>
          <w:rtl/>
          <w:lang w:bidi="ar-EG"/>
        </w:rPr>
        <w:t>ل</w:t>
      </w:r>
      <w:r w:rsidR="0014536D" w:rsidRPr="0014536D">
        <w:rPr>
          <w:rtl/>
          <w:lang w:bidi="ar-EG"/>
        </w:rPr>
        <w:t xml:space="preserve">أي نظام </w:t>
      </w:r>
      <w:r w:rsidR="000C019E">
        <w:rPr>
          <w:rFonts w:hint="cs"/>
          <w:rtl/>
          <w:lang w:bidi="ar-EG"/>
        </w:rPr>
        <w:t>يستعمل</w:t>
      </w:r>
      <w:r w:rsidR="0014536D" w:rsidRPr="0014536D">
        <w:rPr>
          <w:rtl/>
          <w:lang w:bidi="ar-EG"/>
        </w:rPr>
        <w:t xml:space="preserve"> وصلات </w:t>
      </w:r>
      <w:r w:rsidR="0014536D">
        <w:rPr>
          <w:rFonts w:hint="cs"/>
          <w:rtl/>
          <w:lang w:bidi="ar-EG"/>
        </w:rPr>
        <w:t xml:space="preserve">بين </w:t>
      </w:r>
      <w:proofErr w:type="spellStart"/>
      <w:r w:rsidR="0014536D">
        <w:rPr>
          <w:rFonts w:hint="cs"/>
          <w:rtl/>
          <w:lang w:bidi="ar-EG"/>
        </w:rPr>
        <w:t>السواتل</w:t>
      </w:r>
      <w:proofErr w:type="spellEnd"/>
      <w:r w:rsidR="0014536D" w:rsidRPr="0014536D">
        <w:rPr>
          <w:rtl/>
          <w:lang w:bidi="ar-EG"/>
        </w:rPr>
        <w:t xml:space="preserve"> في إطار التوزيع الجديد </w:t>
      </w:r>
      <w:r w:rsidR="0014536D" w:rsidRPr="00B37AC6">
        <w:rPr>
          <w:rtl/>
          <w:lang w:bidi="ar-EG"/>
        </w:rPr>
        <w:t xml:space="preserve">للخدمة </w:t>
      </w:r>
      <w:r w:rsidR="0014536D" w:rsidRPr="00792EF9">
        <w:rPr>
          <w:rtl/>
        </w:rPr>
        <w:t xml:space="preserve">ما بين </w:t>
      </w:r>
      <w:proofErr w:type="spellStart"/>
      <w:r w:rsidR="0014536D" w:rsidRPr="00792EF9">
        <w:rPr>
          <w:rtl/>
        </w:rPr>
        <w:t>السواتل</w:t>
      </w:r>
      <w:proofErr w:type="spellEnd"/>
      <w:r w:rsidR="0014536D">
        <w:rPr>
          <w:rFonts w:hint="cs"/>
          <w:rtl/>
        </w:rPr>
        <w:t>؛</w:t>
      </w:r>
    </w:p>
    <w:p w14:paraId="21208D01" w14:textId="535E2237" w:rsidR="006A708D" w:rsidRPr="006A708D" w:rsidRDefault="006A708D" w:rsidP="006A708D">
      <w:pPr>
        <w:pStyle w:val="enumlev1"/>
        <w:rPr>
          <w:rtl/>
        </w:rPr>
      </w:pPr>
      <w:r>
        <w:rPr>
          <w:rFonts w:hint="cs"/>
          <w:lang w:bidi="ar-EG"/>
        </w:rPr>
        <w:sym w:font="Wingdings 2" w:char="F097"/>
      </w:r>
      <w:r>
        <w:rPr>
          <w:rtl/>
          <w:lang w:bidi="ar-EG"/>
        </w:rPr>
        <w:tab/>
      </w:r>
      <w:r w:rsidR="002D2178" w:rsidRPr="002D2178">
        <w:rPr>
          <w:rtl/>
          <w:lang w:bidi="ar-EG"/>
        </w:rPr>
        <w:t xml:space="preserve">‏تحديد أدوار وآليات مركز التحكم </w:t>
      </w:r>
      <w:r w:rsidR="00DA62AE">
        <w:rPr>
          <w:rFonts w:hint="cs"/>
          <w:rtl/>
          <w:lang w:bidi="ar-EG"/>
        </w:rPr>
        <w:t>في الشبكة ومراقبتها</w:t>
      </w:r>
      <w:r w:rsidR="002D2178" w:rsidRPr="002D2178">
        <w:rPr>
          <w:rtl/>
          <w:lang w:bidi="ar-EG"/>
        </w:rPr>
        <w:t xml:space="preserve"> (</w:t>
      </w:r>
      <w:r w:rsidR="002D2178" w:rsidRPr="002D2178">
        <w:rPr>
          <w:cs/>
          <w:lang w:bidi="ar-EG"/>
        </w:rPr>
        <w:t>‎</w:t>
      </w:r>
      <w:r w:rsidR="002D2178">
        <w:rPr>
          <w:lang w:bidi="ar-EG"/>
        </w:rPr>
        <w:t>NCMC</w:t>
      </w:r>
      <w:r w:rsidR="002D2178" w:rsidRPr="002D2178">
        <w:rPr>
          <w:rtl/>
          <w:lang w:bidi="ar-EG"/>
        </w:rPr>
        <w:t xml:space="preserve">) ‏فيما يتعلق بالوصلات بين </w:t>
      </w:r>
      <w:proofErr w:type="spellStart"/>
      <w:r w:rsidR="002D2178" w:rsidRPr="002D2178">
        <w:rPr>
          <w:rtl/>
          <w:lang w:bidi="ar-EG"/>
        </w:rPr>
        <w:t>السواتل</w:t>
      </w:r>
      <w:proofErr w:type="spellEnd"/>
      <w:r w:rsidR="002D2178">
        <w:rPr>
          <w:rFonts w:hint="cs"/>
          <w:rtl/>
          <w:lang w:bidi="ar-EG"/>
        </w:rPr>
        <w:t>؛</w:t>
      </w:r>
    </w:p>
    <w:p w14:paraId="78CE28A4" w14:textId="4BFEE1FF" w:rsidR="006A708D" w:rsidRPr="006A708D" w:rsidRDefault="006A708D" w:rsidP="006A708D">
      <w:pPr>
        <w:pStyle w:val="enumlev1"/>
        <w:rPr>
          <w:lang w:bidi="ar-EG"/>
        </w:rPr>
      </w:pPr>
      <w:r>
        <w:rPr>
          <w:rFonts w:hint="cs"/>
          <w:lang w:bidi="ar-EG"/>
        </w:rPr>
        <w:sym w:font="Wingdings 2" w:char="F097"/>
      </w:r>
      <w:r>
        <w:rPr>
          <w:rtl/>
          <w:lang w:bidi="ar-EG"/>
        </w:rPr>
        <w:tab/>
      </w:r>
      <w:r w:rsidR="00B7215F" w:rsidRPr="00B7215F">
        <w:rPr>
          <w:rtl/>
          <w:lang w:bidi="ar-EG"/>
        </w:rPr>
        <w:t xml:space="preserve">‏لا يسمح باستعمال الوصلات </w:t>
      </w:r>
      <w:r w:rsidR="00B7215F">
        <w:rPr>
          <w:rFonts w:hint="cs"/>
          <w:rtl/>
          <w:lang w:bidi="ar-EG"/>
        </w:rPr>
        <w:t xml:space="preserve">بين </w:t>
      </w:r>
      <w:proofErr w:type="spellStart"/>
      <w:r w:rsidR="00B7215F">
        <w:rPr>
          <w:rFonts w:hint="cs"/>
          <w:rtl/>
          <w:lang w:bidi="ar-EG"/>
        </w:rPr>
        <w:t>السواتل</w:t>
      </w:r>
      <w:proofErr w:type="spellEnd"/>
      <w:r w:rsidR="00B7215F" w:rsidRPr="00B7215F">
        <w:rPr>
          <w:rtl/>
          <w:lang w:bidi="ar-EG"/>
        </w:rPr>
        <w:t xml:space="preserve"> في إطار التوزيع الجديد </w:t>
      </w:r>
      <w:r w:rsidR="00B7215F">
        <w:rPr>
          <w:rFonts w:hint="cs"/>
          <w:rtl/>
          <w:lang w:bidi="ar-EG"/>
        </w:rPr>
        <w:t xml:space="preserve">للخدمة ما بين </w:t>
      </w:r>
      <w:proofErr w:type="spellStart"/>
      <w:r w:rsidR="00B7215F">
        <w:rPr>
          <w:rFonts w:hint="cs"/>
          <w:rtl/>
          <w:lang w:bidi="ar-EG"/>
        </w:rPr>
        <w:t>السواتل</w:t>
      </w:r>
      <w:proofErr w:type="spellEnd"/>
      <w:r w:rsidR="00B7215F" w:rsidRPr="00B7215F">
        <w:rPr>
          <w:rtl/>
          <w:lang w:bidi="ar-EG"/>
        </w:rPr>
        <w:t xml:space="preserve"> إلا في سياق مفهوم</w:t>
      </w:r>
      <w:r w:rsidR="00B7215F">
        <w:rPr>
          <w:rFonts w:hint="cs"/>
          <w:rtl/>
          <w:lang w:bidi="ar-EG"/>
        </w:rPr>
        <w:t xml:space="preserve"> التشغيل</w:t>
      </w:r>
      <w:r w:rsidR="00B7215F" w:rsidRPr="00B7215F">
        <w:rPr>
          <w:rtl/>
          <w:lang w:bidi="ar-EG"/>
        </w:rPr>
        <w:t xml:space="preserve"> "</w:t>
      </w:r>
      <w:r w:rsidR="00B7215F">
        <w:rPr>
          <w:rFonts w:hint="cs"/>
          <w:rtl/>
          <w:lang w:bidi="ar-EG"/>
        </w:rPr>
        <w:t>ضمن</w:t>
      </w:r>
      <w:r w:rsidR="00B7215F" w:rsidRPr="00B7215F">
        <w:rPr>
          <w:rtl/>
          <w:lang w:bidi="ar-EG"/>
        </w:rPr>
        <w:t xml:space="preserve"> المخروط</w:t>
      </w:r>
      <w:r w:rsidR="00B7215F">
        <w:rPr>
          <w:rFonts w:hint="cs"/>
          <w:rtl/>
          <w:lang w:bidi="ar-EG"/>
        </w:rPr>
        <w:t>".</w:t>
      </w:r>
    </w:p>
    <w:p w14:paraId="033D2982" w14:textId="56B20D39" w:rsidR="006A708D" w:rsidRDefault="006A708D" w:rsidP="006A708D">
      <w:pPr>
        <w:pStyle w:val="Headingb"/>
      </w:pPr>
      <w:r>
        <w:rPr>
          <w:rFonts w:hint="cs"/>
          <w:rtl/>
        </w:rPr>
        <w:t>المقترح</w:t>
      </w:r>
    </w:p>
    <w:p w14:paraId="5E109468" w14:textId="77777777" w:rsidR="004C67F1" w:rsidRPr="006A708D" w:rsidRDefault="004C67F1" w:rsidP="005D0A99">
      <w:pPr>
        <w:rPr>
          <w:rtl/>
          <w:lang w:val="en-GB" w:bidi="ar-EG"/>
        </w:rPr>
      </w:pPr>
      <w:r w:rsidRPr="006A708D">
        <w:rPr>
          <w:rtl/>
          <w:lang w:val="en-GB" w:bidi="ar-EG"/>
        </w:rPr>
        <w:br w:type="page"/>
      </w:r>
    </w:p>
    <w:p w14:paraId="6EAFB3C0" w14:textId="77777777" w:rsidR="00BB1BAF" w:rsidRDefault="00BB1BAF" w:rsidP="00BB1BAF">
      <w:pPr>
        <w:pStyle w:val="Proposal"/>
      </w:pPr>
      <w:r>
        <w:rPr>
          <w:u w:val="single"/>
        </w:rPr>
        <w:lastRenderedPageBreak/>
        <w:t>NOC</w:t>
      </w:r>
      <w:r>
        <w:tab/>
        <w:t>RCC/85A17/1</w:t>
      </w:r>
    </w:p>
    <w:p w14:paraId="4AD3E3A5" w14:textId="77777777" w:rsidR="00675555" w:rsidRPr="008D2117" w:rsidRDefault="00675555" w:rsidP="008D2117">
      <w:pPr>
        <w:pStyle w:val="Volumetitle"/>
      </w:pPr>
      <w:r w:rsidRPr="008D2117">
        <w:rPr>
          <w:rFonts w:hint="cs"/>
          <w:rtl/>
        </w:rPr>
        <w:t>المــواد</w:t>
      </w:r>
    </w:p>
    <w:p w14:paraId="3DD1053C" w14:textId="0A3431AC" w:rsidR="00B41724" w:rsidRPr="008D2117" w:rsidRDefault="00B41724" w:rsidP="008D2117">
      <w:pPr>
        <w:pStyle w:val="Reasons"/>
      </w:pPr>
    </w:p>
    <w:p w14:paraId="19351C84" w14:textId="77777777" w:rsidR="00BB1BAF" w:rsidRDefault="00BB1BAF" w:rsidP="00BB1BAF">
      <w:pPr>
        <w:pStyle w:val="Proposal"/>
      </w:pPr>
      <w:r>
        <w:rPr>
          <w:u w:val="single"/>
        </w:rPr>
        <w:t>NOC</w:t>
      </w:r>
      <w:r>
        <w:tab/>
        <w:t>RCC/85A17/2</w:t>
      </w:r>
    </w:p>
    <w:p w14:paraId="46C90FFF" w14:textId="77777777" w:rsidR="007B4973" w:rsidRPr="008D2117" w:rsidRDefault="007B4973" w:rsidP="008D2117">
      <w:pPr>
        <w:pStyle w:val="Volumetitle"/>
        <w:rPr>
          <w:rtl/>
        </w:rPr>
      </w:pPr>
      <w:proofErr w:type="spellStart"/>
      <w:r w:rsidRPr="008D2117">
        <w:rPr>
          <w:rFonts w:hint="cs"/>
          <w:rtl/>
        </w:rPr>
        <w:t>التذييـلات</w:t>
      </w:r>
      <w:proofErr w:type="spellEnd"/>
    </w:p>
    <w:p w14:paraId="2A778281" w14:textId="3A0D816A" w:rsidR="00B41724" w:rsidRPr="006A708D" w:rsidRDefault="00B41724">
      <w:pPr>
        <w:pStyle w:val="Reasons"/>
      </w:pPr>
    </w:p>
    <w:p w14:paraId="0432BB19" w14:textId="77777777" w:rsidR="00BB1BAF" w:rsidRDefault="00BB1BAF" w:rsidP="00BB1BAF">
      <w:pPr>
        <w:pStyle w:val="Proposal"/>
      </w:pPr>
      <w:bookmarkStart w:id="1" w:name="_Toc36038461"/>
      <w:bookmarkStart w:id="2" w:name="_Toc40075983"/>
      <w:r>
        <w:t>SUP</w:t>
      </w:r>
      <w:r>
        <w:tab/>
        <w:t>RCC/85A17/3</w:t>
      </w:r>
    </w:p>
    <w:p w14:paraId="4A2E7915" w14:textId="77777777" w:rsidR="007B4973" w:rsidRPr="008D2117" w:rsidRDefault="007B4973" w:rsidP="008D2117">
      <w:pPr>
        <w:pStyle w:val="ResNo"/>
        <w:rPr>
          <w:rtl/>
        </w:rPr>
      </w:pPr>
      <w:r w:rsidRPr="008D2117">
        <w:rPr>
          <w:rFonts w:hint="cs"/>
          <w:rtl/>
        </w:rPr>
        <w:t xml:space="preserve">القرار </w:t>
      </w:r>
      <w:r w:rsidRPr="008D2117">
        <w:rPr>
          <w:rStyle w:val="href"/>
        </w:rPr>
        <w:t>773</w:t>
      </w:r>
      <w:r w:rsidRPr="008D2117">
        <w:t xml:space="preserve"> (WRC-19)</w:t>
      </w:r>
      <w:bookmarkEnd w:id="1"/>
      <w:bookmarkEnd w:id="2"/>
    </w:p>
    <w:p w14:paraId="73E80A58" w14:textId="77777777" w:rsidR="007B4973" w:rsidRPr="005D0A99" w:rsidRDefault="007B4973" w:rsidP="005D0A99">
      <w:pPr>
        <w:pStyle w:val="Restitle"/>
        <w:rPr>
          <w:rtl/>
        </w:rPr>
      </w:pPr>
      <w:bookmarkStart w:id="3" w:name="_Toc36038462"/>
      <w:bookmarkStart w:id="4" w:name="_Toc40075984"/>
      <w:r w:rsidRPr="005D0A99">
        <w:rPr>
          <w:rtl/>
        </w:rPr>
        <w:t xml:space="preserve">دراسة المسائل التقنية والتشغيلية والأحكام التنظيمية </w:t>
      </w:r>
      <w:r w:rsidRPr="005D0A99">
        <w:rPr>
          <w:rFonts w:hint="cs"/>
          <w:rtl/>
        </w:rPr>
        <w:t xml:space="preserve">المتعلقة بالوصلات </w:t>
      </w:r>
      <w:r w:rsidRPr="005D0A99">
        <w:rPr>
          <w:rtl/>
        </w:rPr>
        <w:t xml:space="preserve">بين </w:t>
      </w:r>
      <w:proofErr w:type="spellStart"/>
      <w:r w:rsidRPr="005D0A99">
        <w:rPr>
          <w:rtl/>
        </w:rPr>
        <w:t>السواتل</w:t>
      </w:r>
      <w:proofErr w:type="spellEnd"/>
      <w:r w:rsidRPr="005D0A99">
        <w:rPr>
          <w:rtl/>
        </w:rPr>
        <w:t xml:space="preserve"> في</w:t>
      </w:r>
      <w:r w:rsidRPr="005D0A99">
        <w:rPr>
          <w:rFonts w:hint="cs"/>
          <w:rtl/>
        </w:rPr>
        <w:t xml:space="preserve"> نطاقات التردد </w:t>
      </w:r>
      <w:r w:rsidRPr="005D0A99">
        <w:t>GHz 12,7</w:t>
      </w:r>
      <w:r w:rsidRPr="005D0A99">
        <w:noBreakHyphen/>
        <w:t>11,7</w:t>
      </w:r>
      <w:r w:rsidRPr="005D0A99">
        <w:rPr>
          <w:rFonts w:hint="cs"/>
          <w:rtl/>
        </w:rPr>
        <w:t xml:space="preserve"> و</w:t>
      </w:r>
      <w:r w:rsidRPr="005D0A99">
        <w:t>GHz 18,6</w:t>
      </w:r>
      <w:r w:rsidRPr="005D0A99">
        <w:noBreakHyphen/>
        <w:t>18,1</w:t>
      </w:r>
      <w:r w:rsidRPr="005D0A99">
        <w:rPr>
          <w:rFonts w:hint="cs"/>
          <w:rtl/>
        </w:rPr>
        <w:t xml:space="preserve"> و</w:t>
      </w:r>
      <w:r w:rsidRPr="005D0A99">
        <w:t>GHz 20,2</w:t>
      </w:r>
      <w:r w:rsidRPr="005D0A99">
        <w:noBreakHyphen/>
        <w:t>18,8</w:t>
      </w:r>
      <w:r w:rsidRPr="005D0A99">
        <w:rPr>
          <w:rFonts w:hint="cs"/>
          <w:rtl/>
        </w:rPr>
        <w:t xml:space="preserve"> و</w:t>
      </w:r>
      <w:r w:rsidRPr="005D0A99">
        <w:t>GHz 30</w:t>
      </w:r>
      <w:r w:rsidRPr="005D0A99">
        <w:noBreakHyphen/>
        <w:t>27,5</w:t>
      </w:r>
      <w:bookmarkEnd w:id="3"/>
      <w:bookmarkEnd w:id="4"/>
    </w:p>
    <w:p w14:paraId="1C48DF52" w14:textId="73B52C40" w:rsidR="00B41724" w:rsidRDefault="00B41724">
      <w:pPr>
        <w:pStyle w:val="Reasons"/>
        <w:rPr>
          <w:rtl/>
        </w:rPr>
      </w:pPr>
    </w:p>
    <w:p w14:paraId="3825C12B" w14:textId="233E5758" w:rsidR="008D2117" w:rsidRPr="008D2117" w:rsidRDefault="008D2117" w:rsidP="008D2117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8D2117" w:rsidRPr="008D211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6494" w14:textId="77777777" w:rsidR="001A6F04" w:rsidRDefault="001A6F04" w:rsidP="002919E1">
      <w:r>
        <w:separator/>
      </w:r>
    </w:p>
    <w:p w14:paraId="1CCA5ED4" w14:textId="77777777" w:rsidR="001A6F04" w:rsidRDefault="001A6F04" w:rsidP="002919E1"/>
    <w:p w14:paraId="1AA4B56C" w14:textId="77777777" w:rsidR="001A6F04" w:rsidRDefault="001A6F04" w:rsidP="002919E1"/>
    <w:p w14:paraId="3BD0B1DF" w14:textId="77777777" w:rsidR="001A6F04" w:rsidRDefault="001A6F04"/>
    <w:p w14:paraId="50449659" w14:textId="77777777" w:rsidR="001A6F04" w:rsidRDefault="001A6F04"/>
  </w:endnote>
  <w:endnote w:type="continuationSeparator" w:id="0">
    <w:p w14:paraId="677FD47A" w14:textId="77777777" w:rsidR="001A6F04" w:rsidRDefault="001A6F04" w:rsidP="002919E1">
      <w:r>
        <w:continuationSeparator/>
      </w:r>
    </w:p>
    <w:p w14:paraId="2E07311A" w14:textId="77777777" w:rsidR="001A6F04" w:rsidRDefault="001A6F04" w:rsidP="002919E1"/>
    <w:p w14:paraId="64F371AF" w14:textId="77777777" w:rsidR="001A6F04" w:rsidRDefault="001A6F04" w:rsidP="002919E1"/>
    <w:p w14:paraId="6A5D2C1A" w14:textId="77777777" w:rsidR="001A6F04" w:rsidRDefault="001A6F04"/>
    <w:p w14:paraId="1371C002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6AB2" w14:textId="7DA9B9C6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0A99">
      <w:rPr>
        <w:noProof/>
        <w:sz w:val="16"/>
        <w:szCs w:val="16"/>
        <w:lang w:val="fr-FR"/>
      </w:rPr>
      <w:t>P:\ARA\ITU-R\CONF-R\CMR23\000\085ADD17A.docx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8D2117" w:rsidRPr="008D2117">
      <w:rPr>
        <w:sz w:val="16"/>
        <w:szCs w:val="16"/>
        <w:lang w:val="fr-FR"/>
      </w:rPr>
      <w:t>529884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A835" w14:textId="61D6A64A" w:rsidR="008D2117" w:rsidRPr="008D2117" w:rsidRDefault="008D2117" w:rsidP="008D211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9F36B1">
      <w:rPr>
        <w:noProof/>
        <w:sz w:val="16"/>
        <w:szCs w:val="16"/>
        <w:lang w:val="fr-FR"/>
      </w:rPr>
      <w:t>P:\ARA\ITU-R\CONF-R\CMR23\000\085ADD17A.docx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8D2117">
      <w:rPr>
        <w:sz w:val="16"/>
        <w:szCs w:val="16"/>
        <w:lang w:val="fr-FR"/>
      </w:rPr>
      <w:t>529884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2282" w14:textId="1E9391A9" w:rsidR="008D2117" w:rsidRPr="008D2117" w:rsidRDefault="008D2117" w:rsidP="008D211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D0A99">
      <w:rPr>
        <w:noProof/>
        <w:sz w:val="16"/>
        <w:szCs w:val="16"/>
        <w:lang w:val="fr-FR"/>
      </w:rPr>
      <w:t>P:\ARA\ITU-R\CONF-R\CMR23\000\085ADD17A.docx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Pr="008D2117">
      <w:rPr>
        <w:sz w:val="16"/>
        <w:szCs w:val="16"/>
        <w:lang w:val="fr-FR"/>
      </w:rPr>
      <w:t>529884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6069D" w14:textId="77777777" w:rsidR="001A6F04" w:rsidRDefault="001A6F04" w:rsidP="00C45930">
      <w:r>
        <w:separator/>
      </w:r>
    </w:p>
  </w:footnote>
  <w:footnote w:type="continuationSeparator" w:id="0">
    <w:p w14:paraId="0F8487F0" w14:textId="77777777" w:rsidR="001A6F04" w:rsidRDefault="001A6F04" w:rsidP="002919E1">
      <w:r>
        <w:continuationSeparator/>
      </w:r>
    </w:p>
    <w:p w14:paraId="6A5FC971" w14:textId="77777777" w:rsidR="001A6F04" w:rsidRDefault="001A6F04" w:rsidP="002919E1"/>
    <w:p w14:paraId="77BFEA49" w14:textId="77777777" w:rsidR="001A6F04" w:rsidRDefault="001A6F04" w:rsidP="002919E1"/>
    <w:p w14:paraId="188BE47D" w14:textId="77777777" w:rsidR="001A6F04" w:rsidRDefault="001A6F04"/>
    <w:p w14:paraId="49C94D87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A8CD" w14:textId="7136982C" w:rsidR="00D63A6F" w:rsidRPr="008D2117" w:rsidRDefault="005E5F16" w:rsidP="008D2117">
    <w:pPr>
      <w:bidi w:val="0"/>
      <w:spacing w:after="360" w:line="240" w:lineRule="auto"/>
      <w:jc w:val="center"/>
      <w:rPr>
        <w:sz w:val="20"/>
        <w:szCs w:val="20"/>
      </w:rPr>
    </w:pPr>
    <w:r w:rsidRPr="008D2117">
      <w:rPr>
        <w:rStyle w:val="PageNumber"/>
        <w:rFonts w:ascii="Dubai" w:hAnsi="Dubai" w:cs="Dubai"/>
      </w:rPr>
      <w:fldChar w:fldCharType="begin"/>
    </w:r>
    <w:r w:rsidRPr="008D2117">
      <w:rPr>
        <w:rStyle w:val="PageNumber"/>
        <w:rFonts w:ascii="Dubai" w:hAnsi="Dubai" w:cs="Dubai"/>
      </w:rPr>
      <w:instrText xml:space="preserve"> PAGE </w:instrText>
    </w:r>
    <w:r w:rsidRPr="008D2117">
      <w:rPr>
        <w:rStyle w:val="PageNumber"/>
        <w:rFonts w:ascii="Dubai" w:hAnsi="Dubai" w:cs="Dubai"/>
      </w:rPr>
      <w:fldChar w:fldCharType="separate"/>
    </w:r>
    <w:r w:rsidRPr="008D2117">
      <w:rPr>
        <w:rStyle w:val="PageNumber"/>
        <w:rFonts w:ascii="Dubai" w:hAnsi="Dubai" w:cs="Dubai"/>
      </w:rPr>
      <w:t>2</w:t>
    </w:r>
    <w:r w:rsidRPr="008D2117">
      <w:rPr>
        <w:rStyle w:val="PageNumber"/>
        <w:rFonts w:ascii="Dubai" w:hAnsi="Dubai" w:cs="Dubai"/>
      </w:rPr>
      <w:fldChar w:fldCharType="end"/>
    </w:r>
    <w:r w:rsidRPr="008D2117">
      <w:rPr>
        <w:rStyle w:val="PageNumber"/>
        <w:rFonts w:ascii="Dubai" w:hAnsi="Dubai" w:cs="Dubai"/>
        <w:rtl/>
      </w:rPr>
      <w:br/>
    </w:r>
    <w:r w:rsidR="004F5F29" w:rsidRPr="008D2117">
      <w:rPr>
        <w:rStyle w:val="PageNumber"/>
        <w:rFonts w:ascii="Dubai" w:hAnsi="Dubai" w:cs="Dubai"/>
      </w:rPr>
      <w:t>WRC</w:t>
    </w:r>
    <w:r w:rsidRPr="008D2117">
      <w:rPr>
        <w:rStyle w:val="PageNumber"/>
        <w:rFonts w:ascii="Dubai" w:hAnsi="Dubai" w:cs="Dubai"/>
      </w:rPr>
      <w:t>23/85(Add.17)-A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F10E" w14:textId="499B2DA6" w:rsidR="008D2117" w:rsidRPr="008D2117" w:rsidRDefault="008D2117" w:rsidP="008D2117">
    <w:pPr>
      <w:bidi w:val="0"/>
      <w:spacing w:after="360" w:line="240" w:lineRule="auto"/>
      <w:jc w:val="center"/>
      <w:rPr>
        <w:sz w:val="20"/>
        <w:szCs w:val="20"/>
      </w:rPr>
    </w:pPr>
    <w:r w:rsidRPr="008D2117">
      <w:rPr>
        <w:rStyle w:val="PageNumber"/>
        <w:rFonts w:ascii="Dubai" w:hAnsi="Dubai" w:cs="Dubai"/>
      </w:rPr>
      <w:fldChar w:fldCharType="begin"/>
    </w:r>
    <w:r w:rsidRPr="008D2117">
      <w:rPr>
        <w:rStyle w:val="PageNumber"/>
        <w:rFonts w:ascii="Dubai" w:hAnsi="Dubai" w:cs="Dubai"/>
      </w:rPr>
      <w:instrText xml:space="preserve"> PAGE </w:instrText>
    </w:r>
    <w:r w:rsidRPr="008D2117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8D2117">
      <w:rPr>
        <w:rStyle w:val="PageNumber"/>
        <w:rFonts w:ascii="Dubai" w:hAnsi="Dubai" w:cs="Dubai"/>
      </w:rPr>
      <w:fldChar w:fldCharType="end"/>
    </w:r>
    <w:r w:rsidRPr="008D2117">
      <w:rPr>
        <w:rStyle w:val="PageNumber"/>
        <w:rFonts w:ascii="Dubai" w:hAnsi="Dubai" w:cs="Dubai"/>
        <w:rtl/>
      </w:rPr>
      <w:br/>
    </w:r>
    <w:r w:rsidRPr="008D2117">
      <w:rPr>
        <w:rStyle w:val="PageNumber"/>
        <w:rFonts w:ascii="Dubai" w:hAnsi="Dubai" w:cs="Dubai"/>
      </w:rPr>
      <w:t>WRC23/85(Add.17)-A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1862356">
    <w:abstractNumId w:val="9"/>
  </w:num>
  <w:num w:numId="2" w16cid:durableId="1628202656">
    <w:abstractNumId w:val="13"/>
  </w:num>
  <w:num w:numId="3" w16cid:durableId="1779368238">
    <w:abstractNumId w:val="11"/>
  </w:num>
  <w:num w:numId="4" w16cid:durableId="344599393">
    <w:abstractNumId w:val="14"/>
  </w:num>
  <w:num w:numId="5" w16cid:durableId="89208234">
    <w:abstractNumId w:val="7"/>
  </w:num>
  <w:num w:numId="6" w16cid:durableId="487523361">
    <w:abstractNumId w:val="6"/>
  </w:num>
  <w:num w:numId="7" w16cid:durableId="711149854">
    <w:abstractNumId w:val="5"/>
  </w:num>
  <w:num w:numId="8" w16cid:durableId="1631008240">
    <w:abstractNumId w:val="4"/>
  </w:num>
  <w:num w:numId="9" w16cid:durableId="1256943598">
    <w:abstractNumId w:val="8"/>
  </w:num>
  <w:num w:numId="10" w16cid:durableId="1340542060">
    <w:abstractNumId w:val="3"/>
  </w:num>
  <w:num w:numId="11" w16cid:durableId="529613565">
    <w:abstractNumId w:val="2"/>
  </w:num>
  <w:num w:numId="12" w16cid:durableId="221478233">
    <w:abstractNumId w:val="1"/>
  </w:num>
  <w:num w:numId="13" w16cid:durableId="172064550">
    <w:abstractNumId w:val="0"/>
  </w:num>
  <w:num w:numId="14" w16cid:durableId="222957651">
    <w:abstractNumId w:val="10"/>
  </w:num>
  <w:num w:numId="15" w16cid:durableId="1484159078">
    <w:abstractNumId w:val="15"/>
  </w:num>
  <w:num w:numId="16" w16cid:durableId="1168713535">
    <w:abstractNumId w:val="12"/>
  </w:num>
  <w:num w:numId="17" w16cid:durableId="212160435">
    <w:abstractNumId w:val="6"/>
  </w:num>
  <w:num w:numId="18" w16cid:durableId="991057281">
    <w:abstractNumId w:val="5"/>
  </w:num>
  <w:num w:numId="19" w16cid:durableId="1089347535">
    <w:abstractNumId w:val="3"/>
  </w:num>
  <w:num w:numId="20" w16cid:durableId="586227440">
    <w:abstractNumId w:val="2"/>
  </w:num>
  <w:num w:numId="21" w16cid:durableId="795834429">
    <w:abstractNumId w:val="6"/>
  </w:num>
  <w:num w:numId="22" w16cid:durableId="1579293678">
    <w:abstractNumId w:val="5"/>
  </w:num>
  <w:num w:numId="23" w16cid:durableId="703868437">
    <w:abstractNumId w:val="3"/>
  </w:num>
  <w:num w:numId="24" w16cid:durableId="1091660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16A96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019E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536D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F039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2178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4A51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07FD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0A99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A708D"/>
    <w:rsid w:val="006B3B37"/>
    <w:rsid w:val="006B4B90"/>
    <w:rsid w:val="006B658C"/>
    <w:rsid w:val="006C00B7"/>
    <w:rsid w:val="006C0EBE"/>
    <w:rsid w:val="006C30E9"/>
    <w:rsid w:val="006D2674"/>
    <w:rsid w:val="006D57B9"/>
    <w:rsid w:val="006E3572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2EF9"/>
    <w:rsid w:val="00794B15"/>
    <w:rsid w:val="00797A62"/>
    <w:rsid w:val="007A0802"/>
    <w:rsid w:val="007A0EE1"/>
    <w:rsid w:val="007A3881"/>
    <w:rsid w:val="007A42F1"/>
    <w:rsid w:val="007A59AF"/>
    <w:rsid w:val="007B1FCA"/>
    <w:rsid w:val="007B4973"/>
    <w:rsid w:val="007B4AC4"/>
    <w:rsid w:val="007C12CE"/>
    <w:rsid w:val="007C2C12"/>
    <w:rsid w:val="007C3CFA"/>
    <w:rsid w:val="007C4D86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117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73FFD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36B1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17511"/>
    <w:rsid w:val="00B20F59"/>
    <w:rsid w:val="00B23C68"/>
    <w:rsid w:val="00B24B17"/>
    <w:rsid w:val="00B26943"/>
    <w:rsid w:val="00B269D2"/>
    <w:rsid w:val="00B303E0"/>
    <w:rsid w:val="00B357D8"/>
    <w:rsid w:val="00B357E9"/>
    <w:rsid w:val="00B37AC6"/>
    <w:rsid w:val="00B4164D"/>
    <w:rsid w:val="00B41724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5F"/>
    <w:rsid w:val="00B721D5"/>
    <w:rsid w:val="00B815F2"/>
    <w:rsid w:val="00B81CB5"/>
    <w:rsid w:val="00B81FFB"/>
    <w:rsid w:val="00B8351F"/>
    <w:rsid w:val="00B86C44"/>
    <w:rsid w:val="00B97131"/>
    <w:rsid w:val="00B9727C"/>
    <w:rsid w:val="00BA2033"/>
    <w:rsid w:val="00BA5669"/>
    <w:rsid w:val="00BA7D44"/>
    <w:rsid w:val="00BB1BAF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1687D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3AA2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62AE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07EE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47145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c5938e-4347-4929-99f4-cfb1436fbdb6" targetNamespace="http://schemas.microsoft.com/office/2006/metadata/properties" ma:root="true" ma:fieldsID="d41af5c836d734370eb92e7ee5f83852" ns2:_="" ns3:_="">
    <xsd:import namespace="996b2e75-67fd-4955-a3b0-5ab9934cb50b"/>
    <xsd:import namespace="8cc5938e-4347-4929-99f4-cfb1436fbd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5938e-4347-4929-99f4-cfb1436fbd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c5938e-4347-4929-99f4-cfb1436fbdb6">DPM</DPM_x0020_Author>
    <DPM_x0020_File_x0020_name xmlns="8cc5938e-4347-4929-99f4-cfb1436fbdb6">R23-WRC23-C-0085!A17!MSW-A</DPM_x0020_File_x0020_name>
    <DPM_x0020_Version xmlns="8cc5938e-4347-4929-99f4-cfb1436fbdb6">DPM_2022.05.12.01</DPM_x0020_Version>
  </documentManagement>
</p:properties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c5938e-4347-4929-99f4-cfb1436fb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8cc5938e-4347-4929-99f4-cfb1436fbdb6"/>
    <ds:schemaRef ds:uri="http://schemas.microsoft.com/office/2006/documentManagement/types"/>
    <ds:schemaRef ds:uri="http://purl.org/dc/dcmitype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R23-WRC23-C-0085!A17!MSW-A</vt:lpstr>
    </vt:vector>
  </TitlesOfParts>
  <Manager>General Secretariat - Pool</Manager>
  <Company>International Telecommunication Union (ITU)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R23-WRC23-C-0085!A17!MSW-A</dc:title>
  <dc:creator>Documents Proposals Manager (DPM)</dc:creator>
  <cp:keywords>DPM_v2023.11.6.1_prod</cp:keywords>
  <cp:lastModifiedBy>Arabic-AAM</cp:lastModifiedBy>
  <cp:revision>5</cp:revision>
  <cp:lastPrinted>2020-08-11T14:28:00Z</cp:lastPrinted>
  <dcterms:created xsi:type="dcterms:W3CDTF">2023-11-19T16:13:00Z</dcterms:created>
  <dcterms:modified xsi:type="dcterms:W3CDTF">2023-11-19T16:17:00Z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