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4C4F78" w14:paraId="58A87007" w14:textId="77777777" w:rsidTr="00C1305F">
        <w:trPr>
          <w:cantSplit/>
        </w:trPr>
        <w:tc>
          <w:tcPr>
            <w:tcW w:w="1418" w:type="dxa"/>
            <w:vAlign w:val="center"/>
          </w:tcPr>
          <w:p w14:paraId="4BEB050D" w14:textId="77777777" w:rsidR="00C1305F" w:rsidRPr="004C4F78" w:rsidRDefault="00C1305F" w:rsidP="00C1305F">
            <w:pPr>
              <w:spacing w:before="0" w:line="240" w:lineRule="atLeast"/>
              <w:rPr>
                <w:rFonts w:ascii="Verdana" w:hAnsi="Verdana"/>
                <w:b/>
                <w:bCs/>
                <w:sz w:val="20"/>
              </w:rPr>
            </w:pPr>
            <w:r w:rsidRPr="004C4F78">
              <w:rPr>
                <w:noProof/>
              </w:rPr>
              <w:drawing>
                <wp:inline distT="0" distB="0" distL="0" distR="0" wp14:anchorId="722D0EF8" wp14:editId="45A4362E">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122D9CD1" w14:textId="009F5512" w:rsidR="00C1305F" w:rsidRPr="004C4F78" w:rsidRDefault="00C1305F" w:rsidP="00F10064">
            <w:pPr>
              <w:spacing w:before="400" w:after="48" w:line="240" w:lineRule="atLeast"/>
              <w:rPr>
                <w:rFonts w:ascii="Verdana" w:hAnsi="Verdana"/>
                <w:b/>
                <w:bCs/>
                <w:sz w:val="20"/>
              </w:rPr>
            </w:pPr>
            <w:r w:rsidRPr="004C4F78">
              <w:rPr>
                <w:rFonts w:ascii="Verdana" w:hAnsi="Verdana"/>
                <w:b/>
                <w:bCs/>
                <w:sz w:val="20"/>
              </w:rPr>
              <w:t>Conférence mondiale des radiocommunications (CMR-23)</w:t>
            </w:r>
            <w:r w:rsidRPr="004C4F78">
              <w:rPr>
                <w:rFonts w:ascii="Verdana" w:hAnsi="Verdana"/>
                <w:b/>
                <w:bCs/>
                <w:sz w:val="20"/>
              </w:rPr>
              <w:br/>
            </w:r>
            <w:r w:rsidRPr="004C4F78">
              <w:rPr>
                <w:rFonts w:ascii="Verdana" w:hAnsi="Verdana"/>
                <w:b/>
                <w:bCs/>
                <w:sz w:val="18"/>
                <w:szCs w:val="18"/>
              </w:rPr>
              <w:t xml:space="preserve">Dubaï, 20 novembre </w:t>
            </w:r>
            <w:r w:rsidR="00AD1973" w:rsidRPr="004C4F78">
              <w:rPr>
                <w:rFonts w:ascii="Verdana" w:hAnsi="Verdana"/>
                <w:b/>
                <w:bCs/>
                <w:sz w:val="18"/>
                <w:szCs w:val="18"/>
              </w:rPr>
              <w:t>–</w:t>
            </w:r>
            <w:r w:rsidRPr="004C4F78">
              <w:rPr>
                <w:rFonts w:ascii="Verdana" w:hAnsi="Verdana"/>
                <w:b/>
                <w:bCs/>
                <w:sz w:val="18"/>
                <w:szCs w:val="18"/>
              </w:rPr>
              <w:t xml:space="preserve"> 15 décembre 2023</w:t>
            </w:r>
          </w:p>
        </w:tc>
        <w:tc>
          <w:tcPr>
            <w:tcW w:w="1809" w:type="dxa"/>
            <w:vAlign w:val="center"/>
          </w:tcPr>
          <w:p w14:paraId="7AE5B046" w14:textId="77777777" w:rsidR="00C1305F" w:rsidRPr="004C4F78" w:rsidRDefault="00C1305F" w:rsidP="00C1305F">
            <w:pPr>
              <w:spacing w:before="0" w:line="240" w:lineRule="atLeast"/>
            </w:pPr>
            <w:r w:rsidRPr="004C4F78">
              <w:rPr>
                <w:noProof/>
              </w:rPr>
              <w:drawing>
                <wp:inline distT="0" distB="0" distL="0" distR="0" wp14:anchorId="47BF66BD" wp14:editId="14D54D4F">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4C4F78" w14:paraId="73746024" w14:textId="77777777" w:rsidTr="0050008E">
        <w:trPr>
          <w:cantSplit/>
        </w:trPr>
        <w:tc>
          <w:tcPr>
            <w:tcW w:w="6911" w:type="dxa"/>
            <w:gridSpan w:val="2"/>
            <w:tcBorders>
              <w:bottom w:val="single" w:sz="12" w:space="0" w:color="auto"/>
            </w:tcBorders>
          </w:tcPr>
          <w:p w14:paraId="50DEAD76" w14:textId="77777777" w:rsidR="00BB1D82" w:rsidRPr="004C4F78" w:rsidRDefault="00BB1D82" w:rsidP="00BB1D82">
            <w:pPr>
              <w:spacing w:before="0" w:after="48" w:line="240" w:lineRule="atLeast"/>
              <w:rPr>
                <w:b/>
                <w:smallCaps/>
                <w:szCs w:val="24"/>
              </w:rPr>
            </w:pPr>
          </w:p>
        </w:tc>
        <w:tc>
          <w:tcPr>
            <w:tcW w:w="3120" w:type="dxa"/>
            <w:gridSpan w:val="2"/>
            <w:tcBorders>
              <w:bottom w:val="single" w:sz="12" w:space="0" w:color="auto"/>
            </w:tcBorders>
          </w:tcPr>
          <w:p w14:paraId="09B15772" w14:textId="77777777" w:rsidR="00BB1D82" w:rsidRPr="004C4F78" w:rsidRDefault="00BB1D82" w:rsidP="00BB1D82">
            <w:pPr>
              <w:spacing w:before="0" w:line="240" w:lineRule="atLeast"/>
              <w:rPr>
                <w:rFonts w:ascii="Verdana" w:hAnsi="Verdana"/>
                <w:szCs w:val="24"/>
              </w:rPr>
            </w:pPr>
          </w:p>
        </w:tc>
      </w:tr>
      <w:tr w:rsidR="00BB1D82" w:rsidRPr="004C4F78" w14:paraId="6581A4EA" w14:textId="77777777" w:rsidTr="00BB1D82">
        <w:trPr>
          <w:cantSplit/>
        </w:trPr>
        <w:tc>
          <w:tcPr>
            <w:tcW w:w="6911" w:type="dxa"/>
            <w:gridSpan w:val="2"/>
            <w:tcBorders>
              <w:top w:val="single" w:sz="12" w:space="0" w:color="auto"/>
            </w:tcBorders>
          </w:tcPr>
          <w:p w14:paraId="529939F7" w14:textId="77777777" w:rsidR="00BB1D82" w:rsidRPr="004C4F78" w:rsidRDefault="00BB1D82" w:rsidP="00BB1D82">
            <w:pPr>
              <w:spacing w:before="0" w:after="48" w:line="240" w:lineRule="atLeast"/>
              <w:rPr>
                <w:rFonts w:ascii="Verdana" w:hAnsi="Verdana"/>
                <w:b/>
                <w:smallCaps/>
                <w:sz w:val="20"/>
              </w:rPr>
            </w:pPr>
          </w:p>
        </w:tc>
        <w:tc>
          <w:tcPr>
            <w:tcW w:w="3120" w:type="dxa"/>
            <w:gridSpan w:val="2"/>
            <w:tcBorders>
              <w:top w:val="single" w:sz="12" w:space="0" w:color="auto"/>
            </w:tcBorders>
          </w:tcPr>
          <w:p w14:paraId="5B51A05B" w14:textId="77777777" w:rsidR="00BB1D82" w:rsidRPr="004C4F78" w:rsidRDefault="00BB1D82" w:rsidP="00BB1D82">
            <w:pPr>
              <w:spacing w:before="0" w:line="240" w:lineRule="atLeast"/>
              <w:rPr>
                <w:rFonts w:ascii="Verdana" w:hAnsi="Verdana"/>
                <w:sz w:val="20"/>
              </w:rPr>
            </w:pPr>
          </w:p>
        </w:tc>
      </w:tr>
      <w:tr w:rsidR="00BB1D82" w:rsidRPr="004C4F78" w14:paraId="0EC081CB" w14:textId="77777777" w:rsidTr="00BB1D82">
        <w:trPr>
          <w:cantSplit/>
        </w:trPr>
        <w:tc>
          <w:tcPr>
            <w:tcW w:w="6911" w:type="dxa"/>
            <w:gridSpan w:val="2"/>
          </w:tcPr>
          <w:p w14:paraId="39A08764" w14:textId="77777777" w:rsidR="00BB1D82" w:rsidRPr="004C4F78" w:rsidRDefault="006D4724" w:rsidP="00BA5BD0">
            <w:pPr>
              <w:spacing w:before="0"/>
              <w:rPr>
                <w:rFonts w:ascii="Verdana" w:hAnsi="Verdana"/>
                <w:b/>
                <w:sz w:val="20"/>
              </w:rPr>
            </w:pPr>
            <w:r w:rsidRPr="004C4F78">
              <w:rPr>
                <w:rFonts w:ascii="Verdana" w:hAnsi="Verdana"/>
                <w:b/>
                <w:sz w:val="20"/>
              </w:rPr>
              <w:t>SÉANCE PLÉNIÈRE</w:t>
            </w:r>
          </w:p>
        </w:tc>
        <w:tc>
          <w:tcPr>
            <w:tcW w:w="3120" w:type="dxa"/>
            <w:gridSpan w:val="2"/>
          </w:tcPr>
          <w:p w14:paraId="5E76CDC2" w14:textId="77777777" w:rsidR="00BB1D82" w:rsidRPr="004C4F78" w:rsidRDefault="006D4724" w:rsidP="00BA5BD0">
            <w:pPr>
              <w:spacing w:before="0"/>
              <w:rPr>
                <w:rFonts w:ascii="Verdana" w:hAnsi="Verdana"/>
                <w:sz w:val="20"/>
              </w:rPr>
            </w:pPr>
            <w:r w:rsidRPr="004C4F78">
              <w:rPr>
                <w:rFonts w:ascii="Verdana" w:hAnsi="Verdana"/>
                <w:b/>
                <w:sz w:val="20"/>
              </w:rPr>
              <w:t>Addendum 1 au</w:t>
            </w:r>
            <w:r w:rsidRPr="004C4F78">
              <w:rPr>
                <w:rFonts w:ascii="Verdana" w:hAnsi="Verdana"/>
                <w:b/>
                <w:sz w:val="20"/>
              </w:rPr>
              <w:br/>
              <w:t>Document 85</w:t>
            </w:r>
            <w:r w:rsidR="00BB1D82" w:rsidRPr="004C4F78">
              <w:rPr>
                <w:rFonts w:ascii="Verdana" w:hAnsi="Verdana"/>
                <w:b/>
                <w:sz w:val="20"/>
              </w:rPr>
              <w:t>-</w:t>
            </w:r>
            <w:r w:rsidRPr="004C4F78">
              <w:rPr>
                <w:rFonts w:ascii="Verdana" w:hAnsi="Verdana"/>
                <w:b/>
                <w:sz w:val="20"/>
              </w:rPr>
              <w:t>F</w:t>
            </w:r>
          </w:p>
        </w:tc>
      </w:tr>
      <w:tr w:rsidR="00690C7B" w:rsidRPr="004C4F78" w14:paraId="22208B3C" w14:textId="77777777" w:rsidTr="00BB1D82">
        <w:trPr>
          <w:cantSplit/>
        </w:trPr>
        <w:tc>
          <w:tcPr>
            <w:tcW w:w="6911" w:type="dxa"/>
            <w:gridSpan w:val="2"/>
          </w:tcPr>
          <w:p w14:paraId="0A3FF4F5" w14:textId="77777777" w:rsidR="00690C7B" w:rsidRPr="004C4F78" w:rsidRDefault="00690C7B" w:rsidP="00BA5BD0">
            <w:pPr>
              <w:spacing w:before="0"/>
              <w:rPr>
                <w:rFonts w:ascii="Verdana" w:hAnsi="Verdana"/>
                <w:b/>
                <w:sz w:val="20"/>
              </w:rPr>
            </w:pPr>
          </w:p>
        </w:tc>
        <w:tc>
          <w:tcPr>
            <w:tcW w:w="3120" w:type="dxa"/>
            <w:gridSpan w:val="2"/>
          </w:tcPr>
          <w:p w14:paraId="52A514EC" w14:textId="77777777" w:rsidR="00690C7B" w:rsidRPr="004C4F78" w:rsidRDefault="00690C7B" w:rsidP="00BA5BD0">
            <w:pPr>
              <w:spacing w:before="0"/>
              <w:rPr>
                <w:rFonts w:ascii="Verdana" w:hAnsi="Verdana"/>
                <w:b/>
                <w:sz w:val="20"/>
              </w:rPr>
            </w:pPr>
            <w:r w:rsidRPr="004C4F78">
              <w:rPr>
                <w:rFonts w:ascii="Verdana" w:hAnsi="Verdana"/>
                <w:b/>
                <w:sz w:val="20"/>
              </w:rPr>
              <w:t>22 octobre 2023</w:t>
            </w:r>
          </w:p>
        </w:tc>
      </w:tr>
      <w:tr w:rsidR="00690C7B" w:rsidRPr="004C4F78" w14:paraId="50D0F7D9" w14:textId="77777777" w:rsidTr="00BB1D82">
        <w:trPr>
          <w:cantSplit/>
        </w:trPr>
        <w:tc>
          <w:tcPr>
            <w:tcW w:w="6911" w:type="dxa"/>
            <w:gridSpan w:val="2"/>
          </w:tcPr>
          <w:p w14:paraId="558A4D0B" w14:textId="77777777" w:rsidR="00690C7B" w:rsidRPr="004C4F78" w:rsidRDefault="00690C7B" w:rsidP="00BA5BD0">
            <w:pPr>
              <w:spacing w:before="0" w:after="48"/>
              <w:rPr>
                <w:rFonts w:ascii="Verdana" w:hAnsi="Verdana"/>
                <w:b/>
                <w:smallCaps/>
                <w:sz w:val="20"/>
              </w:rPr>
            </w:pPr>
          </w:p>
        </w:tc>
        <w:tc>
          <w:tcPr>
            <w:tcW w:w="3120" w:type="dxa"/>
            <w:gridSpan w:val="2"/>
          </w:tcPr>
          <w:p w14:paraId="35BA8D71" w14:textId="77777777" w:rsidR="00690C7B" w:rsidRPr="004C4F78" w:rsidRDefault="00690C7B" w:rsidP="00BA5BD0">
            <w:pPr>
              <w:spacing w:before="0"/>
              <w:rPr>
                <w:rFonts w:ascii="Verdana" w:hAnsi="Verdana"/>
                <w:b/>
                <w:sz w:val="20"/>
              </w:rPr>
            </w:pPr>
            <w:r w:rsidRPr="004C4F78">
              <w:rPr>
                <w:rFonts w:ascii="Verdana" w:hAnsi="Verdana"/>
                <w:b/>
                <w:sz w:val="20"/>
              </w:rPr>
              <w:t>Original: russe</w:t>
            </w:r>
          </w:p>
        </w:tc>
      </w:tr>
      <w:tr w:rsidR="00690C7B" w:rsidRPr="004C4F78" w14:paraId="3C94EF8B" w14:textId="77777777" w:rsidTr="00C11970">
        <w:trPr>
          <w:cantSplit/>
        </w:trPr>
        <w:tc>
          <w:tcPr>
            <w:tcW w:w="10031" w:type="dxa"/>
            <w:gridSpan w:val="4"/>
          </w:tcPr>
          <w:p w14:paraId="7BC12AD4" w14:textId="77777777" w:rsidR="00690C7B" w:rsidRPr="004C4F78" w:rsidRDefault="00690C7B" w:rsidP="00BA5BD0">
            <w:pPr>
              <w:spacing w:before="0"/>
              <w:rPr>
                <w:rFonts w:ascii="Verdana" w:hAnsi="Verdana"/>
                <w:b/>
                <w:sz w:val="20"/>
              </w:rPr>
            </w:pPr>
          </w:p>
        </w:tc>
      </w:tr>
      <w:tr w:rsidR="00690C7B" w:rsidRPr="004C4F78" w14:paraId="490BBA43" w14:textId="77777777" w:rsidTr="0050008E">
        <w:trPr>
          <w:cantSplit/>
        </w:trPr>
        <w:tc>
          <w:tcPr>
            <w:tcW w:w="10031" w:type="dxa"/>
            <w:gridSpan w:val="4"/>
          </w:tcPr>
          <w:p w14:paraId="38B669F5" w14:textId="77777777" w:rsidR="00690C7B" w:rsidRPr="004C4F78" w:rsidRDefault="00690C7B" w:rsidP="00690C7B">
            <w:pPr>
              <w:pStyle w:val="Source"/>
            </w:pPr>
            <w:bookmarkStart w:id="0" w:name="dsource" w:colFirst="0" w:colLast="0"/>
            <w:r w:rsidRPr="004C4F78">
              <w:t>Propositions communes de la Communauté régionale des communications</w:t>
            </w:r>
          </w:p>
        </w:tc>
      </w:tr>
      <w:tr w:rsidR="00690C7B" w:rsidRPr="004C4F78" w14:paraId="23A93305" w14:textId="77777777" w:rsidTr="0050008E">
        <w:trPr>
          <w:cantSplit/>
        </w:trPr>
        <w:tc>
          <w:tcPr>
            <w:tcW w:w="10031" w:type="dxa"/>
            <w:gridSpan w:val="4"/>
          </w:tcPr>
          <w:p w14:paraId="61F58982" w14:textId="0760500B" w:rsidR="00690C7B" w:rsidRPr="004C4F78" w:rsidRDefault="00AD1973" w:rsidP="00690C7B">
            <w:pPr>
              <w:pStyle w:val="Title1"/>
            </w:pPr>
            <w:bookmarkStart w:id="1" w:name="dtitle1" w:colFirst="0" w:colLast="0"/>
            <w:bookmarkEnd w:id="0"/>
            <w:r w:rsidRPr="004C4F78">
              <w:t>Propositions pour les travaux de la conférence</w:t>
            </w:r>
          </w:p>
        </w:tc>
      </w:tr>
      <w:tr w:rsidR="00690C7B" w:rsidRPr="004C4F78" w14:paraId="671F4ECF" w14:textId="77777777" w:rsidTr="0050008E">
        <w:trPr>
          <w:cantSplit/>
        </w:trPr>
        <w:tc>
          <w:tcPr>
            <w:tcW w:w="10031" w:type="dxa"/>
            <w:gridSpan w:val="4"/>
          </w:tcPr>
          <w:p w14:paraId="2D1704C9" w14:textId="77777777" w:rsidR="00690C7B" w:rsidRPr="004C4F78" w:rsidRDefault="00690C7B" w:rsidP="00690C7B">
            <w:pPr>
              <w:pStyle w:val="Title2"/>
            </w:pPr>
            <w:bookmarkStart w:id="2" w:name="dtitle2" w:colFirst="0" w:colLast="0"/>
            <w:bookmarkEnd w:id="1"/>
          </w:p>
        </w:tc>
      </w:tr>
      <w:tr w:rsidR="00690C7B" w:rsidRPr="004C4F78" w14:paraId="48B79374" w14:textId="77777777" w:rsidTr="0050008E">
        <w:trPr>
          <w:cantSplit/>
        </w:trPr>
        <w:tc>
          <w:tcPr>
            <w:tcW w:w="10031" w:type="dxa"/>
            <w:gridSpan w:val="4"/>
          </w:tcPr>
          <w:p w14:paraId="371F5974" w14:textId="77777777" w:rsidR="00690C7B" w:rsidRPr="004C4F78" w:rsidRDefault="00690C7B" w:rsidP="00690C7B">
            <w:pPr>
              <w:pStyle w:val="Agendaitem"/>
              <w:rPr>
                <w:lang w:val="fr-FR"/>
              </w:rPr>
            </w:pPr>
            <w:bookmarkStart w:id="3" w:name="dtitle3" w:colFirst="0" w:colLast="0"/>
            <w:bookmarkEnd w:id="2"/>
            <w:r w:rsidRPr="004C4F78">
              <w:rPr>
                <w:lang w:val="fr-FR"/>
              </w:rPr>
              <w:t>Point 1.1 de l'ordre du jour</w:t>
            </w:r>
          </w:p>
        </w:tc>
      </w:tr>
    </w:tbl>
    <w:bookmarkEnd w:id="3"/>
    <w:p w14:paraId="45A09A96" w14:textId="77777777" w:rsidR="004C4F78" w:rsidRPr="004C4F78" w:rsidRDefault="004C5C2B" w:rsidP="00CA3945">
      <w:r w:rsidRPr="004C4F78">
        <w:t>1.1</w:t>
      </w:r>
      <w:r w:rsidRPr="004C4F78">
        <w:tab/>
        <w:t xml:space="preserve">examiner, sur la base des résultats des études menées par l'UIT-R, les mesures qui pourraient être prises pour assurer, dans la bande de fréquences 4 800-4 990 MHz, la protection des stations du service mobile aéronautique et du service mobile maritime situées dans l'espace aérien international et dans les eaux internationales vis-à-vis d'autres stations situées sur le territoire des pays, et examiner le critère de puissance surfacique indiqué dans le renvoi </w:t>
      </w:r>
      <w:r w:rsidRPr="004C4F78">
        <w:rPr>
          <w:b/>
          <w:bCs/>
        </w:rPr>
        <w:t>5.441B</w:t>
      </w:r>
      <w:r w:rsidRPr="004C4F78">
        <w:t xml:space="preserve"> conformément à la Résolution </w:t>
      </w:r>
      <w:r w:rsidRPr="004C4F78">
        <w:rPr>
          <w:b/>
          <w:bCs/>
        </w:rPr>
        <w:t>223 (Rév.CMR-19)</w:t>
      </w:r>
      <w:r w:rsidRPr="004C4F78">
        <w:t>;</w:t>
      </w:r>
    </w:p>
    <w:p w14:paraId="3D575757" w14:textId="1AD03566" w:rsidR="004C4F78" w:rsidRPr="004C4F78" w:rsidRDefault="00AD1973" w:rsidP="00AD1973">
      <w:pPr>
        <w:pStyle w:val="Headingb"/>
      </w:pPr>
      <w:r w:rsidRPr="004C4F78">
        <w:t>Introduction</w:t>
      </w:r>
    </w:p>
    <w:p w14:paraId="409D489F" w14:textId="7329AF86" w:rsidR="00AD1973" w:rsidRPr="004C4F78" w:rsidRDefault="001A7E04" w:rsidP="00AD1973">
      <w:r w:rsidRPr="004C4F78">
        <w:t xml:space="preserve">Les administrations des pays membres de la RCC estiment qu'étant donné qu'il n'existe pas de procédure pour la soumission et l'inscription des assignations de fréquence aux stations du service mobile aéronautique (SMA) et aux stations du service mobile maritime (SMM) situées dans l'espace internationale (espace aérien international ou eaux internationales, c'est-à-dire en dehors du territoire des pays), ces assignations de fréquence ne bénéficient pas d'une reconnaissance internationale et de droits exclusifs de protection. En conséquence, l'utilisation du SMA et du SMM dans l'espace </w:t>
      </w:r>
      <w:r w:rsidR="002A37BB" w:rsidRPr="004C4F78">
        <w:t>international n'ont pas la priorité sur les autres applications des services de Terre dans la bande de fréquences 4</w:t>
      </w:r>
      <w:r w:rsidR="00A35FC7" w:rsidRPr="004C4F78">
        <w:t xml:space="preserve"> </w:t>
      </w:r>
      <w:r w:rsidR="002A37BB" w:rsidRPr="004C4F78">
        <w:t>800-4</w:t>
      </w:r>
      <w:r w:rsidR="00A35FC7" w:rsidRPr="004C4F78">
        <w:t xml:space="preserve"> </w:t>
      </w:r>
      <w:r w:rsidR="002A37BB" w:rsidRPr="004C4F78">
        <w:t>990 MHz utilisée dans l'espace international et sur le territoire national des pays.</w:t>
      </w:r>
    </w:p>
    <w:p w14:paraId="70880D57" w14:textId="03F2277D" w:rsidR="00AD1973" w:rsidRPr="004C4F78" w:rsidRDefault="002A37BB" w:rsidP="00AD1973">
      <w:r w:rsidRPr="004C4F78">
        <w:t>Les administrations des pays membres de la RCC sont opposées à l'ajout de limites de puissance surfacique dans la bande de fréquences 4</w:t>
      </w:r>
      <w:r w:rsidR="00A35FC7" w:rsidRPr="004C4F78">
        <w:t xml:space="preserve"> </w:t>
      </w:r>
      <w:r w:rsidRPr="004C4F78">
        <w:t>800-4</w:t>
      </w:r>
      <w:r w:rsidR="00A35FC7" w:rsidRPr="004C4F78">
        <w:t xml:space="preserve"> </w:t>
      </w:r>
      <w:r w:rsidRPr="004C4F78">
        <w:t>990 MHz pour assurer la protection des stations du SMA et du SMM situées dans l'espace international, étant donné que cela limiterait indûment l'utilisation de cette bande de fréquence sur les territoires nationaux par d'autres services de radiocommunication.</w:t>
      </w:r>
    </w:p>
    <w:p w14:paraId="2E693B5A" w14:textId="75F2801C" w:rsidR="00AD1973" w:rsidRPr="004C4F78" w:rsidRDefault="002A37BB" w:rsidP="00AD1973">
      <w:r w:rsidRPr="004C4F78">
        <w:t xml:space="preserve">Les administrations des pays membres de la RCC pensent que, compte tenu du numéro </w:t>
      </w:r>
      <w:r w:rsidRPr="004C4F78">
        <w:rPr>
          <w:b/>
          <w:bCs/>
        </w:rPr>
        <w:t xml:space="preserve">8.3 </w:t>
      </w:r>
      <w:r w:rsidRPr="004C4F78">
        <w:t>du Règlement des radiocommunications (RR),</w:t>
      </w:r>
      <w:r w:rsidR="0018551F" w:rsidRPr="004C4F78">
        <w:t xml:space="preserve"> </w:t>
      </w:r>
      <w:r w:rsidRPr="004C4F78">
        <w:t xml:space="preserve">les assignations de fréquence à des stations du SMA et du SMM </w:t>
      </w:r>
      <w:r w:rsidR="00B44F0E" w:rsidRPr="004C4F78">
        <w:t>situées dans l'espace international qui ne sont pas inscrite dans le Fichier de référence ne devraient pas être prises en compte lorsque les administrations font leurs propres assignations</w:t>
      </w:r>
      <w:r w:rsidR="00AD1973" w:rsidRPr="004C4F78">
        <w:t>.</w:t>
      </w:r>
    </w:p>
    <w:p w14:paraId="2F7430E0" w14:textId="11C1E509" w:rsidR="00AD1973" w:rsidRPr="004C4F78" w:rsidRDefault="00B44F0E" w:rsidP="0018551F">
      <w:pPr>
        <w:keepNext/>
        <w:keepLines/>
      </w:pPr>
      <w:r w:rsidRPr="004C4F78">
        <w:lastRenderedPageBreak/>
        <w:t>Les administrations des pays membres de la RCC pensent</w:t>
      </w:r>
      <w:r w:rsidR="005808F9" w:rsidRPr="004C4F78">
        <w:t xml:space="preserve"> que</w:t>
      </w:r>
      <w:r w:rsidRPr="004C4F78">
        <w:t xml:space="preserve"> la protection des assignations de fréquence à des stations du SMA et du SMM situées dans l'espace aérien international et dans les eaux internationales, qui aboutirait à la restriction de l'utilisation des assignations de fréquence à l'intérieur du territoire national des pays, ne peut être prévue qu'avec le consentement de la ou des administrations concernées. Ce consentement peut être obtenu, par exemple, </w:t>
      </w:r>
      <w:r w:rsidR="005808F9" w:rsidRPr="004C4F78">
        <w:t>dans le cadre de l'élaboration des plans d'utilisation du spectre appropriés pour les SMA, le SMM et d'autres applications, compte tenu des normes adoptées par l'OACI et l'OMI, ou par les administrations concernées sur une base bilatérale ou multilatérale</w:t>
      </w:r>
      <w:r w:rsidR="00AD1973" w:rsidRPr="004C4F78">
        <w:t>.</w:t>
      </w:r>
    </w:p>
    <w:p w14:paraId="429E2D56" w14:textId="4DC16E0A" w:rsidR="00AD1973" w:rsidRPr="004C4F78" w:rsidRDefault="004C5C2B" w:rsidP="00AD1973">
      <w:r w:rsidRPr="004C4F78">
        <w:t>Les administrations des pays membres de la RCC estiment qu'une décision de la CMR-23 est possible sur la base de la Méthode F présentée dans le Rapport de la RPC pour traiter le point 1.1 de l'ordre du jour de la CMR-23</w:t>
      </w:r>
      <w:r w:rsidR="00AD1973" w:rsidRPr="004C4F78">
        <w:t>.</w:t>
      </w:r>
    </w:p>
    <w:p w14:paraId="3635AD59" w14:textId="4FA33375" w:rsidR="00AD1973" w:rsidRPr="004C4F78" w:rsidRDefault="004C5C2B" w:rsidP="00AD1973">
      <w:r w:rsidRPr="004C4F78">
        <w:t>En outre, les administrations des pays membres de la RCC sont d'avis qu'il convient dans le numéro</w:t>
      </w:r>
      <w:r w:rsidR="00A35FC7" w:rsidRPr="004C4F78">
        <w:t> </w:t>
      </w:r>
      <w:r w:rsidRPr="004C4F78">
        <w:rPr>
          <w:b/>
          <w:bCs/>
        </w:rPr>
        <w:t>5.441B</w:t>
      </w:r>
      <w:r w:rsidRPr="004C4F78">
        <w:t xml:space="preserve">, de faire mention du numéro </w:t>
      </w:r>
      <w:r w:rsidRPr="004C4F78">
        <w:rPr>
          <w:b/>
          <w:bCs/>
        </w:rPr>
        <w:t>5.43A</w:t>
      </w:r>
      <w:r w:rsidRPr="004C4F78">
        <w:t xml:space="preserve"> (c'est-à-dire à l'exigence </w:t>
      </w:r>
      <w:r w:rsidR="00A35FC7" w:rsidRPr="004C4F78">
        <w:t>«</w:t>
      </w:r>
      <w:r w:rsidRPr="004C4F78">
        <w:t>de ne pas prétendre à une protection vis-à-vis d'un autre service ou d'une autre station du même service</w:t>
      </w:r>
      <w:r w:rsidR="00A35FC7" w:rsidRPr="004C4F78">
        <w:t>»</w:t>
      </w:r>
      <w:r w:rsidRPr="004C4F78">
        <w:t xml:space="preserve">), qui ne doit pas s'appliquer dans le cas de l'application du numéro </w:t>
      </w:r>
      <w:r w:rsidRPr="004C4F78">
        <w:rPr>
          <w:b/>
          <w:bCs/>
        </w:rPr>
        <w:t>9.21</w:t>
      </w:r>
      <w:r w:rsidRPr="004C4F78">
        <w:t xml:space="preserve"> du RR</w:t>
      </w:r>
      <w:r w:rsidR="00AD1973" w:rsidRPr="004C4F78">
        <w:t>.</w:t>
      </w:r>
    </w:p>
    <w:p w14:paraId="3596128B" w14:textId="3D76AF36" w:rsidR="00AD1973" w:rsidRPr="004C4F78" w:rsidRDefault="00AD1973" w:rsidP="00AD1973">
      <w:pPr>
        <w:pStyle w:val="Headingb"/>
      </w:pPr>
      <w:r w:rsidRPr="004C4F78">
        <w:t>Propositions</w:t>
      </w:r>
    </w:p>
    <w:p w14:paraId="59226BCB" w14:textId="77777777" w:rsidR="0015203F" w:rsidRPr="004C4F78" w:rsidRDefault="0015203F">
      <w:pPr>
        <w:tabs>
          <w:tab w:val="clear" w:pos="1134"/>
          <w:tab w:val="clear" w:pos="1871"/>
          <w:tab w:val="clear" w:pos="2268"/>
        </w:tabs>
        <w:overflowPunct/>
        <w:autoSpaceDE/>
        <w:autoSpaceDN/>
        <w:adjustRightInd/>
        <w:spacing w:before="0"/>
        <w:textAlignment w:val="auto"/>
      </w:pPr>
      <w:r w:rsidRPr="004C4F78">
        <w:br w:type="page"/>
      </w:r>
    </w:p>
    <w:p w14:paraId="188E214A" w14:textId="77777777" w:rsidR="004C4F78" w:rsidRPr="004C4F78" w:rsidRDefault="004C5C2B" w:rsidP="00A35FC7">
      <w:pPr>
        <w:pStyle w:val="ArtNo"/>
      </w:pPr>
      <w:bookmarkStart w:id="4" w:name="_Toc455752914"/>
      <w:bookmarkStart w:id="5" w:name="_Toc455756153"/>
      <w:r w:rsidRPr="004C4F78">
        <w:lastRenderedPageBreak/>
        <w:t xml:space="preserve">ARTICLE </w:t>
      </w:r>
      <w:r w:rsidRPr="004C4F78">
        <w:rPr>
          <w:rStyle w:val="href"/>
          <w:color w:val="000000"/>
        </w:rPr>
        <w:t>5</w:t>
      </w:r>
      <w:bookmarkEnd w:id="4"/>
      <w:bookmarkEnd w:id="5"/>
    </w:p>
    <w:p w14:paraId="1F9FE5DB" w14:textId="77777777" w:rsidR="004C4F78" w:rsidRPr="004C4F78" w:rsidRDefault="004C5C2B" w:rsidP="007F3F42">
      <w:pPr>
        <w:pStyle w:val="Arttitle"/>
      </w:pPr>
      <w:bookmarkStart w:id="6" w:name="_Toc455752915"/>
      <w:bookmarkStart w:id="7" w:name="_Toc455756154"/>
      <w:r w:rsidRPr="004C4F78">
        <w:t>Attribution des bandes de fréquences</w:t>
      </w:r>
      <w:bookmarkEnd w:id="6"/>
      <w:bookmarkEnd w:id="7"/>
    </w:p>
    <w:p w14:paraId="5441D175" w14:textId="77777777" w:rsidR="004C4F78" w:rsidRPr="004C4F78" w:rsidRDefault="004C5C2B" w:rsidP="008D5FFA">
      <w:pPr>
        <w:pStyle w:val="Section1"/>
        <w:keepNext/>
        <w:rPr>
          <w:b w:val="0"/>
          <w:color w:val="000000"/>
        </w:rPr>
      </w:pPr>
      <w:r w:rsidRPr="004C4F78">
        <w:t>Section IV – Tableau d'attribution des bandes de fréquences</w:t>
      </w:r>
      <w:r w:rsidRPr="004C4F78">
        <w:br/>
      </w:r>
      <w:r w:rsidRPr="004C4F78">
        <w:rPr>
          <w:b w:val="0"/>
          <w:bCs/>
        </w:rPr>
        <w:t xml:space="preserve">(Voir le numéro </w:t>
      </w:r>
      <w:r w:rsidRPr="004C4F78">
        <w:t>2.1</w:t>
      </w:r>
      <w:r w:rsidRPr="004C4F78">
        <w:rPr>
          <w:b w:val="0"/>
          <w:bCs/>
        </w:rPr>
        <w:t>)</w:t>
      </w:r>
      <w:r w:rsidRPr="004C4F78">
        <w:rPr>
          <w:b w:val="0"/>
          <w:color w:val="000000"/>
        </w:rPr>
        <w:br/>
      </w:r>
    </w:p>
    <w:p w14:paraId="7C0D599B" w14:textId="77777777" w:rsidR="00CD0272" w:rsidRPr="004C4F78" w:rsidRDefault="004C5C2B">
      <w:pPr>
        <w:pStyle w:val="Proposal"/>
      </w:pPr>
      <w:r w:rsidRPr="004C4F78">
        <w:t>MOD</w:t>
      </w:r>
      <w:r w:rsidRPr="004C4F78">
        <w:tab/>
        <w:t>RCC/85A1/1</w:t>
      </w:r>
    </w:p>
    <w:p w14:paraId="273382ED" w14:textId="77777777" w:rsidR="004C4F78" w:rsidRPr="004C4F78" w:rsidRDefault="004C5C2B" w:rsidP="00C45E45">
      <w:pPr>
        <w:pStyle w:val="Tabletitle"/>
        <w:spacing w:before="120"/>
      </w:pPr>
      <w:r w:rsidRPr="004C4F78">
        <w:t>4 800-5 250 MHz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8D5FFA" w:rsidRPr="004C4F78" w14:paraId="71CE53F7" w14:textId="77777777" w:rsidTr="00AD1973">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7E327C0F" w14:textId="77777777" w:rsidR="004C4F78" w:rsidRPr="004C4F78" w:rsidRDefault="004C5C2B" w:rsidP="00C45E45">
            <w:pPr>
              <w:pStyle w:val="Tablehead"/>
            </w:pPr>
            <w:r w:rsidRPr="004C4F78">
              <w:t>Attribution aux services</w:t>
            </w:r>
          </w:p>
        </w:tc>
      </w:tr>
      <w:tr w:rsidR="008D5FFA" w:rsidRPr="004C4F78" w14:paraId="4F2CAF4B" w14:textId="77777777" w:rsidTr="00AD1973">
        <w:trPr>
          <w:cantSplit/>
          <w:jc w:val="center"/>
        </w:trPr>
        <w:tc>
          <w:tcPr>
            <w:tcW w:w="3118" w:type="dxa"/>
            <w:tcBorders>
              <w:top w:val="single" w:sz="6" w:space="0" w:color="auto"/>
              <w:left w:val="single" w:sz="6" w:space="0" w:color="auto"/>
              <w:bottom w:val="single" w:sz="6" w:space="0" w:color="auto"/>
              <w:right w:val="single" w:sz="6" w:space="0" w:color="auto"/>
            </w:tcBorders>
          </w:tcPr>
          <w:p w14:paraId="13782923" w14:textId="77777777" w:rsidR="004C4F78" w:rsidRPr="004C4F78" w:rsidRDefault="004C5C2B" w:rsidP="00C45E45">
            <w:pPr>
              <w:pStyle w:val="Tablehead"/>
            </w:pPr>
            <w:r w:rsidRPr="004C4F78">
              <w:t>Région 1</w:t>
            </w:r>
          </w:p>
        </w:tc>
        <w:tc>
          <w:tcPr>
            <w:tcW w:w="3119" w:type="dxa"/>
            <w:tcBorders>
              <w:top w:val="single" w:sz="6" w:space="0" w:color="auto"/>
              <w:left w:val="single" w:sz="6" w:space="0" w:color="auto"/>
              <w:bottom w:val="single" w:sz="6" w:space="0" w:color="auto"/>
              <w:right w:val="single" w:sz="6" w:space="0" w:color="auto"/>
            </w:tcBorders>
          </w:tcPr>
          <w:p w14:paraId="03CEE7AE" w14:textId="77777777" w:rsidR="004C4F78" w:rsidRPr="004C4F78" w:rsidRDefault="004C5C2B" w:rsidP="00C45E45">
            <w:pPr>
              <w:pStyle w:val="Tablehead"/>
            </w:pPr>
            <w:r w:rsidRPr="004C4F78">
              <w:t>Région 2</w:t>
            </w:r>
          </w:p>
        </w:tc>
        <w:tc>
          <w:tcPr>
            <w:tcW w:w="3119" w:type="dxa"/>
            <w:tcBorders>
              <w:top w:val="single" w:sz="6" w:space="0" w:color="auto"/>
              <w:left w:val="single" w:sz="6" w:space="0" w:color="auto"/>
              <w:bottom w:val="single" w:sz="6" w:space="0" w:color="auto"/>
              <w:right w:val="single" w:sz="6" w:space="0" w:color="auto"/>
            </w:tcBorders>
          </w:tcPr>
          <w:p w14:paraId="339AA806" w14:textId="77777777" w:rsidR="004C4F78" w:rsidRPr="004C4F78" w:rsidRDefault="004C5C2B" w:rsidP="00C45E45">
            <w:pPr>
              <w:pStyle w:val="Tablehead"/>
            </w:pPr>
            <w:r w:rsidRPr="004C4F78">
              <w:t>Région 3</w:t>
            </w:r>
          </w:p>
        </w:tc>
      </w:tr>
      <w:tr w:rsidR="008D5FFA" w:rsidRPr="004C4F78" w14:paraId="737075AD" w14:textId="77777777" w:rsidTr="0018551F">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14:paraId="004DA42C" w14:textId="77777777" w:rsidR="004C4F78" w:rsidRPr="004C4F78" w:rsidRDefault="004C5C2B" w:rsidP="00C45E45">
            <w:pPr>
              <w:pStyle w:val="TableTextS5"/>
            </w:pPr>
            <w:r w:rsidRPr="004C4F78">
              <w:rPr>
                <w:rStyle w:val="Tablefreq"/>
              </w:rPr>
              <w:t>4 800-4 990</w:t>
            </w:r>
            <w:r w:rsidRPr="004C4F78">
              <w:tab/>
              <w:t>FIXE</w:t>
            </w:r>
          </w:p>
          <w:p w14:paraId="3D9FC9E2" w14:textId="0DBEC0AA" w:rsidR="004C4F78" w:rsidRPr="004C4F78" w:rsidRDefault="004C5C2B" w:rsidP="00C45E45">
            <w:pPr>
              <w:pStyle w:val="TableTextS5"/>
            </w:pPr>
            <w:r w:rsidRPr="004C4F78">
              <w:tab/>
            </w:r>
            <w:r w:rsidRPr="004C4F78">
              <w:tab/>
            </w:r>
            <w:r w:rsidRPr="004C4F78">
              <w:tab/>
            </w:r>
            <w:r w:rsidRPr="004C4F78">
              <w:tab/>
              <w:t xml:space="preserve">MOBILE  </w:t>
            </w:r>
            <w:r w:rsidRPr="004C4F78">
              <w:rPr>
                <w:rStyle w:val="Artref"/>
              </w:rPr>
              <w:t xml:space="preserve">5.440A  5.441A  </w:t>
            </w:r>
            <w:ins w:id="8" w:author="French" w:date="2023-11-09T14:09:00Z">
              <w:r w:rsidR="00AD1973" w:rsidRPr="004C4F78">
                <w:rPr>
                  <w:rStyle w:val="Artref"/>
                </w:rPr>
                <w:t>MOD</w:t>
              </w:r>
            </w:ins>
            <w:ins w:id="9" w:author="French" w:date="2023-11-14T06:12:00Z">
              <w:r w:rsidR="00A35FC7" w:rsidRPr="004C4F78">
                <w:rPr>
                  <w:rStyle w:val="Artref"/>
                </w:rPr>
                <w:t xml:space="preserve"> </w:t>
              </w:r>
            </w:ins>
            <w:r w:rsidRPr="004C4F78">
              <w:rPr>
                <w:rStyle w:val="Artref"/>
              </w:rPr>
              <w:t>5.441B  5.442</w:t>
            </w:r>
          </w:p>
          <w:p w14:paraId="3610A8CA" w14:textId="77777777" w:rsidR="004C4F78" w:rsidRPr="004C4F78" w:rsidRDefault="004C5C2B" w:rsidP="00C45E45">
            <w:pPr>
              <w:pStyle w:val="TableTextS5"/>
            </w:pPr>
            <w:r w:rsidRPr="004C4F78">
              <w:tab/>
            </w:r>
            <w:r w:rsidRPr="004C4F78">
              <w:tab/>
            </w:r>
            <w:r w:rsidRPr="004C4F78">
              <w:tab/>
            </w:r>
            <w:r w:rsidRPr="004C4F78">
              <w:tab/>
              <w:t>Radioastronomie</w:t>
            </w:r>
          </w:p>
          <w:p w14:paraId="38280C66" w14:textId="77777777" w:rsidR="004C4F78" w:rsidRPr="004C4F78" w:rsidRDefault="004C5C2B" w:rsidP="00C45E45">
            <w:pPr>
              <w:pStyle w:val="TableTextS5"/>
            </w:pPr>
            <w:r w:rsidRPr="004C4F78">
              <w:tab/>
            </w:r>
            <w:r w:rsidRPr="004C4F78">
              <w:tab/>
            </w:r>
            <w:r w:rsidRPr="004C4F78">
              <w:tab/>
            </w:r>
            <w:r w:rsidRPr="004C4F78">
              <w:tab/>
            </w:r>
            <w:r w:rsidRPr="004C4F78">
              <w:rPr>
                <w:rStyle w:val="Artref"/>
              </w:rPr>
              <w:t>5.149</w:t>
            </w:r>
            <w:r w:rsidRPr="004C4F78">
              <w:t xml:space="preserve">  </w:t>
            </w:r>
            <w:r w:rsidRPr="004C4F78">
              <w:rPr>
                <w:rStyle w:val="Artref"/>
              </w:rPr>
              <w:t>5.339</w:t>
            </w:r>
            <w:r w:rsidRPr="004C4F78">
              <w:t xml:space="preserve">  </w:t>
            </w:r>
            <w:r w:rsidRPr="004C4F78">
              <w:rPr>
                <w:rStyle w:val="Artref"/>
              </w:rPr>
              <w:t>5.443</w:t>
            </w:r>
          </w:p>
        </w:tc>
      </w:tr>
      <w:tr w:rsidR="0018551F" w:rsidRPr="004C4F78" w14:paraId="005D00CA" w14:textId="77777777" w:rsidTr="00AD1973">
        <w:trPr>
          <w:cantSplit/>
          <w:jc w:val="center"/>
        </w:trPr>
        <w:tc>
          <w:tcPr>
            <w:tcW w:w="9356" w:type="dxa"/>
            <w:gridSpan w:val="3"/>
            <w:tcBorders>
              <w:top w:val="single" w:sz="6" w:space="0" w:color="auto"/>
              <w:left w:val="single" w:sz="6" w:space="0" w:color="auto"/>
              <w:bottom w:val="single" w:sz="4" w:space="0" w:color="auto"/>
              <w:right w:val="single" w:sz="6" w:space="0" w:color="auto"/>
            </w:tcBorders>
          </w:tcPr>
          <w:p w14:paraId="0369793E" w14:textId="0AF400E1" w:rsidR="0018551F" w:rsidRPr="004C4F78" w:rsidRDefault="0018551F" w:rsidP="00C45E45">
            <w:pPr>
              <w:pStyle w:val="TableTextS5"/>
              <w:rPr>
                <w:rStyle w:val="Tablefreq"/>
              </w:rPr>
            </w:pPr>
            <w:r w:rsidRPr="004C4F78">
              <w:rPr>
                <w:color w:val="000000"/>
              </w:rPr>
              <w:t>...</w:t>
            </w:r>
          </w:p>
        </w:tc>
      </w:tr>
    </w:tbl>
    <w:p w14:paraId="63EA1654" w14:textId="47BCEE51" w:rsidR="00CD0272" w:rsidRPr="004C4F78" w:rsidRDefault="00CD0272">
      <w:pPr>
        <w:pStyle w:val="Reasons"/>
      </w:pPr>
    </w:p>
    <w:p w14:paraId="26677D91" w14:textId="77777777" w:rsidR="00CD0272" w:rsidRPr="004C4F78" w:rsidRDefault="004C5C2B">
      <w:pPr>
        <w:pStyle w:val="Proposal"/>
      </w:pPr>
      <w:r w:rsidRPr="004C4F78">
        <w:t>MOD</w:t>
      </w:r>
      <w:r w:rsidRPr="004C4F78">
        <w:tab/>
        <w:t>RCC/85A1/2</w:t>
      </w:r>
    </w:p>
    <w:p w14:paraId="6B48F07A" w14:textId="21A5BAD3" w:rsidR="004C4F78" w:rsidRPr="004C4F78" w:rsidRDefault="004C5C2B" w:rsidP="00511194">
      <w:pPr>
        <w:pStyle w:val="Note"/>
        <w:rPr>
          <w:sz w:val="16"/>
          <w:szCs w:val="16"/>
        </w:rPr>
      </w:pPr>
      <w:r w:rsidRPr="004C4F78">
        <w:rPr>
          <w:rStyle w:val="Artdef"/>
          <w:bCs/>
        </w:rPr>
        <w:t>5.441B</w:t>
      </w:r>
      <w:r w:rsidRPr="004C4F78">
        <w:tab/>
        <w:t>Dans les pays suivants: Angola, Arménie, Azerbaïdjan, Bénin, Botswana, Brésil, Burkina Faso, Burundi, Cambodge, Cameroun, Chine, Côte d'Ivoire, Djibouti, Eswatini, Fédération de Russie, Gambie, Guinée, Iran (République islamique d'), Kazakhstan, Kenya, Lao (R.d.p.), Lesotho, Liberia, Malawi, Maurice, Mongolie, Mozambique, Nigéria, Ouganda, Ouzbékistan, Rép. dém. du Congo, Kirghizistan, Rép. pop. dém. de Corée, Soudan, Sudafricaine (Rép.), Tanzanie, Togo, Viet Nam, Zambie et Zimbabwe</w:t>
      </w:r>
      <w:ins w:id="10" w:author="French" w:date="2023-11-13T15:31:00Z">
        <w:r w:rsidRPr="004C4F78">
          <w:rPr>
            <w:i/>
            <w:iCs/>
            <w:rPrChange w:id="11" w:author="French" w:date="2023-11-14T06:12:00Z">
              <w:rPr/>
            </w:rPrChange>
          </w:rPr>
          <w:t>[, liste de pays]</w:t>
        </w:r>
      </w:ins>
      <w:r w:rsidRPr="004C4F78">
        <w:t>, la bande de fréquences 4 800-4 990 MHz, ou des parties de cette bande de fréquences, est identifiée pour pouvoir être utilisée par les administrations souhaitant mettre en œuvre les Télécommunications mobiles internationales (IMT). Cette identification n'exclut pas l'utilisation de cette bande de fréquences par toute application des services auxquels elle est attribuée et n'établit pas de priorité dans le Règlement des radiocommunications. L'utilisation des stations IMT est assujettie à l'accord obtenu auprès des administrations concernées au titre du numéro </w:t>
      </w:r>
      <w:r w:rsidRPr="004C4F78">
        <w:rPr>
          <w:b/>
          <w:bCs/>
        </w:rPr>
        <w:t>9.21</w:t>
      </w:r>
      <w:r w:rsidRPr="004C4F78">
        <w:t xml:space="preserve"> et les stations IMT ne doivent pas demander de protection vis-à-vis des stations</w:t>
      </w:r>
      <w:r w:rsidR="00A35FC7" w:rsidRPr="004C4F78">
        <w:t xml:space="preserve"> </w:t>
      </w:r>
      <w:del w:id="12" w:author="French" w:date="2023-11-09T14:11:00Z">
        <w:r w:rsidRPr="004C4F78" w:rsidDel="00AD1973">
          <w:delText>d'autres applications du service mobile. En outre, avant de mettre en service une station IMT du service mobile, une administration doit s'assurer que la puissance surfacique produite par cette station jusqu'à 19 km au-dessus du niveau de la mer à 20 km de la côte, qui est définie comme la laisse de basse mer telle qu'officiellement reconnue par l'État côtier, ne dépasse pas –155 dB(W/(m</w:delText>
        </w:r>
        <w:r w:rsidRPr="004C4F78" w:rsidDel="00AD1973">
          <w:rPr>
            <w:vertAlign w:val="superscript"/>
          </w:rPr>
          <w:delText>2</w:delText>
        </w:r>
        <w:r w:rsidRPr="004C4F78" w:rsidDel="00AD1973">
          <w:delText> </w:delText>
        </w:r>
        <w:r w:rsidRPr="004C4F78" w:rsidDel="00AD1973">
          <w:sym w:font="Symbol" w:char="F0D7"/>
        </w:r>
        <w:r w:rsidRPr="004C4F78" w:rsidDel="00AD1973">
          <w:delText> 1 MHz)). Ce critère de puissance surfacique sera réexaminé à la CMR-23</w:delText>
        </w:r>
      </w:del>
      <w:del w:id="13" w:author="French" w:date="2023-11-14T06:14:00Z">
        <w:r w:rsidR="00A35FC7" w:rsidRPr="004C4F78" w:rsidDel="00A35FC7">
          <w:delText>.</w:delText>
        </w:r>
      </w:del>
      <w:ins w:id="14" w:author="French" w:date="2023-11-13T15:32:00Z">
        <w:r w:rsidRPr="004C4F78">
          <w:t xml:space="preserve">du service mobile aéronautique. Le numéro </w:t>
        </w:r>
        <w:r w:rsidRPr="004C4F78">
          <w:rPr>
            <w:b/>
            <w:bCs/>
          </w:rPr>
          <w:t>5.43A</w:t>
        </w:r>
        <w:r w:rsidRPr="004C4F78">
          <w:t xml:space="preserve"> ne s'applique pas</w:t>
        </w:r>
      </w:ins>
      <w:ins w:id="15" w:author="French" w:date="2023-11-14T06:14:00Z">
        <w:r w:rsidR="00A35FC7" w:rsidRPr="004C4F78">
          <w:t>.</w:t>
        </w:r>
      </w:ins>
      <w:r w:rsidRPr="004C4F78">
        <w:t xml:space="preserve"> La Résolution </w:t>
      </w:r>
      <w:r w:rsidRPr="004C4F78">
        <w:rPr>
          <w:b/>
          <w:bCs/>
        </w:rPr>
        <w:t>223 (Rév.CMR</w:t>
      </w:r>
      <w:r w:rsidRPr="004C4F78">
        <w:rPr>
          <w:b/>
          <w:bCs/>
        </w:rPr>
        <w:noBreakHyphen/>
      </w:r>
      <w:del w:id="16" w:author="French" w:date="2023-11-09T14:11:00Z">
        <w:r w:rsidRPr="004C4F78" w:rsidDel="00AD1973">
          <w:rPr>
            <w:b/>
            <w:bCs/>
          </w:rPr>
          <w:delText>19</w:delText>
        </w:r>
      </w:del>
      <w:ins w:id="17" w:author="French" w:date="2023-11-09T14:11:00Z">
        <w:r w:rsidR="00AD1973" w:rsidRPr="004C4F78">
          <w:rPr>
            <w:b/>
            <w:bCs/>
          </w:rPr>
          <w:t>23</w:t>
        </w:r>
      </w:ins>
      <w:r w:rsidRPr="004C4F78">
        <w:rPr>
          <w:b/>
          <w:bCs/>
        </w:rPr>
        <w:t xml:space="preserve">) </w:t>
      </w:r>
      <w:r w:rsidRPr="004C4F78">
        <w:rPr>
          <w:bCs/>
        </w:rPr>
        <w:t>s'applique</w:t>
      </w:r>
      <w:r w:rsidRPr="004C4F78">
        <w:t>.</w:t>
      </w:r>
      <w:del w:id="18" w:author="French" w:date="2023-11-09T14:11:00Z">
        <w:r w:rsidRPr="004C4F78" w:rsidDel="00AD1973">
          <w:delText xml:space="preserve"> Cette identification entrera en vigueur après la CMR</w:delText>
        </w:r>
        <w:r w:rsidRPr="004C4F78" w:rsidDel="00AD1973">
          <w:noBreakHyphen/>
          <w:delText>19</w:delText>
        </w:r>
      </w:del>
      <w:del w:id="19" w:author="French" w:date="2023-11-09T14:23:00Z">
        <w:r w:rsidRPr="004C4F78" w:rsidDel="00B84B2F">
          <w:delText>.</w:delText>
        </w:r>
      </w:del>
      <w:r w:rsidRPr="004C4F78">
        <w:rPr>
          <w:sz w:val="16"/>
          <w:szCs w:val="16"/>
        </w:rPr>
        <w:t>     (CMR</w:t>
      </w:r>
      <w:r w:rsidRPr="004C4F78">
        <w:rPr>
          <w:sz w:val="16"/>
          <w:szCs w:val="16"/>
        </w:rPr>
        <w:noBreakHyphen/>
      </w:r>
      <w:del w:id="20" w:author="French" w:date="2023-11-09T14:11:00Z">
        <w:r w:rsidRPr="004C4F78" w:rsidDel="00AD1973">
          <w:rPr>
            <w:sz w:val="16"/>
            <w:szCs w:val="16"/>
          </w:rPr>
          <w:delText>19</w:delText>
        </w:r>
      </w:del>
      <w:ins w:id="21" w:author="French" w:date="2023-11-09T14:11:00Z">
        <w:r w:rsidR="00AD1973" w:rsidRPr="004C4F78">
          <w:rPr>
            <w:sz w:val="16"/>
            <w:szCs w:val="16"/>
          </w:rPr>
          <w:t>23</w:t>
        </w:r>
      </w:ins>
      <w:r w:rsidRPr="004C4F78">
        <w:rPr>
          <w:sz w:val="16"/>
          <w:szCs w:val="16"/>
        </w:rPr>
        <w:t>)</w:t>
      </w:r>
    </w:p>
    <w:p w14:paraId="683E5920" w14:textId="1D324312" w:rsidR="00CD0272" w:rsidRPr="004C4F78" w:rsidRDefault="00CD0272">
      <w:pPr>
        <w:pStyle w:val="Reasons"/>
      </w:pPr>
    </w:p>
    <w:p w14:paraId="3AEE148A" w14:textId="77777777" w:rsidR="00CD0272" w:rsidRPr="004C4F78" w:rsidRDefault="004C5C2B">
      <w:pPr>
        <w:pStyle w:val="Proposal"/>
      </w:pPr>
      <w:r w:rsidRPr="004C4F78">
        <w:lastRenderedPageBreak/>
        <w:t>MOD</w:t>
      </w:r>
      <w:r w:rsidRPr="004C4F78">
        <w:tab/>
        <w:t>RCC/85A1/3</w:t>
      </w:r>
    </w:p>
    <w:p w14:paraId="5A96CBE5" w14:textId="2ABF697D" w:rsidR="004C4F78" w:rsidRPr="004C4F78" w:rsidRDefault="004C5C2B" w:rsidP="00C80685">
      <w:pPr>
        <w:pStyle w:val="ResNo"/>
      </w:pPr>
      <w:bookmarkStart w:id="22" w:name="_Toc39829207"/>
      <w:r w:rsidRPr="004C4F78">
        <w:t xml:space="preserve">RÉSOLUTION </w:t>
      </w:r>
      <w:r w:rsidRPr="004C4F78">
        <w:rPr>
          <w:rStyle w:val="href"/>
        </w:rPr>
        <w:t xml:space="preserve">223 </w:t>
      </w:r>
      <w:r w:rsidRPr="004C4F78">
        <w:t>(RÉV.CMR-</w:t>
      </w:r>
      <w:del w:id="23" w:author="French" w:date="2023-11-14T07:10:00Z">
        <w:r w:rsidRPr="004C4F78" w:rsidDel="0018551F">
          <w:delText>19</w:delText>
        </w:r>
      </w:del>
      <w:ins w:id="24" w:author="French" w:date="2023-11-14T07:10:00Z">
        <w:r w:rsidR="0018551F" w:rsidRPr="004C4F78">
          <w:t>23</w:t>
        </w:r>
      </w:ins>
      <w:r w:rsidRPr="004C4F78">
        <w:t>)</w:t>
      </w:r>
      <w:bookmarkEnd w:id="22"/>
    </w:p>
    <w:p w14:paraId="66190142" w14:textId="77777777" w:rsidR="004C4F78" w:rsidRPr="004C4F78" w:rsidRDefault="004C5C2B" w:rsidP="000C33E1">
      <w:pPr>
        <w:pStyle w:val="Restitle"/>
      </w:pPr>
      <w:bookmarkStart w:id="25" w:name="_Toc450208653"/>
      <w:bookmarkStart w:id="26" w:name="_Toc35933796"/>
      <w:bookmarkStart w:id="27" w:name="_Toc39829208"/>
      <w:r w:rsidRPr="004C4F78">
        <w:t xml:space="preserve">Bandes de fréquences additionnelles identifiées pour </w:t>
      </w:r>
      <w:r w:rsidRPr="004C4F78">
        <w:br/>
        <w:t>les Télécommunications mobiles internationales</w:t>
      </w:r>
      <w:bookmarkEnd w:id="25"/>
      <w:bookmarkEnd w:id="26"/>
      <w:bookmarkEnd w:id="27"/>
    </w:p>
    <w:p w14:paraId="68521E7C" w14:textId="3714138D" w:rsidR="004C4F78" w:rsidRPr="004C4F78" w:rsidRDefault="004C5C2B" w:rsidP="000C33E1">
      <w:pPr>
        <w:pStyle w:val="Normalaftertitle"/>
      </w:pPr>
      <w:r w:rsidRPr="004C4F78">
        <w:t>La Conférence mondiale des radiocommunications (</w:t>
      </w:r>
      <w:del w:id="28" w:author="French" w:date="2023-11-09T14:12:00Z">
        <w:r w:rsidRPr="004C4F78" w:rsidDel="00AD1973">
          <w:rPr>
            <w:szCs w:val="24"/>
          </w:rPr>
          <w:delText>Charm el-Cheikh</w:delText>
        </w:r>
        <w:r w:rsidRPr="004C4F78" w:rsidDel="00AD1973">
          <w:delText>, 2019</w:delText>
        </w:r>
      </w:del>
      <w:ins w:id="29" w:author="French" w:date="2023-11-09T14:12:00Z">
        <w:r w:rsidR="00AD1973" w:rsidRPr="004C4F78">
          <w:t>Dubaï, 2023</w:t>
        </w:r>
      </w:ins>
      <w:r w:rsidRPr="004C4F78">
        <w:t>),</w:t>
      </w:r>
    </w:p>
    <w:p w14:paraId="183EEAAE" w14:textId="7E7C2D3A" w:rsidR="00AD1973" w:rsidRPr="004C4F78" w:rsidRDefault="00AD1973" w:rsidP="00AD1973">
      <w:r w:rsidRPr="004C4F78">
        <w:t>...</w:t>
      </w:r>
    </w:p>
    <w:p w14:paraId="09A21091" w14:textId="77777777" w:rsidR="004C4F78" w:rsidRPr="004C4F78" w:rsidRDefault="004C5C2B" w:rsidP="000C33E1">
      <w:pPr>
        <w:pStyle w:val="Call"/>
      </w:pPr>
      <w:r w:rsidRPr="004C4F78">
        <w:t>reconnaissant</w:t>
      </w:r>
    </w:p>
    <w:p w14:paraId="29624CD7" w14:textId="6AC9C7FE" w:rsidR="004C4F78" w:rsidRPr="004C4F78" w:rsidRDefault="00AD1973" w:rsidP="000C33E1">
      <w:ins w:id="30" w:author="French" w:date="2023-11-09T14:13:00Z">
        <w:r w:rsidRPr="004C4F78">
          <w:rPr>
            <w:i/>
            <w:iCs/>
          </w:rPr>
          <w:t>a)</w:t>
        </w:r>
        <w:r w:rsidRPr="004C4F78">
          <w:tab/>
        </w:r>
      </w:ins>
      <w:r w:rsidR="004C5C2B" w:rsidRPr="004C4F78">
        <w:t>que, pour certaines administrations, la seule façon de mettre en œuvre les IMT serait de réorganiser le spectre des fréquences, ce qui exigerait des investissements financiers importants</w:t>
      </w:r>
      <w:del w:id="31" w:author="French" w:date="2023-11-09T14:24:00Z">
        <w:r w:rsidR="004C5C2B" w:rsidRPr="004C4F78" w:rsidDel="00B84B2F">
          <w:delText>,</w:delText>
        </w:r>
      </w:del>
      <w:ins w:id="32" w:author="French" w:date="2023-11-14T06:15:00Z">
        <w:r w:rsidR="00A35FC7" w:rsidRPr="004C4F78">
          <w:t>;</w:t>
        </w:r>
      </w:ins>
    </w:p>
    <w:p w14:paraId="765BB22C" w14:textId="6BACFD5E" w:rsidR="00A35FC7" w:rsidRPr="004C4F78" w:rsidRDefault="00AD1973" w:rsidP="000C33E1">
      <w:pPr>
        <w:rPr>
          <w:ins w:id="33" w:author="French" w:date="2023-11-14T06:16:00Z"/>
        </w:rPr>
      </w:pPr>
      <w:ins w:id="34" w:author="French" w:date="2023-11-09T14:14:00Z">
        <w:r w:rsidRPr="004C4F78">
          <w:rPr>
            <w:i/>
            <w:iCs/>
          </w:rPr>
          <w:t>b)</w:t>
        </w:r>
        <w:r w:rsidRPr="004C4F78">
          <w:rPr>
            <w:i/>
            <w:iCs/>
          </w:rPr>
          <w:tab/>
        </w:r>
        <w:r w:rsidRPr="004C4F78">
          <w:t>que les droits à une reconnaissance et à une protection au niveau international concernant des assignations de fréquence dépendent de l'inscription desdites assignations dans le Fichier de référence international des fréquences et sont assujettis aux dispositions du Règlement des radiocommunications,</w:t>
        </w:r>
      </w:ins>
    </w:p>
    <w:p w14:paraId="3B2A967E" w14:textId="77777777" w:rsidR="004C4F78" w:rsidRPr="004C4F78" w:rsidRDefault="004C5C2B" w:rsidP="000C33E1">
      <w:pPr>
        <w:pStyle w:val="Call"/>
      </w:pPr>
      <w:r w:rsidRPr="004C4F78">
        <w:t>décide</w:t>
      </w:r>
    </w:p>
    <w:p w14:paraId="6BDC3710" w14:textId="77777777" w:rsidR="004C4F78" w:rsidRPr="004C4F78" w:rsidRDefault="004C5C2B" w:rsidP="000C33E1">
      <w:r w:rsidRPr="004C4F78">
        <w:t>1</w:t>
      </w:r>
      <w:r w:rsidRPr="004C4F78">
        <w:tab/>
        <w:t>d'inviter les administrations qui prévoient de mettre en œuvre des IMT à mettre à disposition, en fonction de la demande des utilisateurs et d'autres considérations nationales, des bandes de fréquences additionnelles ou des portions des bandes de fréquences au-dessus de 1 GHz identifiées aux numéros </w:t>
      </w:r>
      <w:r w:rsidRPr="004C4F78">
        <w:rPr>
          <w:b/>
          <w:bCs/>
        </w:rPr>
        <w:t>5.341B</w:t>
      </w:r>
      <w:r w:rsidRPr="004C4F78">
        <w:t xml:space="preserve">, </w:t>
      </w:r>
      <w:r w:rsidRPr="004C4F78">
        <w:rPr>
          <w:rStyle w:val="ArtrefBold"/>
        </w:rPr>
        <w:t>5.384A</w:t>
      </w:r>
      <w:r w:rsidRPr="004C4F78">
        <w:rPr>
          <w:rStyle w:val="ArtrefBold"/>
          <w:b w:val="0"/>
        </w:rPr>
        <w:t>,</w:t>
      </w:r>
      <w:r w:rsidRPr="004C4F78">
        <w:rPr>
          <w:rStyle w:val="ArtrefBold"/>
          <w:bCs/>
        </w:rPr>
        <w:t xml:space="preserve"> </w:t>
      </w:r>
      <w:r w:rsidRPr="004C4F78">
        <w:rPr>
          <w:rStyle w:val="ArtrefBold"/>
        </w:rPr>
        <w:t>5.429B</w:t>
      </w:r>
      <w:r w:rsidRPr="004C4F78">
        <w:rPr>
          <w:rStyle w:val="ArtrefBold"/>
          <w:b w:val="0"/>
        </w:rPr>
        <w:t>,</w:t>
      </w:r>
      <w:r w:rsidRPr="004C4F78">
        <w:rPr>
          <w:rStyle w:val="ArtrefBold"/>
          <w:bCs/>
        </w:rPr>
        <w:t xml:space="preserve"> </w:t>
      </w:r>
      <w:r w:rsidRPr="004C4F78">
        <w:rPr>
          <w:rStyle w:val="ArtrefBold"/>
        </w:rPr>
        <w:t>5.429D</w:t>
      </w:r>
      <w:r w:rsidRPr="004C4F78">
        <w:rPr>
          <w:rStyle w:val="ArtrefBold"/>
          <w:b w:val="0"/>
          <w:bCs/>
        </w:rPr>
        <w:t>,</w:t>
      </w:r>
      <w:r w:rsidRPr="004C4F78">
        <w:rPr>
          <w:rStyle w:val="ArtrefBold"/>
        </w:rPr>
        <w:t xml:space="preserve"> 5.429F</w:t>
      </w:r>
      <w:r w:rsidRPr="004C4F78">
        <w:rPr>
          <w:rStyle w:val="ArtrefBold"/>
          <w:b w:val="0"/>
          <w:bCs/>
        </w:rPr>
        <w:t>,</w:t>
      </w:r>
      <w:r w:rsidRPr="004C4F78">
        <w:rPr>
          <w:rStyle w:val="ArtrefBold"/>
        </w:rPr>
        <w:t xml:space="preserve"> 5.441A </w:t>
      </w:r>
      <w:r w:rsidRPr="004C4F78">
        <w:rPr>
          <w:rStyle w:val="ArtrefBold"/>
          <w:b w:val="0"/>
          <w:bCs/>
        </w:rPr>
        <w:t>et</w:t>
      </w:r>
      <w:r w:rsidRPr="004C4F78">
        <w:rPr>
          <w:rStyle w:val="ArtrefBold"/>
        </w:rPr>
        <w:t xml:space="preserve"> 5.441B</w:t>
      </w:r>
      <w:r w:rsidRPr="004C4F78">
        <w:t xml:space="preserve"> pour la composante de Terre des IMT, il convient de tenir dûment compte des avantages d'une utilisation harmonisée du spectre pour la composante de Terre des IMT, eu égard aux services auxquels la bande de fréquences est actuellement attribuée;</w:t>
      </w:r>
    </w:p>
    <w:p w14:paraId="7A39521A" w14:textId="77777777" w:rsidR="004C4F78" w:rsidRPr="004C4F78" w:rsidRDefault="004C5C2B" w:rsidP="000C33E1">
      <w:r w:rsidRPr="004C4F78">
        <w:t>2</w:t>
      </w:r>
      <w:r w:rsidRPr="004C4F78">
        <w:tab/>
        <w:t>de reconnaître que les différences entre les textes des numéros </w:t>
      </w:r>
      <w:r w:rsidRPr="004C4F78">
        <w:rPr>
          <w:b/>
          <w:bCs/>
        </w:rPr>
        <w:t>5.341B</w:t>
      </w:r>
      <w:r w:rsidRPr="004C4F78">
        <w:t xml:space="preserve">, </w:t>
      </w:r>
      <w:r w:rsidRPr="004C4F78">
        <w:rPr>
          <w:rStyle w:val="ArtrefBold"/>
        </w:rPr>
        <w:t>5.384A</w:t>
      </w:r>
      <w:r w:rsidRPr="004C4F78">
        <w:rPr>
          <w:b/>
          <w:bCs/>
        </w:rPr>
        <w:t xml:space="preserve"> </w:t>
      </w:r>
      <w:r w:rsidRPr="004C4F78">
        <w:t>et</w:t>
      </w:r>
      <w:r w:rsidRPr="004C4F78">
        <w:rPr>
          <w:b/>
          <w:bCs/>
        </w:rPr>
        <w:t xml:space="preserve"> </w:t>
      </w:r>
      <w:r w:rsidRPr="004C4F78">
        <w:rPr>
          <w:rStyle w:val="ArtrefBold"/>
        </w:rPr>
        <w:t>5.388</w:t>
      </w:r>
      <w:r w:rsidRPr="004C4F78">
        <w:rPr>
          <w:b/>
          <w:bCs/>
        </w:rPr>
        <w:t xml:space="preserve"> </w:t>
      </w:r>
      <w:r w:rsidRPr="004C4F78">
        <w:t>n'impliquent pas de différences de statut réglementaire;</w:t>
      </w:r>
    </w:p>
    <w:p w14:paraId="040FA1DD" w14:textId="77777777" w:rsidR="004C4F78" w:rsidRPr="004C4F78" w:rsidRDefault="004C5C2B" w:rsidP="000C33E1">
      <w:r w:rsidRPr="004C4F78">
        <w:t>3</w:t>
      </w:r>
      <w:r w:rsidRPr="004C4F78">
        <w:tab/>
        <w:t xml:space="preserve">que, dans les bandes de fréquences 4 800-4 825 MHz et 4 835-4 950 MHz, pour identifier les administrations susceptibles d'être affectées lors de l'application de la procédure de recherche d'un accord conformément au numéro </w:t>
      </w:r>
      <w:r w:rsidRPr="004C4F78">
        <w:rPr>
          <w:b/>
          <w:bCs/>
        </w:rPr>
        <w:t>9.21</w:t>
      </w:r>
      <w:r w:rsidRPr="004C4F78">
        <w:t xml:space="preserve"> pour les stations IMT vis-à-vis des stations d'aéronef, une distance de coordination entre une station IMT et la frontière d'un autre pays égale à 300 km (pour les trajets terrestres)/450 km (pour les trajets maritimes) s'applique;</w:t>
      </w:r>
    </w:p>
    <w:p w14:paraId="66C15CD8" w14:textId="04CA26C2" w:rsidR="004C4F78" w:rsidRPr="004C4F78" w:rsidRDefault="004C5C2B" w:rsidP="000C33E1">
      <w:r w:rsidRPr="004C4F78">
        <w:t>4</w:t>
      </w:r>
      <w:r w:rsidRPr="004C4F78">
        <w:tab/>
        <w:t xml:space="preserve">que, dans la bande de fréquences 4 800-4 990 MHz, pour identifier les administrations susceptibles d'être affectées lors de l'application de la procédure de recherche d'un accord conformément au numéro </w:t>
      </w:r>
      <w:r w:rsidRPr="004C4F78">
        <w:rPr>
          <w:b/>
          <w:bCs/>
        </w:rPr>
        <w:t>9.21</w:t>
      </w:r>
      <w:r w:rsidRPr="004C4F78">
        <w:t xml:space="preserve"> pour les stations IMT vis-à-vis des stations du service fixe ou d'autres stations au sol du service mobile, une distance de coordination entre une station IMT et la frontière d'un autre pays égale à 70 km s'applique</w:t>
      </w:r>
      <w:del w:id="35" w:author="French" w:date="2023-11-09T14:15:00Z">
        <w:r w:rsidRPr="004C4F78" w:rsidDel="00AD1973">
          <w:delText>;</w:delText>
        </w:r>
      </w:del>
      <w:ins w:id="36" w:author="French" w:date="2023-11-09T14:15:00Z">
        <w:r w:rsidR="00AD1973" w:rsidRPr="004C4F78">
          <w:t>,</w:t>
        </w:r>
      </w:ins>
    </w:p>
    <w:p w14:paraId="2313C833" w14:textId="3F2ADC6B" w:rsidR="004C4F78" w:rsidRPr="004C4F78" w:rsidDel="00A35FC7" w:rsidRDefault="004C5C2B" w:rsidP="000C33E1">
      <w:pPr>
        <w:rPr>
          <w:del w:id="37" w:author="French" w:date="2023-11-14T06:16:00Z"/>
        </w:rPr>
      </w:pPr>
      <w:del w:id="38" w:author="French" w:date="2023-11-09T14:15:00Z">
        <w:r w:rsidRPr="004C4F78" w:rsidDel="00AD1973">
          <w:delText>5</w:delText>
        </w:r>
        <w:r w:rsidRPr="004C4F78" w:rsidDel="00AD1973">
          <w:tab/>
          <w:delText xml:space="preserve">que les limites de puissance surfacique indiquées dans le renvoi </w:delText>
        </w:r>
        <w:r w:rsidRPr="004C4F78" w:rsidDel="00AD1973">
          <w:rPr>
            <w:b/>
          </w:rPr>
          <w:delText>5.441B</w:delText>
        </w:r>
        <w:r w:rsidRPr="004C4F78" w:rsidDel="00AD1973">
          <w:rPr>
            <w:bCs/>
          </w:rPr>
          <w:delText>, qui sera réexaminé à la CMR-23</w:delText>
        </w:r>
        <w:r w:rsidRPr="004C4F78" w:rsidDel="00AD1973">
          <w:rPr>
            <w:b/>
          </w:rPr>
          <w:delText xml:space="preserve"> </w:delText>
        </w:r>
        <w:r w:rsidRPr="004C4F78" w:rsidDel="00AD1973">
          <w:delText>ne s'appliquent pas aux pays suivants: Arménie, Brésil, Cambodge, Chine, Fédération de Russie, Kazakhstan, Lao (R.d.p), Ouzbékistan, Sudafricaine (Rép.), Viet Nam et Zimbabwe,</w:delText>
        </w:r>
      </w:del>
    </w:p>
    <w:p w14:paraId="48F41E6C" w14:textId="77777777" w:rsidR="004C4F78" w:rsidRPr="004C4F78" w:rsidRDefault="004C5C2B" w:rsidP="0018551F">
      <w:pPr>
        <w:pStyle w:val="Call"/>
      </w:pPr>
      <w:r w:rsidRPr="004C4F78">
        <w:lastRenderedPageBreak/>
        <w:t>invite le Secteur des radiocommunications de l'UIT</w:t>
      </w:r>
    </w:p>
    <w:p w14:paraId="58400387" w14:textId="77777777" w:rsidR="004C4F78" w:rsidRPr="004C4F78" w:rsidRDefault="004C5C2B" w:rsidP="0018551F">
      <w:pPr>
        <w:keepNext/>
        <w:keepLines/>
      </w:pPr>
      <w:r w:rsidRPr="004C4F78">
        <w:t>1</w:t>
      </w:r>
      <w:r w:rsidRPr="004C4F78">
        <w:tab/>
        <w:t xml:space="preserve">à mener des études de compatibilité afin de définir des mesures techniques visant à </w:t>
      </w:r>
      <w:r w:rsidRPr="004C4F78">
        <w:rPr>
          <w:color w:val="000000"/>
        </w:rPr>
        <w:t>assurer la coexistence entre le SMS dans la bande de fréquences 1 518-1 525 MHz et les IMT dans la bande de fréquences 1 492-1 518 MHz, y compris des orientations concernant</w:t>
      </w:r>
      <w:r w:rsidRPr="004C4F78">
        <w:t xml:space="preserve"> la mise en œuvre de dispositions de fréquences pour le déploiement des IMT dans la bande</w:t>
      </w:r>
      <w:r w:rsidRPr="004C4F78">
        <w:rPr>
          <w:color w:val="000000"/>
        </w:rPr>
        <w:t xml:space="preserve"> de fréquences</w:t>
      </w:r>
      <w:r w:rsidRPr="004C4F78">
        <w:t xml:space="preserve"> 1 427</w:t>
      </w:r>
      <w:r w:rsidRPr="004C4F78">
        <w:noBreakHyphen/>
        <w:t>1 518 MHz, en tenant compte des résultats de ces études;</w:t>
      </w:r>
    </w:p>
    <w:p w14:paraId="2AD43A45" w14:textId="2184E436" w:rsidR="004C4F78" w:rsidRPr="004C4F78" w:rsidRDefault="004C5C2B" w:rsidP="000C33E1">
      <w:r w:rsidRPr="004C4F78">
        <w:t>2</w:t>
      </w:r>
      <w:r w:rsidRPr="004C4F78">
        <w:tab/>
      </w:r>
      <w:r w:rsidR="00B84B2F" w:rsidRPr="004C4F78">
        <w:t xml:space="preserve">à étudier les </w:t>
      </w:r>
      <w:del w:id="39" w:author="Hugo Vignal" w:date="2022-11-28T11:40:00Z">
        <w:r w:rsidR="00B84B2F" w:rsidRPr="004C4F78" w:rsidDel="00460672">
          <w:delText>conditions</w:delText>
        </w:r>
      </w:del>
      <w:ins w:id="40" w:author="Hugo Vignal" w:date="2022-11-28T11:40:00Z">
        <w:r w:rsidR="00B84B2F" w:rsidRPr="004C4F78">
          <w:t>mesures</w:t>
        </w:r>
      </w:ins>
      <w:r w:rsidR="00B84B2F" w:rsidRPr="004C4F78">
        <w:t xml:space="preserve"> techniques et réglementaires </w:t>
      </w:r>
      <w:del w:id="41" w:author="Hugo Vignal" w:date="2022-11-28T11:40:00Z">
        <w:r w:rsidR="00B84B2F" w:rsidRPr="004C4F78" w:rsidDel="00EC45E4">
          <w:delText>applicables à la protection</w:delText>
        </w:r>
      </w:del>
      <w:del w:id="42" w:author="French" w:date="2022-12-12T11:28:00Z">
        <w:r w:rsidR="00B84B2F" w:rsidRPr="004C4F78" w:rsidDel="00B93720">
          <w:delText xml:space="preserve"> </w:delText>
        </w:r>
      </w:del>
      <w:del w:id="43" w:author="Hugo Vignal" w:date="2022-11-28T11:42:00Z">
        <w:r w:rsidR="00B84B2F" w:rsidRPr="004C4F78" w:rsidDel="005B7EC7">
          <w:delText>des</w:delText>
        </w:r>
      </w:del>
      <w:ins w:id="44" w:author="French" w:date="2022-12-11T16:44:00Z">
        <w:r w:rsidR="00B84B2F" w:rsidRPr="004C4F78">
          <w:t xml:space="preserve">propres </w:t>
        </w:r>
      </w:ins>
      <w:ins w:id="45" w:author="Hugo Vignal" w:date="2022-11-28T11:40:00Z">
        <w:r w:rsidR="00B84B2F" w:rsidRPr="004C4F78">
          <w:t>à faciliter le partage</w:t>
        </w:r>
      </w:ins>
      <w:ins w:id="46" w:author="Hugo Vignal" w:date="2022-11-28T11:41:00Z">
        <w:r w:rsidR="00B84B2F" w:rsidRPr="004C4F78">
          <w:t xml:space="preserve"> entre les stations IMT de Terre</w:t>
        </w:r>
      </w:ins>
      <w:ins w:id="47" w:author="Hugo Vignal" w:date="2022-11-28T11:42:00Z">
        <w:r w:rsidR="00B84B2F" w:rsidRPr="004C4F78">
          <w:t xml:space="preserve"> des États côtiers et les</w:t>
        </w:r>
      </w:ins>
      <w:r w:rsidR="00B84B2F" w:rsidRPr="004C4F78">
        <w:t xml:space="preserve"> stations du SMA et du SMM situées </w:t>
      </w:r>
      <w:del w:id="48" w:author="Hugo Vignal" w:date="2022-11-28T11:42:00Z">
        <w:r w:rsidR="00B84B2F" w:rsidRPr="004C4F78" w:rsidDel="005B7EC7">
          <w:delText xml:space="preserve">dans l'espace aérien international ou dans les eaux internationales (c'est-à-dire </w:delText>
        </w:r>
      </w:del>
      <w:del w:id="49" w:author="French" w:date="2022-12-12T11:30:00Z">
        <w:r w:rsidR="00B84B2F" w:rsidRPr="004C4F78" w:rsidDel="00B93720">
          <w:delText>en dehors du territoire des pays</w:delText>
        </w:r>
      </w:del>
      <w:del w:id="50" w:author="Hugo Vignal" w:date="2022-11-28T11:42:00Z">
        <w:r w:rsidR="00B84B2F" w:rsidRPr="004C4F78" w:rsidDel="005362D2">
          <w:delText>)</w:delText>
        </w:r>
      </w:del>
      <w:ins w:id="51" w:author="French" w:date="2022-12-12T11:29:00Z">
        <w:r w:rsidR="00B84B2F" w:rsidRPr="004C4F78">
          <w:t>en dehors du territoire national de tout pays</w:t>
        </w:r>
      </w:ins>
      <w:r w:rsidR="00B84B2F" w:rsidRPr="004C4F78">
        <w:t xml:space="preserve"> et exploitées dans la bande de fréquences 4 800</w:t>
      </w:r>
      <w:r w:rsidR="00B84B2F" w:rsidRPr="004C4F78">
        <w:noBreakHyphen/>
        <w:t>4 990 MHz</w:t>
      </w:r>
      <w:ins w:id="52" w:author="ITU" w:date="2022-10-19T16:54:00Z">
        <w:r w:rsidR="00B84B2F" w:rsidRPr="004C4F78">
          <w:t xml:space="preserve">, </w:t>
        </w:r>
      </w:ins>
      <w:ins w:id="53" w:author="Hugo Vignal" w:date="2022-11-28T11:55:00Z">
        <w:r w:rsidR="00B84B2F" w:rsidRPr="004C4F78">
          <w:t xml:space="preserve">y compris des mesures fondées sur la planification des fréquences et, sur la base de </w:t>
        </w:r>
      </w:ins>
      <w:ins w:id="54" w:author="Hugo Vignal" w:date="2022-11-28T11:56:00Z">
        <w:r w:rsidR="00B84B2F" w:rsidRPr="004C4F78">
          <w:t xml:space="preserve">ces études, à élaborer des </w:t>
        </w:r>
      </w:ins>
      <w:ins w:id="55" w:author="French" w:date="2023-11-14T07:11:00Z">
        <w:r w:rsidR="0018551F" w:rsidRPr="004C4F78">
          <w:t>r</w:t>
        </w:r>
      </w:ins>
      <w:ins w:id="56" w:author="Hugo Vignal" w:date="2022-11-28T11:56:00Z">
        <w:r w:rsidR="00B84B2F" w:rsidRPr="004C4F78">
          <w:t xml:space="preserve">ecommandations ou des </w:t>
        </w:r>
      </w:ins>
      <w:ins w:id="57" w:author="French" w:date="2022-12-10T18:00:00Z">
        <w:r w:rsidR="00B84B2F" w:rsidRPr="004C4F78">
          <w:t>r</w:t>
        </w:r>
      </w:ins>
      <w:ins w:id="58" w:author="Hugo Vignal" w:date="2022-11-28T11:56:00Z">
        <w:r w:rsidR="00B84B2F" w:rsidRPr="004C4F78">
          <w:t xml:space="preserve">apports </w:t>
        </w:r>
      </w:ins>
      <w:ins w:id="59" w:author="French" w:date="2022-12-11T16:45:00Z">
        <w:r w:rsidR="00B84B2F" w:rsidRPr="004C4F78">
          <w:t>de l</w:t>
        </w:r>
      </w:ins>
      <w:ins w:id="60" w:author="French" w:date="2022-12-12T11:30:00Z">
        <w:r w:rsidR="00B84B2F" w:rsidRPr="004C4F78">
          <w:t>'</w:t>
        </w:r>
      </w:ins>
      <w:ins w:id="61" w:author="Hugo Vignal" w:date="2022-11-28T11:56:00Z">
        <w:r w:rsidR="00B84B2F" w:rsidRPr="004C4F78">
          <w:t>UIT</w:t>
        </w:r>
      </w:ins>
      <w:ins w:id="62" w:author="French" w:date="2022-12-12T11:30:00Z">
        <w:r w:rsidR="00B84B2F" w:rsidRPr="004C4F78">
          <w:noBreakHyphen/>
        </w:r>
      </w:ins>
      <w:ins w:id="63" w:author="Hugo Vignal" w:date="2022-11-28T11:56:00Z">
        <w:r w:rsidR="00B84B2F" w:rsidRPr="004C4F78">
          <w:t xml:space="preserve">R, selon le cas, afin d'aider les administrations </w:t>
        </w:r>
      </w:ins>
      <w:ins w:id="64" w:author="French" w:date="2022-12-11T16:46:00Z">
        <w:r w:rsidR="00B84B2F" w:rsidRPr="004C4F78">
          <w:t>qui souhaitent</w:t>
        </w:r>
      </w:ins>
      <w:ins w:id="65" w:author="Hugo Vignal" w:date="2022-11-28T11:56:00Z">
        <w:r w:rsidR="00B84B2F" w:rsidRPr="004C4F78">
          <w:t xml:space="preserve"> </w:t>
        </w:r>
      </w:ins>
      <w:ins w:id="66" w:author="French" w:date="2022-12-11T16:46:00Z">
        <w:r w:rsidR="00B84B2F" w:rsidRPr="004C4F78">
          <w:t xml:space="preserve">appliquer ces </w:t>
        </w:r>
      </w:ins>
      <w:ins w:id="67" w:author="Hugo Vignal" w:date="2022-11-28T11:57:00Z">
        <w:r w:rsidR="00B84B2F" w:rsidRPr="004C4F78">
          <w:t>mesures</w:t>
        </w:r>
      </w:ins>
      <w:r w:rsidR="00B84B2F" w:rsidRPr="004C4F78">
        <w:t>;</w:t>
      </w:r>
    </w:p>
    <w:p w14:paraId="2ACC35F2" w14:textId="77777777" w:rsidR="004C4F78" w:rsidRPr="004C4F78" w:rsidRDefault="004C5C2B" w:rsidP="000C33E1">
      <w:r w:rsidRPr="004C4F78">
        <w:t>3</w:t>
      </w:r>
      <w:r w:rsidRPr="004C4F78">
        <w:tab/>
        <w:t>à continuer de donner des indications pour faire en sorte que les IMT puissent répondre aux besoins de télécommunication des pays en développement et des zones rurales;</w:t>
      </w:r>
    </w:p>
    <w:p w14:paraId="773E4653" w14:textId="6FAF6245" w:rsidR="004C4F78" w:rsidRPr="004C4F78" w:rsidRDefault="004C5C2B" w:rsidP="000C33E1">
      <w:r w:rsidRPr="004C4F78">
        <w:t>4</w:t>
      </w:r>
      <w:r w:rsidRPr="004C4F78">
        <w:tab/>
        <w:t xml:space="preserve">à inclure les résultats des études visées sous le </w:t>
      </w:r>
      <w:r w:rsidRPr="004C4F78">
        <w:rPr>
          <w:i/>
          <w:iCs/>
        </w:rPr>
        <w:t xml:space="preserve">invite le Secteur des radiocommunications de l'UIT </w:t>
      </w:r>
      <w:r w:rsidRPr="004C4F78">
        <w:t>ci-dessus dans une ou plusieurs Recommandations ou dans un ou plusieurs Rapports de l'UIT-R, selon qu'il conviendra</w:t>
      </w:r>
      <w:del w:id="68" w:author="French" w:date="2023-11-09T14:20:00Z">
        <w:r w:rsidRPr="004C4F78" w:rsidDel="00B84B2F">
          <w:delText>,</w:delText>
        </w:r>
      </w:del>
      <w:ins w:id="69" w:author="French" w:date="2023-11-09T14:20:00Z">
        <w:r w:rsidR="00B84B2F" w:rsidRPr="004C4F78">
          <w:t>.</w:t>
        </w:r>
      </w:ins>
    </w:p>
    <w:p w14:paraId="2B1CCDF2" w14:textId="14059836" w:rsidR="004C4F78" w:rsidRPr="004C4F78" w:rsidDel="00B84B2F" w:rsidRDefault="004C5C2B" w:rsidP="000C33E1">
      <w:pPr>
        <w:pStyle w:val="Call"/>
        <w:rPr>
          <w:del w:id="70" w:author="French" w:date="2023-11-09T14:20:00Z"/>
        </w:rPr>
      </w:pPr>
      <w:del w:id="71" w:author="French" w:date="2023-11-09T14:20:00Z">
        <w:r w:rsidRPr="004C4F78" w:rsidDel="00B84B2F">
          <w:delText>invite la Conférence mondiale des radiocommunications de 2023</w:delText>
        </w:r>
      </w:del>
    </w:p>
    <w:p w14:paraId="0B15970E" w14:textId="3A999739" w:rsidR="004C4F78" w:rsidRPr="004C4F78" w:rsidDel="00B84B2F" w:rsidRDefault="004C5C2B" w:rsidP="00EF5EC0">
      <w:pPr>
        <w:rPr>
          <w:del w:id="72" w:author="French" w:date="2023-11-09T14:20:00Z"/>
        </w:rPr>
      </w:pPr>
      <w:del w:id="73" w:author="French" w:date="2023-11-09T14:20:00Z">
        <w:r w:rsidRPr="004C4F78" w:rsidDel="00B84B2F">
          <w:delText xml:space="preserve">à examiner, sur la base des résultats des études visées au point 2 du </w:delText>
        </w:r>
        <w:r w:rsidRPr="004C4F78" w:rsidDel="00B84B2F">
          <w:rPr>
            <w:i/>
          </w:rPr>
          <w:delText>invite le Secteur des radiocommunications de l'UIT</w:delText>
        </w:r>
        <w:r w:rsidRPr="004C4F78" w:rsidDel="00B84B2F">
          <w:delText xml:space="preserve"> ci</w:delText>
        </w:r>
        <w:r w:rsidRPr="004C4F78" w:rsidDel="00B84B2F">
          <w:noBreakHyphen/>
          <w:delText>dessus, les mesures qui pourraient être prises pour assurer, dans la bande de fréquences 4 800</w:delText>
        </w:r>
        <w:r w:rsidRPr="004C4F78" w:rsidDel="00B84B2F">
          <w:noBreakHyphen/>
          <w:delText xml:space="preserve">4 990 MHz, la protection des stations du SMA et du SMM situées dans l'espace aérien international et dans les eaux internationales vis-à-vis d'autres stations situées sur le territoire des pays et à examiner le critère de puissance surfacique figurant dans le renvoi </w:delText>
        </w:r>
        <w:r w:rsidRPr="004C4F78" w:rsidDel="00B84B2F">
          <w:rPr>
            <w:b/>
          </w:rPr>
          <w:delText>5.441B</w:delText>
        </w:r>
        <w:r w:rsidRPr="004C4F78" w:rsidDel="00B84B2F">
          <w:delText>.</w:delText>
        </w:r>
      </w:del>
    </w:p>
    <w:p w14:paraId="14FE4B58" w14:textId="77777777" w:rsidR="00B84B2F" w:rsidRPr="004C4F78" w:rsidRDefault="00B84B2F" w:rsidP="00411C49">
      <w:pPr>
        <w:pStyle w:val="Reasons"/>
      </w:pPr>
    </w:p>
    <w:p w14:paraId="7A9D3972" w14:textId="77777777" w:rsidR="00B84B2F" w:rsidRPr="004C4F78" w:rsidRDefault="00B84B2F">
      <w:pPr>
        <w:jc w:val="center"/>
      </w:pPr>
      <w:r w:rsidRPr="004C4F78">
        <w:t>______________</w:t>
      </w:r>
    </w:p>
    <w:sectPr w:rsidR="00B84B2F" w:rsidRPr="004C4F78">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62598" w14:textId="77777777" w:rsidR="00CB685A" w:rsidRDefault="00CB685A">
      <w:r>
        <w:separator/>
      </w:r>
    </w:p>
  </w:endnote>
  <w:endnote w:type="continuationSeparator" w:id="0">
    <w:p w14:paraId="195F27F1"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F3BF" w14:textId="6BFD69C0" w:rsidR="00936D25" w:rsidRDefault="00936D25">
    <w:pPr>
      <w:rPr>
        <w:lang w:val="en-US"/>
      </w:rPr>
    </w:pPr>
    <w:r>
      <w:fldChar w:fldCharType="begin"/>
    </w:r>
    <w:r>
      <w:rPr>
        <w:lang w:val="en-US"/>
      </w:rPr>
      <w:instrText xml:space="preserve"> FILENAME \p  \* MERGEFORMAT </w:instrText>
    </w:r>
    <w:r>
      <w:fldChar w:fldCharType="separate"/>
    </w:r>
    <w:r w:rsidR="004C4F78">
      <w:rPr>
        <w:noProof/>
        <w:lang w:val="en-US"/>
      </w:rPr>
      <w:t>P:\FRA\ITU-R\CONF-R\CMR23\000\085ADD01F.docx</w:t>
    </w:r>
    <w:r>
      <w:fldChar w:fldCharType="end"/>
    </w:r>
    <w:r>
      <w:rPr>
        <w:lang w:val="en-US"/>
      </w:rPr>
      <w:tab/>
    </w:r>
    <w:r>
      <w:fldChar w:fldCharType="begin"/>
    </w:r>
    <w:r>
      <w:instrText xml:space="preserve"> SAVEDATE \@ DD.MM.YY </w:instrText>
    </w:r>
    <w:r>
      <w:fldChar w:fldCharType="separate"/>
    </w:r>
    <w:r w:rsidR="004C4F78">
      <w:rPr>
        <w:noProof/>
      </w:rPr>
      <w:t>14.11.23</w:t>
    </w:r>
    <w:r>
      <w:fldChar w:fldCharType="end"/>
    </w:r>
    <w:r>
      <w:rPr>
        <w:lang w:val="en-US"/>
      </w:rPr>
      <w:tab/>
    </w:r>
    <w:r>
      <w:fldChar w:fldCharType="begin"/>
    </w:r>
    <w:r>
      <w:instrText xml:space="preserve"> PRINTDATE \@ DD.MM.YY </w:instrText>
    </w:r>
    <w:r>
      <w:fldChar w:fldCharType="separate"/>
    </w:r>
    <w:r w:rsidR="004C4F78">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42AF" w14:textId="6240F998"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4C4F78">
      <w:rPr>
        <w:lang w:val="en-US"/>
      </w:rPr>
      <w:t>P:\FRA\ITU-R\CONF-R\CMR23\000\085ADD01F.docx</w:t>
    </w:r>
    <w:r>
      <w:fldChar w:fldCharType="end"/>
    </w:r>
    <w:r w:rsidR="00B84B2F" w:rsidRPr="0018551F">
      <w:rPr>
        <w:lang w:val="en-US"/>
      </w:rPr>
      <w:t xml:space="preserve"> (529868)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698" w14:textId="29485AE0" w:rsidR="00511194" w:rsidRDefault="00511194" w:rsidP="00511194">
    <w:pPr>
      <w:pStyle w:val="Footer"/>
      <w:rPr>
        <w:lang w:val="en-US"/>
      </w:rPr>
    </w:pPr>
    <w:r>
      <w:fldChar w:fldCharType="begin"/>
    </w:r>
    <w:r>
      <w:rPr>
        <w:lang w:val="en-US"/>
      </w:rPr>
      <w:instrText xml:space="preserve"> FILENAME \p  \* MERGEFORMAT </w:instrText>
    </w:r>
    <w:r>
      <w:fldChar w:fldCharType="separate"/>
    </w:r>
    <w:r w:rsidR="004C4F78">
      <w:rPr>
        <w:lang w:val="en-US"/>
      </w:rPr>
      <w:t>P:\FRA\ITU-R\CONF-R\CMR23\000\085ADD01F.docx</w:t>
    </w:r>
    <w:r>
      <w:fldChar w:fldCharType="end"/>
    </w:r>
    <w:r w:rsidRPr="0018551F">
      <w:rPr>
        <w:lang w:val="en-US"/>
      </w:rPr>
      <w:t xml:space="preserve"> (529868)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CDEE" w14:textId="77777777" w:rsidR="00CB685A" w:rsidRDefault="00CB685A">
      <w:r>
        <w:rPr>
          <w:b/>
        </w:rPr>
        <w:t>_______________</w:t>
      </w:r>
    </w:p>
  </w:footnote>
  <w:footnote w:type="continuationSeparator" w:id="0">
    <w:p w14:paraId="7CA5BAD0" w14:textId="77777777" w:rsidR="00CB685A" w:rsidRDefault="00CB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3574"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0B405CEA" w14:textId="77777777" w:rsidR="004F1F8E" w:rsidRDefault="00225CF2" w:rsidP="00FD7AA3">
    <w:pPr>
      <w:pStyle w:val="Header"/>
    </w:pPr>
    <w:r>
      <w:t>WRC</w:t>
    </w:r>
    <w:r w:rsidR="00D3426F">
      <w:t>23</w:t>
    </w:r>
    <w:r w:rsidR="004F1F8E">
      <w:t>/</w:t>
    </w:r>
    <w:r w:rsidR="006A4B45">
      <w:t>85(Add.1)-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224882091">
    <w:abstractNumId w:val="0"/>
  </w:num>
  <w:num w:numId="2" w16cid:durableId="12237564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Hugo Vignal">
    <w15:presenceInfo w15:providerId="Windows Live" w15:userId="1e62ffb97d15b135"/>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8551F"/>
    <w:rsid w:val="0019352B"/>
    <w:rsid w:val="001960D0"/>
    <w:rsid w:val="001A11F6"/>
    <w:rsid w:val="001A7E04"/>
    <w:rsid w:val="001B7E1E"/>
    <w:rsid w:val="001E0EBC"/>
    <w:rsid w:val="001F17E8"/>
    <w:rsid w:val="00204306"/>
    <w:rsid w:val="00225CF2"/>
    <w:rsid w:val="00232FD2"/>
    <w:rsid w:val="0026554E"/>
    <w:rsid w:val="0028084F"/>
    <w:rsid w:val="002A37BB"/>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F2D"/>
    <w:rsid w:val="00466211"/>
    <w:rsid w:val="00483196"/>
    <w:rsid w:val="004834A9"/>
    <w:rsid w:val="004C4F78"/>
    <w:rsid w:val="004C5C2B"/>
    <w:rsid w:val="004D01FC"/>
    <w:rsid w:val="004E28C3"/>
    <w:rsid w:val="004F1F8E"/>
    <w:rsid w:val="00511194"/>
    <w:rsid w:val="00512A32"/>
    <w:rsid w:val="005343DA"/>
    <w:rsid w:val="00560874"/>
    <w:rsid w:val="005808F9"/>
    <w:rsid w:val="00586CF2"/>
    <w:rsid w:val="005A7C75"/>
    <w:rsid w:val="005C3768"/>
    <w:rsid w:val="005C6C3F"/>
    <w:rsid w:val="00613635"/>
    <w:rsid w:val="0062093D"/>
    <w:rsid w:val="00637ECF"/>
    <w:rsid w:val="00647B59"/>
    <w:rsid w:val="00690C7B"/>
    <w:rsid w:val="006A4B45"/>
    <w:rsid w:val="006D4724"/>
    <w:rsid w:val="006E512A"/>
    <w:rsid w:val="006F5FA2"/>
    <w:rsid w:val="0070076C"/>
    <w:rsid w:val="00701BAE"/>
    <w:rsid w:val="00721F04"/>
    <w:rsid w:val="00730E95"/>
    <w:rsid w:val="007426B9"/>
    <w:rsid w:val="00764342"/>
    <w:rsid w:val="00774362"/>
    <w:rsid w:val="00786598"/>
    <w:rsid w:val="00790C74"/>
    <w:rsid w:val="007A04E8"/>
    <w:rsid w:val="007B2C34"/>
    <w:rsid w:val="007F282B"/>
    <w:rsid w:val="00830086"/>
    <w:rsid w:val="00851625"/>
    <w:rsid w:val="00863C0A"/>
    <w:rsid w:val="008A3120"/>
    <w:rsid w:val="008A4B97"/>
    <w:rsid w:val="008C5B8E"/>
    <w:rsid w:val="008C5DD5"/>
    <w:rsid w:val="008C7123"/>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5FC7"/>
    <w:rsid w:val="00A37105"/>
    <w:rsid w:val="00A606C3"/>
    <w:rsid w:val="00A82904"/>
    <w:rsid w:val="00A83B09"/>
    <w:rsid w:val="00A84541"/>
    <w:rsid w:val="00AD1973"/>
    <w:rsid w:val="00AE36A0"/>
    <w:rsid w:val="00B00294"/>
    <w:rsid w:val="00B3749C"/>
    <w:rsid w:val="00B44F0E"/>
    <w:rsid w:val="00B64FD0"/>
    <w:rsid w:val="00B84B2F"/>
    <w:rsid w:val="00BA5BD0"/>
    <w:rsid w:val="00BB1D82"/>
    <w:rsid w:val="00BC217E"/>
    <w:rsid w:val="00BD51C5"/>
    <w:rsid w:val="00BF26E7"/>
    <w:rsid w:val="00C1305F"/>
    <w:rsid w:val="00C53FCA"/>
    <w:rsid w:val="00C71DEB"/>
    <w:rsid w:val="00C76BAF"/>
    <w:rsid w:val="00C814B9"/>
    <w:rsid w:val="00CB685A"/>
    <w:rsid w:val="00CD0272"/>
    <w:rsid w:val="00CD516F"/>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470630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Bold">
    <w:name w:val="Art_ref +  Bold"/>
    <w:basedOn w:val="Artref"/>
    <w:uiPriority w:val="99"/>
    <w:rsid w:val="00DD4258"/>
    <w:rPr>
      <w:b/>
      <w:color w:val="auto"/>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AD1973"/>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R23-WRC23-C-0085!A1!MSW-F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0546AB-98EE-4EC7-BBD2-CBB995422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CB2DF-10FE-43B6-9E50-6F9BD549989C}">
  <ds:schemaRefs>
    <ds:schemaRef ds:uri="996b2e75-67fd-4955-a3b0-5ab9934cb50b"/>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32a1a8c5-2265-4ebc-b7a0-2071e2c5c9bb"/>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4988087C-56D7-4107-A506-27B7AD7F5E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1389</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R23-WRC23-C-0085!A1!MSW-F</vt:lpstr>
    </vt:vector>
  </TitlesOfParts>
  <Manager>Secrétariat général - Pool</Manager>
  <Company>Union internationale des télécommunications (UIT)</Company>
  <LinksUpToDate>false</LinksUpToDate>
  <CharactersWithSpaces>10695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R23-WRC23-C-0085!A1!MSW-F</dc:title>
  <dc:subject>Conférence mondiale des radiocommunications - 2019</dc:subject>
  <dc:creator>Documents Proposals Manager (DPM)</dc:creator>
  <cp:keywords>DPM_v2023.11.6.1_prod</cp:keywords>
  <dc:description/>
  <cp:lastModifiedBy>French</cp:lastModifiedBy>
  <cp:revision>5</cp:revision>
  <cp:lastPrinted>2003-06-05T19:34:00Z</cp:lastPrinted>
  <dcterms:created xsi:type="dcterms:W3CDTF">2023-11-14T05:08:00Z</dcterms:created>
  <dcterms:modified xsi:type="dcterms:W3CDTF">2023-11-14T06:33:00Z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