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02785D" w14:paraId="33DCCD3E" w14:textId="77777777" w:rsidTr="0080079E">
        <w:trPr>
          <w:cantSplit/>
        </w:trPr>
        <w:tc>
          <w:tcPr>
            <w:tcW w:w="1418" w:type="dxa"/>
            <w:vAlign w:val="center"/>
          </w:tcPr>
          <w:p w14:paraId="3B60F8EB" w14:textId="77777777" w:rsidR="0080079E" w:rsidRPr="004D2749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283F96E" wp14:editId="7C04ECF7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123A2CA9" w14:textId="77777777" w:rsidR="0080079E" w:rsidRPr="004D2749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23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C1922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5CD00857" w14:textId="77777777" w:rsidR="0080079E" w:rsidRPr="0002785D" w:rsidRDefault="0080079E" w:rsidP="0080079E">
            <w:pPr>
              <w:spacing w:before="0" w:line="240" w:lineRule="atLeas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6403B12C" wp14:editId="7CB0BF1F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2E8BC9B2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38BAA2FC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6B0B60C1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35DB8A16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43C575A0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093E4B4D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2BBA86C0" w14:textId="77777777" w:rsidTr="0090121B">
        <w:trPr>
          <w:cantSplit/>
        </w:trPr>
        <w:tc>
          <w:tcPr>
            <w:tcW w:w="6911" w:type="dxa"/>
            <w:gridSpan w:val="2"/>
          </w:tcPr>
          <w:p w14:paraId="424D41E9" w14:textId="77777777" w:rsidR="0090121B" w:rsidRPr="00417391" w:rsidRDefault="001E7D42" w:rsidP="00EA77F0">
            <w:pPr>
              <w:pStyle w:val="Committee"/>
              <w:framePr w:hSpace="0" w:wrap="auto" w:hAnchor="text" w:yAlign="inline"/>
              <w:rPr>
                <w:szCs w:val="20"/>
              </w:rPr>
            </w:pPr>
            <w:r w:rsidRPr="00417391">
              <w:rPr>
                <w:szCs w:val="20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28E67245" w14:textId="77777777" w:rsidR="0090121B" w:rsidRPr="00417391" w:rsidRDefault="00AE658F" w:rsidP="0045384C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 w:rsidRPr="00417391">
              <w:rPr>
                <w:rFonts w:ascii="Verdana" w:hAnsi="Verdana"/>
                <w:b/>
                <w:sz w:val="20"/>
                <w:lang w:val="en-US"/>
              </w:rPr>
              <w:t>Documento 82</w:t>
            </w:r>
            <w:r w:rsidR="0090121B" w:rsidRPr="00417391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417391">
              <w:rPr>
                <w:rFonts w:ascii="Verdana" w:hAnsi="Verdana"/>
                <w:b/>
                <w:sz w:val="20"/>
                <w:lang w:val="en-US"/>
              </w:rPr>
              <w:t>S</w:t>
            </w:r>
          </w:p>
        </w:tc>
      </w:tr>
      <w:bookmarkEnd w:id="1"/>
      <w:tr w:rsidR="000A5B9A" w:rsidRPr="0002785D" w14:paraId="0FDF3B97" w14:textId="77777777" w:rsidTr="0090121B">
        <w:trPr>
          <w:cantSplit/>
        </w:trPr>
        <w:tc>
          <w:tcPr>
            <w:tcW w:w="6911" w:type="dxa"/>
            <w:gridSpan w:val="2"/>
          </w:tcPr>
          <w:p w14:paraId="2DD04ABE" w14:textId="77777777" w:rsidR="000A5B9A" w:rsidRPr="00417391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2AD03071" w14:textId="77777777" w:rsidR="000A5B9A" w:rsidRPr="00417391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417391">
              <w:rPr>
                <w:rFonts w:ascii="Verdana" w:hAnsi="Verdana"/>
                <w:b/>
                <w:sz w:val="20"/>
                <w:lang w:val="en-US"/>
              </w:rPr>
              <w:t>20 de octubre de 2023</w:t>
            </w:r>
          </w:p>
        </w:tc>
      </w:tr>
      <w:tr w:rsidR="000A5B9A" w:rsidRPr="0002785D" w14:paraId="14A2BF5C" w14:textId="77777777" w:rsidTr="0090121B">
        <w:trPr>
          <w:cantSplit/>
        </w:trPr>
        <w:tc>
          <w:tcPr>
            <w:tcW w:w="6911" w:type="dxa"/>
            <w:gridSpan w:val="2"/>
          </w:tcPr>
          <w:p w14:paraId="01FDCFD9" w14:textId="77777777" w:rsidR="000A5B9A" w:rsidRPr="00417391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011B6FF5" w14:textId="77777777" w:rsidR="000A5B9A" w:rsidRPr="00417391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417391">
              <w:rPr>
                <w:rFonts w:ascii="Verdana" w:hAnsi="Verdana"/>
                <w:b/>
                <w:sz w:val="20"/>
                <w:lang w:val="en-US"/>
              </w:rPr>
              <w:t>Original: inglés</w:t>
            </w:r>
          </w:p>
        </w:tc>
      </w:tr>
      <w:tr w:rsidR="000A5B9A" w:rsidRPr="0002785D" w14:paraId="3D96B786" w14:textId="77777777" w:rsidTr="006744FC">
        <w:trPr>
          <w:cantSplit/>
        </w:trPr>
        <w:tc>
          <w:tcPr>
            <w:tcW w:w="10031" w:type="dxa"/>
            <w:gridSpan w:val="4"/>
          </w:tcPr>
          <w:p w14:paraId="4293DD1F" w14:textId="77777777" w:rsidR="000A5B9A" w:rsidRPr="007424E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n-US"/>
              </w:rPr>
            </w:pPr>
          </w:p>
        </w:tc>
      </w:tr>
      <w:tr w:rsidR="000A5B9A" w:rsidRPr="0002785D" w14:paraId="01FE8EF3" w14:textId="77777777" w:rsidTr="0050008E">
        <w:trPr>
          <w:cantSplit/>
        </w:trPr>
        <w:tc>
          <w:tcPr>
            <w:tcW w:w="10031" w:type="dxa"/>
            <w:gridSpan w:val="4"/>
          </w:tcPr>
          <w:p w14:paraId="5A0B63BF" w14:textId="77777777" w:rsidR="000A5B9A" w:rsidRPr="0002785D" w:rsidRDefault="000A5B9A" w:rsidP="000A5B9A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02785D">
              <w:rPr>
                <w:lang w:val="en-US"/>
              </w:rPr>
              <w:t>Madagascar (República de)</w:t>
            </w:r>
          </w:p>
        </w:tc>
      </w:tr>
      <w:tr w:rsidR="000A5B9A" w:rsidRPr="002E7EA8" w14:paraId="39811396" w14:textId="77777777" w:rsidTr="0050008E">
        <w:trPr>
          <w:cantSplit/>
        </w:trPr>
        <w:tc>
          <w:tcPr>
            <w:tcW w:w="10031" w:type="dxa"/>
            <w:gridSpan w:val="4"/>
          </w:tcPr>
          <w:p w14:paraId="1DBEBDB9" w14:textId="14CA1B61" w:rsidR="000A5B9A" w:rsidRPr="002E7EA8" w:rsidRDefault="000A5B9A" w:rsidP="000A5B9A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2E7EA8">
              <w:rPr>
                <w:lang w:val="es-ES"/>
              </w:rPr>
              <w:t>PROP</w:t>
            </w:r>
            <w:r w:rsidR="002E7EA8" w:rsidRPr="002E7EA8">
              <w:rPr>
                <w:lang w:val="es-ES"/>
              </w:rPr>
              <w:t>UESTAS PARA LOS TRABAJOS D</w:t>
            </w:r>
            <w:r w:rsidR="002E7EA8">
              <w:rPr>
                <w:lang w:val="es-ES"/>
              </w:rPr>
              <w:t>E LA CONFERENCIA</w:t>
            </w:r>
          </w:p>
        </w:tc>
      </w:tr>
      <w:tr w:rsidR="000A5B9A" w:rsidRPr="002E7EA8" w14:paraId="5580A9A2" w14:textId="77777777" w:rsidTr="0050008E">
        <w:trPr>
          <w:cantSplit/>
        </w:trPr>
        <w:tc>
          <w:tcPr>
            <w:tcW w:w="10031" w:type="dxa"/>
            <w:gridSpan w:val="4"/>
          </w:tcPr>
          <w:p w14:paraId="27D946DF" w14:textId="77777777" w:rsidR="000A5B9A" w:rsidRPr="002E7EA8" w:rsidRDefault="000A5B9A" w:rsidP="000A5B9A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</w:p>
        </w:tc>
      </w:tr>
      <w:tr w:rsidR="000A5B9A" w14:paraId="32BD0B7D" w14:textId="77777777" w:rsidTr="0050008E">
        <w:trPr>
          <w:cantSplit/>
        </w:trPr>
        <w:tc>
          <w:tcPr>
            <w:tcW w:w="10031" w:type="dxa"/>
            <w:gridSpan w:val="4"/>
          </w:tcPr>
          <w:p w14:paraId="43F896C6" w14:textId="77777777"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10 del orden del día</w:t>
            </w:r>
          </w:p>
        </w:tc>
      </w:tr>
    </w:tbl>
    <w:bookmarkEnd w:id="5"/>
    <w:p w14:paraId="196E80EC" w14:textId="77777777" w:rsidR="0015413A" w:rsidRPr="007E716E" w:rsidRDefault="0015413A" w:rsidP="007E716E">
      <w:r w:rsidRPr="00ED1619">
        <w:t>10</w:t>
      </w:r>
      <w:r w:rsidRPr="00ED1619">
        <w:tab/>
        <w:t xml:space="preserve">recomendar al Consejo de la UIT los puntos que debe contener el orden del día de la próxima Conferencia Mundial de Radiocomunicaciones y los temas que se han de incluir en el orden del día preliminar de futuras conferencias, de conformidad con el Artículo 7 del Convenio de la UIT y la Resolución </w:t>
      </w:r>
      <w:r w:rsidRPr="00ED1619">
        <w:rPr>
          <w:b/>
          <w:bCs/>
        </w:rPr>
        <w:t>804 (Rev.CMR-19)</w:t>
      </w:r>
      <w:r w:rsidRPr="00ED1619">
        <w:t>,</w:t>
      </w:r>
    </w:p>
    <w:p w14:paraId="3F548E4A" w14:textId="77777777" w:rsidR="00363A65" w:rsidRDefault="00363A65" w:rsidP="002C1A52"/>
    <w:p w14:paraId="29E37B56" w14:textId="77777777" w:rsidR="008750A8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16FF4C8A" w14:textId="77777777" w:rsidR="00B113DE" w:rsidRDefault="0015413A">
      <w:pPr>
        <w:pStyle w:val="Proposal"/>
      </w:pPr>
      <w:r>
        <w:lastRenderedPageBreak/>
        <w:tab/>
        <w:t>MDG/82/1</w:t>
      </w:r>
    </w:p>
    <w:p w14:paraId="2A0AC665" w14:textId="77777777" w:rsidR="0015413A" w:rsidRPr="006537F1" w:rsidRDefault="0015413A" w:rsidP="00680068">
      <w:pPr>
        <w:pStyle w:val="ArtNo"/>
        <w:spacing w:before="0"/>
      </w:pPr>
      <w:bookmarkStart w:id="6" w:name="_Toc48141342"/>
      <w:r w:rsidRPr="006537F1">
        <w:t xml:space="preserve">ARTÍCULO </w:t>
      </w:r>
      <w:r w:rsidRPr="006537F1">
        <w:rPr>
          <w:rStyle w:val="href"/>
        </w:rPr>
        <w:t>22</w:t>
      </w:r>
      <w:bookmarkEnd w:id="6"/>
    </w:p>
    <w:p w14:paraId="7A69DAA4" w14:textId="77777777" w:rsidR="0015413A" w:rsidRPr="006537F1" w:rsidRDefault="0015413A" w:rsidP="006537F1">
      <w:pPr>
        <w:pStyle w:val="Arttitle"/>
        <w:rPr>
          <w:position w:val="6"/>
          <w:sz w:val="18"/>
        </w:rPr>
      </w:pPr>
      <w:bookmarkStart w:id="7" w:name="_Toc48141343"/>
      <w:r w:rsidRPr="006537F1">
        <w:t>Servicios espaciales</w:t>
      </w:r>
      <w:r w:rsidRPr="00E044AC">
        <w:rPr>
          <w:rStyle w:val="FootnoteReference"/>
          <w:b w:val="0"/>
        </w:rPr>
        <w:t>1</w:t>
      </w:r>
      <w:bookmarkEnd w:id="7"/>
    </w:p>
    <w:p w14:paraId="49F5D07F" w14:textId="77777777" w:rsidR="0015413A" w:rsidRPr="00C03CB4" w:rsidRDefault="0015413A" w:rsidP="00C03CB4">
      <w:pPr>
        <w:pStyle w:val="Section1"/>
        <w:rPr>
          <w:lang w:val="es-ES"/>
        </w:rPr>
      </w:pPr>
      <w:r w:rsidRPr="00C03CB4">
        <w:rPr>
          <w:lang w:val="es-ES"/>
        </w:rPr>
        <w:t>Sección II – Medidas contra las interferencias causadas</w:t>
      </w:r>
      <w:r w:rsidRPr="00C03CB4">
        <w:rPr>
          <w:lang w:val="es-ES"/>
        </w:rPr>
        <w:br/>
        <w:t>a los sistemas de satélites geoestacionarios</w:t>
      </w:r>
    </w:p>
    <w:p w14:paraId="764C68FB" w14:textId="77777777" w:rsidR="0015413A" w:rsidRPr="00ED48CF" w:rsidRDefault="0015413A" w:rsidP="00C03CB4">
      <w:pPr>
        <w:rPr>
          <w:lang w:val="es-ES"/>
        </w:rPr>
      </w:pPr>
      <w:r w:rsidRPr="00C03CB4">
        <w:rPr>
          <w:rStyle w:val="Artdef"/>
          <w:lang w:val="es-ES"/>
        </w:rPr>
        <w:t>22.5C</w:t>
      </w:r>
      <w:r w:rsidRPr="00C03CB4">
        <w:rPr>
          <w:lang w:val="es-ES"/>
        </w:rPr>
        <w:tab/>
        <w:t>§ 6</w:t>
      </w:r>
      <w:r w:rsidRPr="00C03CB4">
        <w:rPr>
          <w:lang w:val="es-ES"/>
        </w:rPr>
        <w:tab/>
        <w:t>1)</w:t>
      </w:r>
      <w:r w:rsidRPr="00C03CB4">
        <w:rPr>
          <w:lang w:val="es-ES"/>
        </w:rPr>
        <w:tab/>
        <w:t>En cualquier punto de la superficie de la Tierra visible desde la órbita de los satélites geoestacionarios, la densidad de flujo de potencia equivalente</w:t>
      </w:r>
      <w:r>
        <w:rPr>
          <w:rStyle w:val="FootnoteReference"/>
          <w:lang w:val="es-ES"/>
        </w:rPr>
        <w:t>2</w:t>
      </w:r>
      <w:r w:rsidRPr="00C03CB4">
        <w:rPr>
          <w:lang w:val="es-ES"/>
        </w:rPr>
        <w:t>, dfpe</w:t>
      </w:r>
      <w:r w:rsidRPr="00AD4922">
        <w:rPr>
          <w:sz w:val="20"/>
        </w:rPr>
        <w:sym w:font="Symbol" w:char="F0AF"/>
      </w:r>
      <w:r w:rsidRPr="00C03CB4">
        <w:rPr>
          <w:lang w:val="es-ES"/>
        </w:rPr>
        <w:t>, producida por las emisiones de todas las estaciones espaciales de un sistema de satélites no geoestacionarios del servicio fijo por satélite en las bandas de frecuencias indicadas en los Cuadros </w:t>
      </w:r>
      <w:r w:rsidRPr="00C03CB4">
        <w:rPr>
          <w:b/>
          <w:bCs/>
          <w:lang w:val="es-ES"/>
        </w:rPr>
        <w:t>22-1A</w:t>
      </w:r>
      <w:r w:rsidRPr="00C03CB4">
        <w:rPr>
          <w:lang w:val="es-ES"/>
        </w:rPr>
        <w:t xml:space="preserve"> a </w:t>
      </w:r>
      <w:r w:rsidRPr="00C03CB4">
        <w:rPr>
          <w:rStyle w:val="Artref"/>
          <w:b/>
          <w:bCs/>
          <w:lang w:val="es-ES"/>
        </w:rPr>
        <w:t>22-1E</w:t>
      </w:r>
      <w:r w:rsidRPr="00C03CB4">
        <w:rPr>
          <w:lang w:val="es-ES"/>
        </w:rPr>
        <w:t>, incluidas las emisiones desde un satélite reflector, para todas las condiciones y para todos los métodos de modulación, no deberá rebasar los límites estipulados en los Cuadros</w:t>
      </w:r>
      <w:r>
        <w:rPr>
          <w:lang w:val="es-ES"/>
        </w:rPr>
        <w:t> </w:t>
      </w:r>
      <w:r w:rsidRPr="00C03CB4">
        <w:rPr>
          <w:b/>
          <w:bCs/>
          <w:lang w:val="es-ES"/>
        </w:rPr>
        <w:t>22-1A</w:t>
      </w:r>
      <w:r w:rsidRPr="00C03CB4">
        <w:rPr>
          <w:b/>
          <w:lang w:val="es-ES"/>
        </w:rPr>
        <w:t xml:space="preserve"> </w:t>
      </w:r>
      <w:r w:rsidRPr="00C03CB4">
        <w:rPr>
          <w:lang w:val="es-ES"/>
        </w:rPr>
        <w:t>a</w:t>
      </w:r>
      <w:r w:rsidRPr="00C03CB4">
        <w:rPr>
          <w:b/>
          <w:lang w:val="es-ES"/>
        </w:rPr>
        <w:t xml:space="preserve"> </w:t>
      </w:r>
      <w:r w:rsidRPr="00C03CB4">
        <w:rPr>
          <w:b/>
          <w:bCs/>
          <w:lang w:val="es-ES"/>
        </w:rPr>
        <w:t>22-1E</w:t>
      </w:r>
      <w:r w:rsidRPr="00C03CB4">
        <w:rPr>
          <w:lang w:val="es-ES"/>
        </w:rPr>
        <w:t xml:space="preserve"> para los porcentajes de tiempo especificados. Esos límites se refieren a la densidad de flujo de potencia equivalente que se obtendría en condiciones de propagación en el espacio libre, en una antena de referencia y una anchura de banda de referencia especificada en los Cuadros</w:t>
      </w:r>
      <w:r w:rsidRPr="00C03CB4">
        <w:rPr>
          <w:b/>
          <w:lang w:val="es-ES"/>
        </w:rPr>
        <w:t> </w:t>
      </w:r>
      <w:r w:rsidRPr="00C03CB4">
        <w:rPr>
          <w:b/>
          <w:bCs/>
          <w:lang w:val="es-ES"/>
        </w:rPr>
        <w:t>22-1A</w:t>
      </w:r>
      <w:r w:rsidRPr="00C03CB4">
        <w:rPr>
          <w:b/>
          <w:lang w:val="es-ES"/>
        </w:rPr>
        <w:t xml:space="preserve"> </w:t>
      </w:r>
      <w:r w:rsidRPr="00C03CB4">
        <w:rPr>
          <w:lang w:val="es-ES"/>
        </w:rPr>
        <w:t xml:space="preserve">a </w:t>
      </w:r>
      <w:r w:rsidRPr="00C03CB4">
        <w:rPr>
          <w:b/>
          <w:bCs/>
          <w:lang w:val="es-ES"/>
        </w:rPr>
        <w:t>22</w:t>
      </w:r>
      <w:r w:rsidRPr="00C03CB4">
        <w:rPr>
          <w:b/>
          <w:bCs/>
          <w:lang w:val="es-ES"/>
        </w:rPr>
        <w:noBreakHyphen/>
        <w:t>1E</w:t>
      </w:r>
      <w:r w:rsidRPr="00C03CB4">
        <w:rPr>
          <w:lang w:val="es-ES"/>
        </w:rPr>
        <w:t>, para cualquier apuntamiento hacia la órbita de los satélites geoestacionarios.</w:t>
      </w:r>
      <w:r w:rsidRPr="00C03CB4">
        <w:rPr>
          <w:sz w:val="16"/>
          <w:lang w:val="es-ES"/>
        </w:rPr>
        <w:t>     </w:t>
      </w:r>
      <w:r w:rsidRPr="00ED48CF">
        <w:rPr>
          <w:sz w:val="16"/>
          <w:lang w:val="es-ES"/>
        </w:rPr>
        <w:t>(CMR</w:t>
      </w:r>
      <w:r w:rsidRPr="00ED48CF">
        <w:rPr>
          <w:sz w:val="16"/>
          <w:lang w:val="es-ES"/>
        </w:rPr>
        <w:noBreakHyphen/>
        <w:t>03)</w:t>
      </w:r>
    </w:p>
    <w:p w14:paraId="0E782274" w14:textId="2A34CBBC" w:rsidR="002E7EA8" w:rsidRPr="002E7EA8" w:rsidRDefault="00EF0DF6" w:rsidP="002E7EA8">
      <w:pPr>
        <w:pStyle w:val="Reasons"/>
        <w:rPr>
          <w:lang w:val="es-ES"/>
        </w:rPr>
      </w:pPr>
      <w:r w:rsidRPr="00EF0DF6">
        <w:rPr>
          <w:b/>
          <w:lang w:val="es-ES"/>
        </w:rPr>
        <w:t>Motivos</w:t>
      </w:r>
      <w:r w:rsidR="002E7EA8" w:rsidRPr="002E7EA8">
        <w:rPr>
          <w:b/>
          <w:lang w:val="es-ES"/>
        </w:rPr>
        <w:t>:</w:t>
      </w:r>
      <w:r w:rsidR="00D633C9">
        <w:rPr>
          <w:b/>
          <w:lang w:val="es-ES"/>
        </w:rPr>
        <w:tab/>
      </w:r>
      <w:r w:rsidR="000449C9" w:rsidRPr="00EF0DF6">
        <w:rPr>
          <w:lang w:val="es-ES"/>
        </w:rPr>
        <w:t>Los sistemas de satélites no geoestacionarios (no OSG) en las bandas Ku y Ka son fundamental</w:t>
      </w:r>
      <w:r w:rsidRPr="00EF0DF6">
        <w:rPr>
          <w:lang w:val="es-ES"/>
        </w:rPr>
        <w:t>e</w:t>
      </w:r>
      <w:r w:rsidR="000449C9" w:rsidRPr="00EF0DF6">
        <w:rPr>
          <w:lang w:val="es-ES"/>
        </w:rPr>
        <w:t xml:space="preserve">s para </w:t>
      </w:r>
      <w:r w:rsidRPr="00EF0DF6">
        <w:rPr>
          <w:lang w:val="es-ES"/>
        </w:rPr>
        <w:t>proporcionar conectividad</w:t>
      </w:r>
      <w:r w:rsidR="002A1296">
        <w:rPr>
          <w:lang w:val="es-ES"/>
        </w:rPr>
        <w:t xml:space="preserve"> a</w:t>
      </w:r>
      <w:r w:rsidRPr="00EF0DF6">
        <w:rPr>
          <w:lang w:val="es-ES"/>
        </w:rPr>
        <w:t xml:space="preserve"> Internet </w:t>
      </w:r>
      <w:r w:rsidR="002E501F">
        <w:rPr>
          <w:lang w:val="es-ES"/>
        </w:rPr>
        <w:t>en</w:t>
      </w:r>
      <w:r w:rsidR="002E7EA8" w:rsidRPr="002E7EA8">
        <w:rPr>
          <w:lang w:val="es-ES"/>
        </w:rPr>
        <w:t xml:space="preserve"> </w:t>
      </w:r>
      <w:r w:rsidR="002E501F">
        <w:rPr>
          <w:lang w:val="es-ES"/>
        </w:rPr>
        <w:t>regiones</w:t>
      </w:r>
      <w:r>
        <w:rPr>
          <w:lang w:val="es-ES"/>
        </w:rPr>
        <w:t xml:space="preserve"> anteriormente inaccesibles o </w:t>
      </w:r>
      <w:r w:rsidR="002A1296">
        <w:rPr>
          <w:lang w:val="es-ES"/>
        </w:rPr>
        <w:t xml:space="preserve">con un costo de servicio elevado. </w:t>
      </w:r>
      <w:r w:rsidR="002A1296" w:rsidRPr="002A1296">
        <w:rPr>
          <w:lang w:val="es-ES"/>
        </w:rPr>
        <w:t xml:space="preserve">Estos </w:t>
      </w:r>
      <w:r w:rsidR="009E4852" w:rsidRPr="002A1296">
        <w:rPr>
          <w:lang w:val="es-ES"/>
        </w:rPr>
        <w:t>s</w:t>
      </w:r>
      <w:r w:rsidR="009E4852">
        <w:rPr>
          <w:lang w:val="es-ES"/>
        </w:rPr>
        <w:t>atélites</w:t>
      </w:r>
      <w:r w:rsidR="002E7EA8" w:rsidRPr="002E7EA8">
        <w:rPr>
          <w:lang w:val="es-ES"/>
        </w:rPr>
        <w:t xml:space="preserve"> </w:t>
      </w:r>
      <w:r w:rsidR="002A1296">
        <w:rPr>
          <w:lang w:val="es-ES"/>
        </w:rPr>
        <w:t xml:space="preserve">proporcionan una </w:t>
      </w:r>
      <w:r w:rsidR="002A1296" w:rsidRPr="002A1296">
        <w:rPr>
          <w:lang w:val="es-ES"/>
        </w:rPr>
        <w:t>banda ancha de alta velocidad y baja latencia en todo el mundo</w:t>
      </w:r>
      <w:r w:rsidR="002E7EA8" w:rsidRPr="002E7EA8">
        <w:rPr>
          <w:lang w:val="es-ES"/>
        </w:rPr>
        <w:t xml:space="preserve">. </w:t>
      </w:r>
      <w:r w:rsidR="006F5865" w:rsidRPr="006F5865">
        <w:rPr>
          <w:lang w:val="es-ES"/>
        </w:rPr>
        <w:t>Los sistemas no OSG</w:t>
      </w:r>
      <w:r w:rsidR="002E7EA8" w:rsidRPr="002E7EA8">
        <w:rPr>
          <w:lang w:val="es-ES"/>
        </w:rPr>
        <w:t xml:space="preserve"> </w:t>
      </w:r>
      <w:r w:rsidR="006F5865" w:rsidRPr="006F5865">
        <w:rPr>
          <w:lang w:val="es-ES"/>
        </w:rPr>
        <w:t xml:space="preserve">dependen del espectro compartido, un principio fundamental de la UIT. Sin embargo, </w:t>
      </w:r>
      <w:r w:rsidR="006F5865">
        <w:rPr>
          <w:lang w:val="es-ES"/>
        </w:rPr>
        <w:t xml:space="preserve">las </w:t>
      </w:r>
      <w:r w:rsidR="006F5865" w:rsidRPr="006F5865">
        <w:rPr>
          <w:lang w:val="es-ES"/>
        </w:rPr>
        <w:t xml:space="preserve">normas </w:t>
      </w:r>
      <w:r w:rsidR="00290A78">
        <w:rPr>
          <w:lang w:val="es-ES"/>
        </w:rPr>
        <w:t xml:space="preserve">vigentes </w:t>
      </w:r>
      <w:r w:rsidR="006F5865" w:rsidRPr="006F5865">
        <w:rPr>
          <w:lang w:val="es-ES"/>
        </w:rPr>
        <w:t xml:space="preserve">de compartición del espectro establecidas en el Artículo </w:t>
      </w:r>
      <w:r w:rsidR="006F5865" w:rsidRPr="00290A78">
        <w:rPr>
          <w:b/>
          <w:bCs/>
          <w:lang w:val="es-ES"/>
        </w:rPr>
        <w:t>22</w:t>
      </w:r>
      <w:r w:rsidR="006F5865" w:rsidRPr="006F5865">
        <w:rPr>
          <w:lang w:val="es-ES"/>
        </w:rPr>
        <w:t xml:space="preserve"> del Reglamento de Radiocomunicaciones </w:t>
      </w:r>
      <w:r w:rsidR="001C49EB">
        <w:rPr>
          <w:lang w:val="es-ES"/>
        </w:rPr>
        <w:t>presentan deficiencias para alg</w:t>
      </w:r>
      <w:r w:rsidR="00290A78">
        <w:rPr>
          <w:lang w:val="es-ES"/>
        </w:rPr>
        <w:t>uno</w:t>
      </w:r>
      <w:r w:rsidR="001C49EB">
        <w:rPr>
          <w:lang w:val="es-ES"/>
        </w:rPr>
        <w:t xml:space="preserve">s sistemas OSG y no </w:t>
      </w:r>
      <w:r w:rsidR="00290A78">
        <w:rPr>
          <w:lang w:val="es-ES"/>
        </w:rPr>
        <w:t>OSG.</w:t>
      </w:r>
    </w:p>
    <w:p w14:paraId="31CE662D" w14:textId="4709FBC1" w:rsidR="002E7EA8" w:rsidRPr="002E7EA8" w:rsidRDefault="002E7EA8" w:rsidP="00986279">
      <w:pPr>
        <w:rPr>
          <w:lang w:val="es-ES"/>
        </w:rPr>
      </w:pPr>
      <w:r w:rsidRPr="002E7EA8">
        <w:rPr>
          <w:lang w:val="es-ES"/>
        </w:rPr>
        <w:t xml:space="preserve">Madagascar </w:t>
      </w:r>
      <w:r w:rsidR="003B0D8F" w:rsidRPr="003B0D8F">
        <w:rPr>
          <w:lang w:val="es-ES"/>
        </w:rPr>
        <w:t xml:space="preserve">propone examinar estas cuestiones y recomienda posibles nuevos reglamentos </w:t>
      </w:r>
      <w:r w:rsidR="003B0D8F">
        <w:rPr>
          <w:lang w:val="es-ES"/>
        </w:rPr>
        <w:t>para la CMR</w:t>
      </w:r>
      <w:r w:rsidRPr="002E7EA8">
        <w:rPr>
          <w:lang w:val="es-ES"/>
        </w:rPr>
        <w:t>-27.</w:t>
      </w:r>
    </w:p>
    <w:p w14:paraId="5632A25D" w14:textId="29E0F253" w:rsidR="002E7EA8" w:rsidRDefault="002E7EA8" w:rsidP="00986279">
      <w:pPr>
        <w:rPr>
          <w:lang w:val="es-ES"/>
        </w:rPr>
      </w:pPr>
      <w:r w:rsidRPr="002E7EA8">
        <w:rPr>
          <w:b/>
          <w:lang w:val="es-ES"/>
        </w:rPr>
        <w:t>22.5C</w:t>
      </w:r>
      <w:r w:rsidRPr="002E7EA8">
        <w:rPr>
          <w:b/>
          <w:lang w:val="es-ES"/>
        </w:rPr>
        <w:tab/>
      </w:r>
      <w:r w:rsidR="003B0D8F" w:rsidRPr="003B0D8F">
        <w:rPr>
          <w:lang w:val="es-ES"/>
        </w:rPr>
        <w:t>Se</w:t>
      </w:r>
      <w:r w:rsidR="003B0D8F" w:rsidRPr="00554131">
        <w:rPr>
          <w:lang w:val="es-ES"/>
        </w:rPr>
        <w:t xml:space="preserve"> </w:t>
      </w:r>
      <w:r w:rsidR="003B0D8F" w:rsidRPr="003B0D8F">
        <w:rPr>
          <w:lang w:val="es-ES"/>
        </w:rPr>
        <w:t xml:space="preserve">recomienda que la UIT respalde </w:t>
      </w:r>
      <w:r w:rsidR="00ED48CF">
        <w:rPr>
          <w:lang w:val="es-ES"/>
        </w:rPr>
        <w:t xml:space="preserve">la inclusión de </w:t>
      </w:r>
      <w:r w:rsidR="003B0D8F" w:rsidRPr="003B0D8F">
        <w:rPr>
          <w:lang w:val="es-ES"/>
        </w:rPr>
        <w:t>u</w:t>
      </w:r>
      <w:r w:rsidR="003B0D8F">
        <w:rPr>
          <w:lang w:val="es-ES"/>
        </w:rPr>
        <w:t xml:space="preserve">n punto </w:t>
      </w:r>
      <w:r w:rsidR="00ED48CF">
        <w:rPr>
          <w:lang w:val="es-ES"/>
        </w:rPr>
        <w:t>en</w:t>
      </w:r>
      <w:r w:rsidR="003B0D8F" w:rsidRPr="003B0D8F">
        <w:rPr>
          <w:lang w:val="es-ES"/>
        </w:rPr>
        <w:t xml:space="preserve"> el futuro orden del día de la CMR-27 </w:t>
      </w:r>
      <w:r w:rsidR="003B0D8F">
        <w:rPr>
          <w:lang w:val="es-ES"/>
        </w:rPr>
        <w:t xml:space="preserve">sobre la revisión de los </w:t>
      </w:r>
      <w:r w:rsidR="003B0D8F" w:rsidRPr="003B0D8F">
        <w:rPr>
          <w:lang w:val="es-ES"/>
        </w:rPr>
        <w:t>límites de dfpe</w:t>
      </w:r>
      <w:r w:rsidR="003B0D8F">
        <w:rPr>
          <w:lang w:val="es-ES"/>
        </w:rPr>
        <w:t xml:space="preserve"> en las bandas Ku y Ka establecidos en el Artículo </w:t>
      </w:r>
      <w:r w:rsidRPr="002E7EA8">
        <w:rPr>
          <w:b/>
          <w:lang w:val="es-ES"/>
        </w:rPr>
        <w:t>22</w:t>
      </w:r>
      <w:r w:rsidRPr="002E7EA8">
        <w:rPr>
          <w:lang w:val="es-ES"/>
        </w:rPr>
        <w:t>.</w:t>
      </w:r>
    </w:p>
    <w:p w14:paraId="35BD3604" w14:textId="77777777" w:rsidR="00D633C9" w:rsidRPr="002E7EA8" w:rsidRDefault="00D633C9" w:rsidP="00D633C9">
      <w:pPr>
        <w:rPr>
          <w:lang w:val="es-ES"/>
        </w:rPr>
      </w:pPr>
    </w:p>
    <w:p w14:paraId="287F7E89" w14:textId="77777777" w:rsidR="00554131" w:rsidRDefault="00554131">
      <w:pPr>
        <w:jc w:val="center"/>
      </w:pPr>
      <w:r>
        <w:t>______________</w:t>
      </w:r>
    </w:p>
    <w:p w14:paraId="77775621" w14:textId="77777777" w:rsidR="00554131" w:rsidRPr="003B0D8F" w:rsidRDefault="00554131" w:rsidP="00554131">
      <w:pPr>
        <w:rPr>
          <w:lang w:val="es-ES"/>
        </w:rPr>
      </w:pPr>
    </w:p>
    <w:sectPr w:rsidR="00554131" w:rsidRPr="003B0D8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164B8" w14:textId="77777777" w:rsidR="008C6A4B" w:rsidRDefault="008C6A4B">
      <w:r>
        <w:separator/>
      </w:r>
    </w:p>
  </w:endnote>
  <w:endnote w:type="continuationSeparator" w:id="0">
    <w:p w14:paraId="78F5C0F4" w14:textId="77777777" w:rsidR="008C6A4B" w:rsidRDefault="008C6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6972A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51C4AE" w14:textId="3889490D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37874">
      <w:rPr>
        <w:noProof/>
        <w:lang w:val="en-US"/>
      </w:rPr>
      <w:t>C:\Users\soler\Desktop\529851\082S_Montaje_IS.docx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86279">
      <w:rPr>
        <w:noProof/>
      </w:rPr>
      <w:t>02.11.23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37874">
      <w:rPr>
        <w:noProof/>
      </w:rPr>
      <w:t>01.11.23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21DB5" w14:textId="61BD73C4" w:rsidR="0077084A" w:rsidRPr="00554131" w:rsidRDefault="00986279" w:rsidP="00554131">
    <w:pPr>
      <w:pStyle w:val="Footer"/>
      <w:rPr>
        <w:lang w:val="en-GB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554131">
      <w:t>P:\ESP\ITU-R\CONF-R\CMR23\000\082S.docx</w:t>
    </w:r>
    <w:r>
      <w:fldChar w:fldCharType="end"/>
    </w:r>
    <w:r w:rsidR="00554131">
      <w:t xml:space="preserve"> (529851)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DCCD2" w14:textId="312ECE58" w:rsidR="0077084A" w:rsidRPr="0015413A" w:rsidRDefault="00D633C9" w:rsidP="00554131">
    <w:pPr>
      <w:pStyle w:val="Footer"/>
      <w:rPr>
        <w:lang w:val="en-GB"/>
      </w:rPr>
    </w:pPr>
    <w:fldSimple w:instr=" FILENAME \p  \* MERGEFORMAT ">
      <w:r w:rsidR="00554131">
        <w:t>P:\ESP\ITU-R\CONF-R\CMR23\000\082S.docx</w:t>
      </w:r>
    </w:fldSimple>
    <w:r w:rsidR="00554131">
      <w:t xml:space="preserve"> (529851)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E8E67" w14:textId="77777777" w:rsidR="008C6A4B" w:rsidRDefault="008C6A4B">
      <w:r>
        <w:rPr>
          <w:b/>
        </w:rPr>
        <w:t>_______________</w:t>
      </w:r>
    </w:p>
  </w:footnote>
  <w:footnote w:type="continuationSeparator" w:id="0">
    <w:p w14:paraId="02DC9FA7" w14:textId="77777777" w:rsidR="008C6A4B" w:rsidRDefault="008C6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87702" w14:textId="77777777" w:rsidR="00554131" w:rsidRDefault="005541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4DB45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2C3C884F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82-</w:t>
    </w:r>
    <w:r w:rsidR="003248A9" w:rsidRPr="003248A9"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EB7E" w14:textId="77777777" w:rsidR="00554131" w:rsidRDefault="005541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2096660067">
    <w:abstractNumId w:val="8"/>
  </w:num>
  <w:num w:numId="2" w16cid:durableId="112558467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340739603">
    <w:abstractNumId w:val="9"/>
  </w:num>
  <w:num w:numId="4" w16cid:durableId="1203403133">
    <w:abstractNumId w:val="7"/>
  </w:num>
  <w:num w:numId="5" w16cid:durableId="1201044212">
    <w:abstractNumId w:val="6"/>
  </w:num>
  <w:num w:numId="6" w16cid:durableId="290745516">
    <w:abstractNumId w:val="5"/>
  </w:num>
  <w:num w:numId="7" w16cid:durableId="1109933878">
    <w:abstractNumId w:val="4"/>
  </w:num>
  <w:num w:numId="8" w16cid:durableId="887495737">
    <w:abstractNumId w:val="3"/>
  </w:num>
  <w:num w:numId="9" w16cid:durableId="1623340491">
    <w:abstractNumId w:val="2"/>
  </w:num>
  <w:num w:numId="10" w16cid:durableId="833301361">
    <w:abstractNumId w:val="1"/>
  </w:num>
  <w:num w:numId="11" w16cid:durableId="1987510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449C9"/>
    <w:rsid w:val="00087AE8"/>
    <w:rsid w:val="00091054"/>
    <w:rsid w:val="000A2A7D"/>
    <w:rsid w:val="000A5B9A"/>
    <w:rsid w:val="000E5BF9"/>
    <w:rsid w:val="000F0E6D"/>
    <w:rsid w:val="00121170"/>
    <w:rsid w:val="00123CC5"/>
    <w:rsid w:val="0015142D"/>
    <w:rsid w:val="0015413A"/>
    <w:rsid w:val="001616DC"/>
    <w:rsid w:val="00163962"/>
    <w:rsid w:val="00191A97"/>
    <w:rsid w:val="0019729C"/>
    <w:rsid w:val="001A083F"/>
    <w:rsid w:val="001C41FA"/>
    <w:rsid w:val="001C49EB"/>
    <w:rsid w:val="001E2B52"/>
    <w:rsid w:val="001E3F27"/>
    <w:rsid w:val="001E7D42"/>
    <w:rsid w:val="0023659C"/>
    <w:rsid w:val="00236D2A"/>
    <w:rsid w:val="0024569E"/>
    <w:rsid w:val="00255F12"/>
    <w:rsid w:val="00262C09"/>
    <w:rsid w:val="00290A78"/>
    <w:rsid w:val="002A1296"/>
    <w:rsid w:val="002A791F"/>
    <w:rsid w:val="002C1A52"/>
    <w:rsid w:val="002C1B26"/>
    <w:rsid w:val="002C5D6C"/>
    <w:rsid w:val="002E501F"/>
    <w:rsid w:val="002E701F"/>
    <w:rsid w:val="002E7EA8"/>
    <w:rsid w:val="003248A9"/>
    <w:rsid w:val="00324FFA"/>
    <w:rsid w:val="0032680B"/>
    <w:rsid w:val="00363A65"/>
    <w:rsid w:val="003B0D8F"/>
    <w:rsid w:val="003B1E8C"/>
    <w:rsid w:val="003C0613"/>
    <w:rsid w:val="003C2508"/>
    <w:rsid w:val="003D0AA3"/>
    <w:rsid w:val="003E2086"/>
    <w:rsid w:val="003F7F66"/>
    <w:rsid w:val="00417391"/>
    <w:rsid w:val="00440B3A"/>
    <w:rsid w:val="0044375A"/>
    <w:rsid w:val="0045384C"/>
    <w:rsid w:val="00454553"/>
    <w:rsid w:val="00472A86"/>
    <w:rsid w:val="004B124A"/>
    <w:rsid w:val="004B3095"/>
    <w:rsid w:val="004D2749"/>
    <w:rsid w:val="004D2C7C"/>
    <w:rsid w:val="005133B5"/>
    <w:rsid w:val="00524392"/>
    <w:rsid w:val="00532097"/>
    <w:rsid w:val="00554131"/>
    <w:rsid w:val="0058350F"/>
    <w:rsid w:val="00583C7E"/>
    <w:rsid w:val="0059098E"/>
    <w:rsid w:val="005C3FEB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66B37"/>
    <w:rsid w:val="0067344B"/>
    <w:rsid w:val="00684A94"/>
    <w:rsid w:val="00692AAE"/>
    <w:rsid w:val="006C0E38"/>
    <w:rsid w:val="006D6E67"/>
    <w:rsid w:val="006E1A13"/>
    <w:rsid w:val="006F5865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0079E"/>
    <w:rsid w:val="008504C2"/>
    <w:rsid w:val="00866AE6"/>
    <w:rsid w:val="008750A8"/>
    <w:rsid w:val="008C6A4B"/>
    <w:rsid w:val="008D3316"/>
    <w:rsid w:val="008E5AF2"/>
    <w:rsid w:val="0090121B"/>
    <w:rsid w:val="009144C9"/>
    <w:rsid w:val="0094091F"/>
    <w:rsid w:val="00962171"/>
    <w:rsid w:val="00973754"/>
    <w:rsid w:val="00986279"/>
    <w:rsid w:val="009C0BED"/>
    <w:rsid w:val="009E11EC"/>
    <w:rsid w:val="009E4852"/>
    <w:rsid w:val="00A021CC"/>
    <w:rsid w:val="00A118DB"/>
    <w:rsid w:val="00A4450C"/>
    <w:rsid w:val="00AA5E6C"/>
    <w:rsid w:val="00AC49B1"/>
    <w:rsid w:val="00AE5677"/>
    <w:rsid w:val="00AE658F"/>
    <w:rsid w:val="00AF2F78"/>
    <w:rsid w:val="00B046AA"/>
    <w:rsid w:val="00B113DE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A4945"/>
    <w:rsid w:val="00CC01E0"/>
    <w:rsid w:val="00CD5FEE"/>
    <w:rsid w:val="00CE60D2"/>
    <w:rsid w:val="00CE7431"/>
    <w:rsid w:val="00D00CA8"/>
    <w:rsid w:val="00D0288A"/>
    <w:rsid w:val="00D37874"/>
    <w:rsid w:val="00D633C9"/>
    <w:rsid w:val="00D72A5D"/>
    <w:rsid w:val="00DA71A3"/>
    <w:rsid w:val="00DC1922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ED48CF"/>
    <w:rsid w:val="00EF0DF6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84711B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paragraph" w:customStyle="1" w:styleId="VolumeTitle0">
    <w:name w:val="VolumeTitle"/>
    <w:basedOn w:val="Normal"/>
    <w:next w:val="Normal"/>
    <w:rsid w:val="002A208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9B463A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R23-WRC23-C-0082!!MSW-S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Props1.xml><?xml version="1.0" encoding="utf-8"?>
<ds:datastoreItem xmlns:ds="http://schemas.openxmlformats.org/officeDocument/2006/customXml" ds:itemID="{4E98DFF0-3A93-48B6-B370-954A81FE72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A77A30-2D7A-4526-895C-6AFAB191FA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BF680C-095E-4EEC-A44D-2857FA9005B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7C1F99B-C997-4A22-821D-4D1F7291921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D953E1D-3302-43E7-A771-A8569E4EDB35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R23-WRC23-C-0082!!MSW-S</vt:lpstr>
    </vt:vector>
  </TitlesOfParts>
  <Manager>Secretaría General - Pool</Manager>
  <Company>Unión Internacional de Telecomunicaciones (UIT)</Company>
  <LinksUpToDate>false</LinksUpToDate>
  <CharactersWithSpaces>2634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R23-WRC23-C-0082!!MSW-S</dc:title>
  <dc:subject>Conferencia Mundial de Radiocomunicaciones - 2019</dc:subject>
  <dc:creator>Documents Proposals Manager (DPM)</dc:creator>
  <cp:keywords>DPM_v2023.8.1.1_prod</cp:keywords>
  <dc:description/>
  <cp:lastModifiedBy>Catalano Moreira, Rossana</cp:lastModifiedBy>
  <cp:revision>5</cp:revision>
  <cp:lastPrinted>2023-11-01T14:22:00Z</cp:lastPrinted>
  <dcterms:created xsi:type="dcterms:W3CDTF">2023-11-02T12:48:00Z</dcterms:created>
  <dcterms:modified xsi:type="dcterms:W3CDTF">2023-11-02T13:17:00Z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