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C1193" w14:paraId="1C9E66A8" w14:textId="77777777" w:rsidTr="00C1305F">
        <w:trPr>
          <w:cantSplit/>
        </w:trPr>
        <w:tc>
          <w:tcPr>
            <w:tcW w:w="1418" w:type="dxa"/>
            <w:vAlign w:val="center"/>
          </w:tcPr>
          <w:p w14:paraId="0F79A94C" w14:textId="77777777" w:rsidR="00C1305F" w:rsidRPr="007C1193" w:rsidRDefault="00C1305F" w:rsidP="00C1305F">
            <w:pPr>
              <w:spacing w:before="0" w:line="240" w:lineRule="atLeast"/>
              <w:rPr>
                <w:rFonts w:ascii="Verdana" w:hAnsi="Verdana"/>
                <w:b/>
                <w:bCs/>
                <w:sz w:val="20"/>
              </w:rPr>
            </w:pPr>
            <w:r w:rsidRPr="007C1193">
              <w:drawing>
                <wp:inline distT="0" distB="0" distL="0" distR="0" wp14:anchorId="6E36825C" wp14:editId="3C33EF9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9608813" w14:textId="64C1A684" w:rsidR="00C1305F" w:rsidRPr="007C1193" w:rsidRDefault="00C1305F" w:rsidP="00F10064">
            <w:pPr>
              <w:spacing w:before="400" w:after="48" w:line="240" w:lineRule="atLeast"/>
              <w:rPr>
                <w:rFonts w:ascii="Verdana" w:hAnsi="Verdana"/>
                <w:b/>
                <w:bCs/>
                <w:sz w:val="20"/>
              </w:rPr>
            </w:pPr>
            <w:r w:rsidRPr="007C1193">
              <w:rPr>
                <w:rFonts w:ascii="Verdana" w:hAnsi="Verdana"/>
                <w:b/>
                <w:bCs/>
                <w:sz w:val="20"/>
              </w:rPr>
              <w:t>Conférence mondiale des radiocommunications (CMR-23)</w:t>
            </w:r>
            <w:r w:rsidRPr="007C1193">
              <w:rPr>
                <w:rFonts w:ascii="Verdana" w:hAnsi="Verdana"/>
                <w:b/>
                <w:bCs/>
                <w:sz w:val="20"/>
              </w:rPr>
              <w:br/>
            </w:r>
            <w:r w:rsidRPr="007C1193">
              <w:rPr>
                <w:rFonts w:ascii="Verdana" w:hAnsi="Verdana"/>
                <w:b/>
                <w:bCs/>
                <w:sz w:val="18"/>
                <w:szCs w:val="18"/>
              </w:rPr>
              <w:t xml:space="preserve">Dubaï, 20 novembre </w:t>
            </w:r>
            <w:r w:rsidR="006B5D82" w:rsidRPr="007C1193">
              <w:rPr>
                <w:rFonts w:ascii="Verdana" w:hAnsi="Verdana"/>
                <w:b/>
                <w:bCs/>
                <w:sz w:val="18"/>
                <w:szCs w:val="18"/>
              </w:rPr>
              <w:t>–</w:t>
            </w:r>
            <w:r w:rsidRPr="007C1193">
              <w:rPr>
                <w:rFonts w:ascii="Verdana" w:hAnsi="Verdana"/>
                <w:b/>
                <w:bCs/>
                <w:sz w:val="18"/>
                <w:szCs w:val="18"/>
              </w:rPr>
              <w:t xml:space="preserve"> 15 décembre 2023</w:t>
            </w:r>
          </w:p>
        </w:tc>
        <w:tc>
          <w:tcPr>
            <w:tcW w:w="1809" w:type="dxa"/>
            <w:vAlign w:val="center"/>
          </w:tcPr>
          <w:p w14:paraId="175114FA" w14:textId="77777777" w:rsidR="00C1305F" w:rsidRPr="007C1193" w:rsidRDefault="00C1305F" w:rsidP="00C1305F">
            <w:pPr>
              <w:spacing w:before="0" w:line="240" w:lineRule="atLeast"/>
            </w:pPr>
            <w:bookmarkStart w:id="0" w:name="ditulogo"/>
            <w:bookmarkEnd w:id="0"/>
            <w:r w:rsidRPr="007C1193">
              <w:drawing>
                <wp:inline distT="0" distB="0" distL="0" distR="0" wp14:anchorId="2F7C6554" wp14:editId="524814B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C1193" w14:paraId="53ACCE67" w14:textId="77777777" w:rsidTr="0050008E">
        <w:trPr>
          <w:cantSplit/>
        </w:trPr>
        <w:tc>
          <w:tcPr>
            <w:tcW w:w="6911" w:type="dxa"/>
            <w:gridSpan w:val="2"/>
            <w:tcBorders>
              <w:bottom w:val="single" w:sz="12" w:space="0" w:color="auto"/>
            </w:tcBorders>
          </w:tcPr>
          <w:p w14:paraId="03D4F87A" w14:textId="77777777" w:rsidR="00BB1D82" w:rsidRPr="007C1193"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1C4D11B3" w14:textId="77777777" w:rsidR="00BB1D82" w:rsidRPr="007C1193" w:rsidRDefault="00BB1D82" w:rsidP="00BB1D82">
            <w:pPr>
              <w:spacing w:before="0" w:line="240" w:lineRule="atLeast"/>
              <w:rPr>
                <w:rFonts w:ascii="Verdana" w:hAnsi="Verdana"/>
                <w:szCs w:val="24"/>
              </w:rPr>
            </w:pPr>
          </w:p>
        </w:tc>
      </w:tr>
      <w:tr w:rsidR="00BB1D82" w:rsidRPr="007C1193" w14:paraId="0420FDEB" w14:textId="77777777" w:rsidTr="00BB1D82">
        <w:trPr>
          <w:cantSplit/>
        </w:trPr>
        <w:tc>
          <w:tcPr>
            <w:tcW w:w="6911" w:type="dxa"/>
            <w:gridSpan w:val="2"/>
            <w:tcBorders>
              <w:top w:val="single" w:sz="12" w:space="0" w:color="auto"/>
            </w:tcBorders>
          </w:tcPr>
          <w:p w14:paraId="27771F1C" w14:textId="77777777" w:rsidR="00BB1D82" w:rsidRPr="007C1193"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FF138E9" w14:textId="77777777" w:rsidR="00BB1D82" w:rsidRPr="007C1193" w:rsidRDefault="00BB1D82" w:rsidP="00BB1D82">
            <w:pPr>
              <w:spacing w:before="0" w:line="240" w:lineRule="atLeast"/>
              <w:rPr>
                <w:rFonts w:ascii="Verdana" w:hAnsi="Verdana"/>
                <w:sz w:val="20"/>
              </w:rPr>
            </w:pPr>
          </w:p>
        </w:tc>
      </w:tr>
      <w:tr w:rsidR="00BB1D82" w:rsidRPr="007C1193" w14:paraId="51A7D74B" w14:textId="77777777" w:rsidTr="00BB1D82">
        <w:trPr>
          <w:cantSplit/>
        </w:trPr>
        <w:tc>
          <w:tcPr>
            <w:tcW w:w="6911" w:type="dxa"/>
            <w:gridSpan w:val="2"/>
          </w:tcPr>
          <w:p w14:paraId="00B9C77D" w14:textId="77777777" w:rsidR="00BB1D82" w:rsidRPr="007C1193" w:rsidRDefault="006D4724" w:rsidP="00BA5BD0">
            <w:pPr>
              <w:spacing w:before="0"/>
              <w:rPr>
                <w:rFonts w:ascii="Verdana" w:hAnsi="Verdana"/>
                <w:b/>
                <w:sz w:val="20"/>
              </w:rPr>
            </w:pPr>
            <w:r w:rsidRPr="007C1193">
              <w:rPr>
                <w:rFonts w:ascii="Verdana" w:hAnsi="Verdana"/>
                <w:b/>
                <w:sz w:val="20"/>
              </w:rPr>
              <w:t>SÉANCE PLÉNIÈRE</w:t>
            </w:r>
          </w:p>
        </w:tc>
        <w:tc>
          <w:tcPr>
            <w:tcW w:w="3120" w:type="dxa"/>
            <w:gridSpan w:val="2"/>
          </w:tcPr>
          <w:p w14:paraId="7226B2D7" w14:textId="77777777" w:rsidR="00BB1D82" w:rsidRPr="007C1193" w:rsidRDefault="006D4724" w:rsidP="00BA5BD0">
            <w:pPr>
              <w:spacing w:before="0"/>
              <w:rPr>
                <w:rFonts w:ascii="Verdana" w:hAnsi="Verdana"/>
                <w:sz w:val="20"/>
              </w:rPr>
            </w:pPr>
            <w:r w:rsidRPr="007C1193">
              <w:rPr>
                <w:rFonts w:ascii="Verdana" w:hAnsi="Verdana"/>
                <w:b/>
                <w:sz w:val="20"/>
              </w:rPr>
              <w:t>Document 82</w:t>
            </w:r>
            <w:r w:rsidR="00BB1D82" w:rsidRPr="007C1193">
              <w:rPr>
                <w:rFonts w:ascii="Verdana" w:hAnsi="Verdana"/>
                <w:b/>
                <w:sz w:val="20"/>
              </w:rPr>
              <w:t>-</w:t>
            </w:r>
            <w:r w:rsidRPr="007C1193">
              <w:rPr>
                <w:rFonts w:ascii="Verdana" w:hAnsi="Verdana"/>
                <w:b/>
                <w:sz w:val="20"/>
              </w:rPr>
              <w:t>F</w:t>
            </w:r>
          </w:p>
        </w:tc>
      </w:tr>
      <w:bookmarkEnd w:id="1"/>
      <w:tr w:rsidR="00690C7B" w:rsidRPr="007C1193" w14:paraId="43E90480" w14:textId="77777777" w:rsidTr="00BB1D82">
        <w:trPr>
          <w:cantSplit/>
        </w:trPr>
        <w:tc>
          <w:tcPr>
            <w:tcW w:w="6911" w:type="dxa"/>
            <w:gridSpan w:val="2"/>
          </w:tcPr>
          <w:p w14:paraId="2EFB40EC" w14:textId="77777777" w:rsidR="00690C7B" w:rsidRPr="007C1193" w:rsidRDefault="00690C7B" w:rsidP="00BA5BD0">
            <w:pPr>
              <w:spacing w:before="0"/>
              <w:rPr>
                <w:rFonts w:ascii="Verdana" w:hAnsi="Verdana"/>
                <w:b/>
                <w:sz w:val="20"/>
              </w:rPr>
            </w:pPr>
          </w:p>
        </w:tc>
        <w:tc>
          <w:tcPr>
            <w:tcW w:w="3120" w:type="dxa"/>
            <w:gridSpan w:val="2"/>
          </w:tcPr>
          <w:p w14:paraId="77F66E0E" w14:textId="77777777" w:rsidR="00690C7B" w:rsidRPr="007C1193" w:rsidRDefault="00690C7B" w:rsidP="00BA5BD0">
            <w:pPr>
              <w:spacing w:before="0"/>
              <w:rPr>
                <w:rFonts w:ascii="Verdana" w:hAnsi="Verdana"/>
                <w:b/>
                <w:sz w:val="20"/>
              </w:rPr>
            </w:pPr>
            <w:r w:rsidRPr="007C1193">
              <w:rPr>
                <w:rFonts w:ascii="Verdana" w:hAnsi="Verdana"/>
                <w:b/>
                <w:sz w:val="20"/>
              </w:rPr>
              <w:t>20 octobre 2023</w:t>
            </w:r>
          </w:p>
        </w:tc>
      </w:tr>
      <w:tr w:rsidR="00690C7B" w:rsidRPr="007C1193" w14:paraId="6303A4BC" w14:textId="77777777" w:rsidTr="00BB1D82">
        <w:trPr>
          <w:cantSplit/>
        </w:trPr>
        <w:tc>
          <w:tcPr>
            <w:tcW w:w="6911" w:type="dxa"/>
            <w:gridSpan w:val="2"/>
          </w:tcPr>
          <w:p w14:paraId="5D5E6E40" w14:textId="77777777" w:rsidR="00690C7B" w:rsidRPr="007C1193" w:rsidRDefault="00690C7B" w:rsidP="00BA5BD0">
            <w:pPr>
              <w:spacing w:before="0" w:after="48"/>
              <w:rPr>
                <w:rFonts w:ascii="Verdana" w:hAnsi="Verdana"/>
                <w:b/>
                <w:smallCaps/>
                <w:sz w:val="20"/>
              </w:rPr>
            </w:pPr>
          </w:p>
        </w:tc>
        <w:tc>
          <w:tcPr>
            <w:tcW w:w="3120" w:type="dxa"/>
            <w:gridSpan w:val="2"/>
          </w:tcPr>
          <w:p w14:paraId="0AB87F98" w14:textId="77777777" w:rsidR="00690C7B" w:rsidRPr="007C1193" w:rsidRDefault="00690C7B" w:rsidP="00BA5BD0">
            <w:pPr>
              <w:spacing w:before="0"/>
              <w:rPr>
                <w:rFonts w:ascii="Verdana" w:hAnsi="Verdana"/>
                <w:b/>
                <w:sz w:val="20"/>
              </w:rPr>
            </w:pPr>
            <w:r w:rsidRPr="007C1193">
              <w:rPr>
                <w:rFonts w:ascii="Verdana" w:hAnsi="Verdana"/>
                <w:b/>
                <w:sz w:val="20"/>
              </w:rPr>
              <w:t>Original: anglais</w:t>
            </w:r>
          </w:p>
        </w:tc>
      </w:tr>
      <w:tr w:rsidR="00690C7B" w:rsidRPr="007C1193" w14:paraId="5EC0A95A" w14:textId="77777777" w:rsidTr="00C11970">
        <w:trPr>
          <w:cantSplit/>
        </w:trPr>
        <w:tc>
          <w:tcPr>
            <w:tcW w:w="10031" w:type="dxa"/>
            <w:gridSpan w:val="4"/>
          </w:tcPr>
          <w:p w14:paraId="1DD3BB2F" w14:textId="77777777" w:rsidR="00690C7B" w:rsidRPr="007C1193" w:rsidRDefault="00690C7B" w:rsidP="00BA5BD0">
            <w:pPr>
              <w:spacing w:before="0"/>
              <w:rPr>
                <w:rFonts w:ascii="Verdana" w:hAnsi="Verdana"/>
                <w:b/>
                <w:sz w:val="20"/>
              </w:rPr>
            </w:pPr>
          </w:p>
        </w:tc>
      </w:tr>
      <w:tr w:rsidR="00690C7B" w:rsidRPr="007C1193" w14:paraId="1909BFB5" w14:textId="77777777" w:rsidTr="0050008E">
        <w:trPr>
          <w:cantSplit/>
        </w:trPr>
        <w:tc>
          <w:tcPr>
            <w:tcW w:w="10031" w:type="dxa"/>
            <w:gridSpan w:val="4"/>
          </w:tcPr>
          <w:p w14:paraId="202DD324" w14:textId="77777777" w:rsidR="00690C7B" w:rsidRPr="007C1193" w:rsidRDefault="00690C7B" w:rsidP="00690C7B">
            <w:pPr>
              <w:pStyle w:val="Source"/>
            </w:pPr>
            <w:bookmarkStart w:id="2" w:name="dsource" w:colFirst="0" w:colLast="0"/>
            <w:r w:rsidRPr="007C1193">
              <w:t>Madagascar (République de)</w:t>
            </w:r>
          </w:p>
        </w:tc>
      </w:tr>
      <w:tr w:rsidR="00690C7B" w:rsidRPr="007C1193" w14:paraId="3E669D26" w14:textId="77777777" w:rsidTr="0050008E">
        <w:trPr>
          <w:cantSplit/>
        </w:trPr>
        <w:tc>
          <w:tcPr>
            <w:tcW w:w="10031" w:type="dxa"/>
            <w:gridSpan w:val="4"/>
          </w:tcPr>
          <w:p w14:paraId="260C3C00" w14:textId="0B143780" w:rsidR="00690C7B" w:rsidRPr="007C1193" w:rsidRDefault="006B5D82" w:rsidP="00690C7B">
            <w:pPr>
              <w:pStyle w:val="Title1"/>
            </w:pPr>
            <w:bookmarkStart w:id="3" w:name="dtitle1" w:colFirst="0" w:colLast="0"/>
            <w:bookmarkEnd w:id="2"/>
            <w:r w:rsidRPr="007C1193">
              <w:t>Propositions pour les travaux de la conférence</w:t>
            </w:r>
          </w:p>
        </w:tc>
      </w:tr>
      <w:tr w:rsidR="00690C7B" w:rsidRPr="007C1193" w14:paraId="135D825E" w14:textId="77777777" w:rsidTr="0050008E">
        <w:trPr>
          <w:cantSplit/>
        </w:trPr>
        <w:tc>
          <w:tcPr>
            <w:tcW w:w="10031" w:type="dxa"/>
            <w:gridSpan w:val="4"/>
          </w:tcPr>
          <w:p w14:paraId="01A789C9" w14:textId="77777777" w:rsidR="00690C7B" w:rsidRPr="007C1193" w:rsidRDefault="00690C7B" w:rsidP="00690C7B">
            <w:pPr>
              <w:pStyle w:val="Title2"/>
            </w:pPr>
            <w:bookmarkStart w:id="4" w:name="dtitle2" w:colFirst="0" w:colLast="0"/>
            <w:bookmarkEnd w:id="3"/>
          </w:p>
        </w:tc>
      </w:tr>
      <w:tr w:rsidR="00690C7B" w:rsidRPr="007C1193" w14:paraId="2C59A8ED" w14:textId="77777777" w:rsidTr="0050008E">
        <w:trPr>
          <w:cantSplit/>
        </w:trPr>
        <w:tc>
          <w:tcPr>
            <w:tcW w:w="10031" w:type="dxa"/>
            <w:gridSpan w:val="4"/>
          </w:tcPr>
          <w:p w14:paraId="055F1949" w14:textId="77777777" w:rsidR="00690C7B" w:rsidRPr="007C1193" w:rsidRDefault="00690C7B" w:rsidP="00690C7B">
            <w:pPr>
              <w:pStyle w:val="Agendaitem"/>
              <w:rPr>
                <w:lang w:val="fr-FR"/>
              </w:rPr>
            </w:pPr>
            <w:bookmarkStart w:id="5" w:name="dtitle3" w:colFirst="0" w:colLast="0"/>
            <w:bookmarkEnd w:id="4"/>
            <w:r w:rsidRPr="007C1193">
              <w:rPr>
                <w:lang w:val="fr-FR"/>
              </w:rPr>
              <w:t>Point 10 de l'ordre du jour</w:t>
            </w:r>
          </w:p>
        </w:tc>
      </w:tr>
    </w:tbl>
    <w:bookmarkEnd w:id="5"/>
    <w:p w14:paraId="06B24C0E" w14:textId="77777777" w:rsidR="00DC19E1" w:rsidRPr="007C1193" w:rsidRDefault="00DC0335" w:rsidP="002E6998">
      <w:r w:rsidRPr="007C1193">
        <w:t>10</w:t>
      </w:r>
      <w:r w:rsidRPr="007C1193">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7C1193">
        <w:rPr>
          <w:b/>
        </w:rPr>
        <w:t>804 (Rév.CMR-19)</w:t>
      </w:r>
      <w:r w:rsidRPr="007C1193">
        <w:t>,</w:t>
      </w:r>
    </w:p>
    <w:p w14:paraId="011C568C" w14:textId="77777777" w:rsidR="003A583E" w:rsidRPr="007C1193" w:rsidRDefault="003A583E" w:rsidP="005A7C75"/>
    <w:p w14:paraId="3730DD17" w14:textId="77777777" w:rsidR="0015203F" w:rsidRPr="007C1193" w:rsidRDefault="0015203F">
      <w:pPr>
        <w:tabs>
          <w:tab w:val="clear" w:pos="1134"/>
          <w:tab w:val="clear" w:pos="1871"/>
          <w:tab w:val="clear" w:pos="2268"/>
        </w:tabs>
        <w:overflowPunct/>
        <w:autoSpaceDE/>
        <w:autoSpaceDN/>
        <w:adjustRightInd/>
        <w:spacing w:before="0"/>
        <w:textAlignment w:val="auto"/>
      </w:pPr>
      <w:r w:rsidRPr="007C1193">
        <w:br w:type="page"/>
      </w:r>
    </w:p>
    <w:p w14:paraId="689E7B3B" w14:textId="77777777" w:rsidR="00332D54" w:rsidRPr="007C1193" w:rsidRDefault="00DC0335">
      <w:pPr>
        <w:pStyle w:val="Proposal"/>
      </w:pPr>
      <w:r w:rsidRPr="007C1193">
        <w:lastRenderedPageBreak/>
        <w:tab/>
        <w:t>MDG/82/1</w:t>
      </w:r>
    </w:p>
    <w:p w14:paraId="1836842B" w14:textId="77777777" w:rsidR="00DC19E1" w:rsidRPr="007C1193" w:rsidRDefault="00DC0335" w:rsidP="0071646D">
      <w:pPr>
        <w:pStyle w:val="ArtNo"/>
      </w:pPr>
      <w:bookmarkStart w:id="6" w:name="_Toc455752955"/>
      <w:bookmarkStart w:id="7" w:name="_Toc455756194"/>
      <w:r w:rsidRPr="007C1193">
        <w:t xml:space="preserve">ARTICLE </w:t>
      </w:r>
      <w:r w:rsidRPr="007C1193">
        <w:rPr>
          <w:rStyle w:val="href"/>
        </w:rPr>
        <w:t>22</w:t>
      </w:r>
      <w:bookmarkEnd w:id="6"/>
      <w:bookmarkEnd w:id="7"/>
    </w:p>
    <w:p w14:paraId="7E792588" w14:textId="77777777" w:rsidR="00DC19E1" w:rsidRPr="007C1193" w:rsidRDefault="00DC0335" w:rsidP="00076349">
      <w:pPr>
        <w:pStyle w:val="Arttitle"/>
      </w:pPr>
      <w:bookmarkStart w:id="8" w:name="_Toc455752956"/>
      <w:bookmarkStart w:id="9" w:name="_Toc455756195"/>
      <w:r w:rsidRPr="007C1193">
        <w:t>Services spatiaux</w:t>
      </w:r>
      <w:bookmarkEnd w:id="8"/>
      <w:bookmarkEnd w:id="9"/>
      <w:r w:rsidRPr="007C1193">
        <w:rPr>
          <w:rStyle w:val="FootnoteReference"/>
          <w:b w:val="0"/>
          <w:bCs/>
        </w:rPr>
        <w:t>1</w:t>
      </w:r>
    </w:p>
    <w:p w14:paraId="08A1D04A" w14:textId="77777777" w:rsidR="00DC19E1" w:rsidRPr="007C1193" w:rsidRDefault="00DC0335" w:rsidP="00D34DE3">
      <w:pPr>
        <w:pStyle w:val="Section1"/>
      </w:pPr>
      <w:r w:rsidRPr="007C1193">
        <w:t>Section II – Contrôle des brouillages causés aux systèmes à satellites géostationnaires</w:t>
      </w:r>
    </w:p>
    <w:p w14:paraId="42C0605A" w14:textId="77777777" w:rsidR="00DC19E1" w:rsidRPr="007C1193" w:rsidRDefault="00DC0335" w:rsidP="00076349">
      <w:r w:rsidRPr="007C1193">
        <w:rPr>
          <w:rStyle w:val="Artdef"/>
        </w:rPr>
        <w:t>22.5C</w:t>
      </w:r>
      <w:r w:rsidRPr="007C1193">
        <w:rPr>
          <w:b/>
          <w:bCs/>
        </w:rPr>
        <w:tab/>
      </w:r>
      <w:r w:rsidRPr="007C1193">
        <w:t>§ 6</w:t>
      </w:r>
      <w:r w:rsidRPr="007C1193">
        <w:tab/>
        <w:t>1)</w:t>
      </w:r>
      <w:r w:rsidRPr="007C1193">
        <w:tab/>
        <w:t>La puissance surfacique équivalente</w:t>
      </w:r>
      <w:r w:rsidRPr="007C1193">
        <w:rPr>
          <w:rStyle w:val="FootnoteReference"/>
        </w:rPr>
        <w:t>2</w:t>
      </w:r>
      <w:r w:rsidRPr="007C1193">
        <w:t>, epfd</w:t>
      </w:r>
      <w:r w:rsidRPr="007C1193">
        <w:rPr>
          <w:rFonts w:ascii="Symbol" w:hAnsi="Symbol"/>
          <w:color w:val="000000"/>
          <w:vertAlign w:val="subscript"/>
        </w:rPr>
        <w:t></w:t>
      </w:r>
      <w:r w:rsidRPr="007C1193">
        <w:t xml:space="preserve">, en un point quelconque à la surface de la Terre visible depuis l'orbite des satellites géostationnaires, produite par les émissions de toutes les stations spatiales d'un système à satellites non géostationnaires du service fixe par satellite fonctionnant dans les bandes de fréquences indiquées dans les Tableaux </w:t>
      </w:r>
      <w:r w:rsidRPr="007C1193">
        <w:rPr>
          <w:b/>
          <w:bCs/>
        </w:rPr>
        <w:t xml:space="preserve">22-1A </w:t>
      </w:r>
      <w:r w:rsidRPr="007C1193">
        <w:t>à</w:t>
      </w:r>
      <w:r w:rsidRPr="007C1193">
        <w:rPr>
          <w:b/>
          <w:bCs/>
        </w:rPr>
        <w:t xml:space="preserve"> 22-1E</w:t>
      </w:r>
      <w:r w:rsidRPr="007C1193">
        <w:t xml:space="preserve">, y compris les émissions d'un satellite réflecteur, pour toutes les conditions et toutes les méthodes de modulation, ne doit pas dépasser les limites indiquées dans les Tableaux </w:t>
      </w:r>
      <w:r w:rsidRPr="007C1193">
        <w:rPr>
          <w:b/>
          <w:bCs/>
        </w:rPr>
        <w:t xml:space="preserve">22-1A </w:t>
      </w:r>
      <w:r w:rsidRPr="007C1193">
        <w:t>à</w:t>
      </w:r>
      <w:r w:rsidRPr="007C1193">
        <w:rPr>
          <w:b/>
          <w:bCs/>
        </w:rPr>
        <w:t xml:space="preserve"> 22-1E</w:t>
      </w:r>
      <w:r w:rsidRPr="007C1193">
        <w:t xml:space="preserve"> pendant les pourcentages de temps donnés. Ces limites s'entendent de la puissance surfacique équivalente que l'on obtiendrait dans des conditions de propagation en espace libre et s'appliquent à une antenne de référence et dans la largeur de bande de référence spécifiée aux Tableaux </w:t>
      </w:r>
      <w:r w:rsidRPr="007C1193">
        <w:rPr>
          <w:b/>
          <w:bCs/>
        </w:rPr>
        <w:t xml:space="preserve">22-1A </w:t>
      </w:r>
      <w:r w:rsidRPr="007C1193">
        <w:t>à</w:t>
      </w:r>
      <w:r w:rsidRPr="007C1193">
        <w:rPr>
          <w:b/>
          <w:bCs/>
        </w:rPr>
        <w:t xml:space="preserve"> 22-1E</w:t>
      </w:r>
      <w:r w:rsidRPr="007C1193">
        <w:t>, dans toutes les directions de pointage vers l'orbite des satellites géostationnaires.</w:t>
      </w:r>
      <w:r w:rsidRPr="007C1193">
        <w:rPr>
          <w:sz w:val="16"/>
          <w:szCs w:val="16"/>
        </w:rPr>
        <w:t>     (CMR-03)</w:t>
      </w:r>
    </w:p>
    <w:p w14:paraId="115A8F3A" w14:textId="780167EE" w:rsidR="006B5D82" w:rsidRPr="007C1193" w:rsidRDefault="006B5D82" w:rsidP="0071646D">
      <w:pPr>
        <w:pStyle w:val="Reasons"/>
      </w:pPr>
      <w:r w:rsidRPr="007C1193">
        <w:rPr>
          <w:b/>
          <w:bCs/>
        </w:rPr>
        <w:t>Motifs:</w:t>
      </w:r>
      <w:r w:rsidR="0071646D" w:rsidRPr="007C1193">
        <w:rPr>
          <w:b/>
          <w:bCs/>
        </w:rPr>
        <w:tab/>
      </w:r>
      <w:r w:rsidR="00691DEF" w:rsidRPr="007C1193">
        <w:t xml:space="preserve">Les systèmes à satellites non géostationnaires (non OSG) dans les bandes Ku et Ka sont essentiels pour fournir une connectivité Internet dans des régions auparavant inaccessibles ou </w:t>
      </w:r>
      <w:r w:rsidR="00383B0D" w:rsidRPr="007C1193">
        <w:t>dans lesquelles il est coûteux de fournir des services.</w:t>
      </w:r>
      <w:r w:rsidR="00691DEF" w:rsidRPr="007C1193">
        <w:t xml:space="preserve"> Ces satellites permettent de fournir un large bande à haut débit </w:t>
      </w:r>
      <w:r w:rsidR="003219EE" w:rsidRPr="007C1193">
        <w:t>et à</w:t>
      </w:r>
      <w:r w:rsidR="00691DEF" w:rsidRPr="007C1193">
        <w:t xml:space="preserve"> faible temps de latence dans le monde entier. Les systèmes non OSG reposent sur le partage du spectre, qui constitue un principe fondamental de l'UIT. Cependant, les règles de partage du spectre en vigueur énoncées dans l'Article </w:t>
      </w:r>
      <w:r w:rsidR="00691DEF" w:rsidRPr="007C1193">
        <w:rPr>
          <w:b/>
        </w:rPr>
        <w:t>22</w:t>
      </w:r>
      <w:r w:rsidR="00691DEF" w:rsidRPr="007C1193">
        <w:t xml:space="preserve"> du Règlement des radiocommunications </w:t>
      </w:r>
      <w:r w:rsidR="003219EE" w:rsidRPr="007C1193">
        <w:t>présentent</w:t>
      </w:r>
      <w:r w:rsidR="00691DEF" w:rsidRPr="007C1193">
        <w:t xml:space="preserve"> des lacunes pour certains systèmes OSG et non OSG.</w:t>
      </w:r>
    </w:p>
    <w:p w14:paraId="538EF735" w14:textId="01084EED" w:rsidR="006B5D82" w:rsidRPr="007C1193" w:rsidRDefault="00691DEF" w:rsidP="006B5D82">
      <w:r w:rsidRPr="007C1193">
        <w:t xml:space="preserve">Madagascar propose d'examiner ces </w:t>
      </w:r>
      <w:r w:rsidR="00383B0D" w:rsidRPr="007C1193">
        <w:t>questions</w:t>
      </w:r>
      <w:r w:rsidRPr="007C1193">
        <w:t xml:space="preserve"> et recommande</w:t>
      </w:r>
      <w:r w:rsidR="003219EE" w:rsidRPr="007C1193">
        <w:t xml:space="preserve"> d'élaborer d'éventuelles nouvelles dispositions</w:t>
      </w:r>
      <w:r w:rsidR="00A20B80" w:rsidRPr="007C1193">
        <w:t xml:space="preserve"> réglementaires</w:t>
      </w:r>
      <w:r w:rsidR="003219EE" w:rsidRPr="007C1193">
        <w:t xml:space="preserve"> </w:t>
      </w:r>
      <w:r w:rsidR="004A782F" w:rsidRPr="007C1193">
        <w:t>en vue de</w:t>
      </w:r>
      <w:r w:rsidR="003219EE" w:rsidRPr="007C1193">
        <w:t xml:space="preserve"> la CMR-27</w:t>
      </w:r>
      <w:r w:rsidR="006B5D82" w:rsidRPr="007C1193">
        <w:t>.</w:t>
      </w:r>
    </w:p>
    <w:p w14:paraId="40BD64D1" w14:textId="738B66E1" w:rsidR="006B5D82" w:rsidRPr="007C1193" w:rsidRDefault="006B5D82" w:rsidP="00DC0335">
      <w:r w:rsidRPr="007C1193">
        <w:rPr>
          <w:b/>
          <w:bCs/>
        </w:rPr>
        <w:t>2</w:t>
      </w:r>
      <w:r w:rsidR="00691DEF" w:rsidRPr="007C1193">
        <w:rPr>
          <w:b/>
          <w:bCs/>
        </w:rPr>
        <w:t>2.5</w:t>
      </w:r>
      <w:r w:rsidRPr="007C1193">
        <w:rPr>
          <w:b/>
          <w:bCs/>
        </w:rPr>
        <w:t>C</w:t>
      </w:r>
      <w:r w:rsidRPr="007C1193">
        <w:tab/>
      </w:r>
      <w:r w:rsidR="00691DEF" w:rsidRPr="007C1193">
        <w:t xml:space="preserve">Il est recommandé que l'UIT approuve l'inscription d'un </w:t>
      </w:r>
      <w:r w:rsidR="00DA697F" w:rsidRPr="007C1193">
        <w:t xml:space="preserve">futur </w:t>
      </w:r>
      <w:r w:rsidR="00691DEF" w:rsidRPr="007C1193">
        <w:t xml:space="preserve">point à l'ordre du jour de la CMR-27 concernant l'examen des limites d'epfd dans les bandes Ku et Ka indiquées dans l'Article </w:t>
      </w:r>
      <w:r w:rsidR="00691DEF" w:rsidRPr="007C1193">
        <w:rPr>
          <w:b/>
        </w:rPr>
        <w:t>22</w:t>
      </w:r>
      <w:r w:rsidRPr="007C1193">
        <w:t>.</w:t>
      </w:r>
    </w:p>
    <w:p w14:paraId="3CD18D1A" w14:textId="77777777" w:rsidR="006B5D82" w:rsidRPr="007C1193" w:rsidRDefault="006B5D82">
      <w:pPr>
        <w:jc w:val="center"/>
      </w:pPr>
      <w:r w:rsidRPr="007C1193">
        <w:t>______________</w:t>
      </w:r>
    </w:p>
    <w:sectPr w:rsidR="006B5D82" w:rsidRPr="007C1193">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7F0F" w14:textId="77777777" w:rsidR="00CB685A" w:rsidRDefault="00CB685A">
      <w:r>
        <w:separator/>
      </w:r>
    </w:p>
  </w:endnote>
  <w:endnote w:type="continuationSeparator" w:id="0">
    <w:p w14:paraId="0F4CD6D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1526" w14:textId="213A176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1646D">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4C87" w14:textId="18D79A2A" w:rsidR="00936D25" w:rsidRPr="005A1347" w:rsidRDefault="005A1347" w:rsidP="005A1347">
    <w:pPr>
      <w:pStyle w:val="Footer"/>
      <w:rPr>
        <w:lang w:val="en-GB"/>
      </w:rPr>
    </w:pPr>
    <w:r>
      <w:fldChar w:fldCharType="begin"/>
    </w:r>
    <w:r w:rsidRPr="005A1347">
      <w:rPr>
        <w:lang w:val="en-GB"/>
      </w:rPr>
      <w:instrText xml:space="preserve"> FILENAME \p  \* MERGEFORMAT </w:instrText>
    </w:r>
    <w:r>
      <w:fldChar w:fldCharType="separate"/>
    </w:r>
    <w:r w:rsidRPr="005A1347">
      <w:rPr>
        <w:lang w:val="en-GB"/>
      </w:rPr>
      <w:t>P:\FRA\ITU-R\CONF-R\CMR23\000\082F.docx</w:t>
    </w:r>
    <w:r>
      <w:fldChar w:fldCharType="end"/>
    </w:r>
    <w:r w:rsidRPr="005A1347">
      <w:rPr>
        <w:lang w:val="en-GB"/>
      </w:rPr>
      <w:t xml:space="preserve"> (</w:t>
    </w:r>
    <w:r>
      <w:rPr>
        <w:lang w:val="en-GB"/>
      </w:rPr>
      <w:t>529851)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B1E" w14:textId="12163E6A" w:rsidR="00936D25" w:rsidRDefault="005A1347" w:rsidP="005A1347">
    <w:pPr>
      <w:pStyle w:val="Footer"/>
      <w:rPr>
        <w:lang w:val="en-US"/>
      </w:rPr>
    </w:pPr>
    <w:r>
      <w:fldChar w:fldCharType="begin"/>
    </w:r>
    <w:r w:rsidRPr="005A1347">
      <w:rPr>
        <w:lang w:val="en-GB"/>
      </w:rPr>
      <w:instrText xml:space="preserve"> FILENAME \p  \* MERGEFORMAT </w:instrText>
    </w:r>
    <w:r>
      <w:fldChar w:fldCharType="separate"/>
    </w:r>
    <w:r w:rsidRPr="005A1347">
      <w:rPr>
        <w:lang w:val="en-GB"/>
      </w:rPr>
      <w:t>P:\FRA\ITU-R\CONF-R\CMR23\000\082F.docx</w:t>
    </w:r>
    <w:r>
      <w:fldChar w:fldCharType="end"/>
    </w:r>
    <w:r w:rsidRPr="005A1347">
      <w:rPr>
        <w:lang w:val="en-GB"/>
      </w:rPr>
      <w:t xml:space="preserve"> </w:t>
    </w:r>
    <w:r w:rsidR="006B5D82" w:rsidRPr="005A1347">
      <w:rPr>
        <w:lang w:val="en-GB"/>
      </w:rPr>
      <w:t>(529851)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A796" w14:textId="77777777" w:rsidR="00CB685A" w:rsidRDefault="00CB685A">
      <w:r>
        <w:rPr>
          <w:b/>
        </w:rPr>
        <w:t>_______________</w:t>
      </w:r>
    </w:p>
  </w:footnote>
  <w:footnote w:type="continuationSeparator" w:id="0">
    <w:p w14:paraId="6045081C"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A9C4" w14:textId="17889850" w:rsidR="004F1F8E" w:rsidRDefault="004F1F8E" w:rsidP="004F1F8E">
    <w:pPr>
      <w:pStyle w:val="Header"/>
    </w:pPr>
    <w:r>
      <w:fldChar w:fldCharType="begin"/>
    </w:r>
    <w:r>
      <w:instrText xml:space="preserve"> PAGE </w:instrText>
    </w:r>
    <w:r>
      <w:fldChar w:fldCharType="separate"/>
    </w:r>
    <w:r w:rsidR="00A20B80">
      <w:rPr>
        <w:noProof/>
      </w:rPr>
      <w:t>2</w:t>
    </w:r>
    <w:r>
      <w:fldChar w:fldCharType="end"/>
    </w:r>
  </w:p>
  <w:p w14:paraId="0E049820" w14:textId="77777777" w:rsidR="004F1F8E" w:rsidRDefault="00225CF2" w:rsidP="00FD7AA3">
    <w:pPr>
      <w:pStyle w:val="Header"/>
    </w:pPr>
    <w:r>
      <w:t>WRC</w:t>
    </w:r>
    <w:r w:rsidR="00D3426F">
      <w:t>23</w:t>
    </w:r>
    <w:r w:rsidR="004F1F8E">
      <w:t>/</w:t>
    </w:r>
    <w:r w:rsidR="006A4B45">
      <w:t>82-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2882252">
    <w:abstractNumId w:val="0"/>
  </w:num>
  <w:num w:numId="2" w16cid:durableId="11606574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1684"/>
    <w:rsid w:val="002A4622"/>
    <w:rsid w:val="002A6F8F"/>
    <w:rsid w:val="002B17E5"/>
    <w:rsid w:val="002C0EBF"/>
    <w:rsid w:val="002C1BF1"/>
    <w:rsid w:val="002C28A4"/>
    <w:rsid w:val="002D7E0A"/>
    <w:rsid w:val="00315AFE"/>
    <w:rsid w:val="003219EE"/>
    <w:rsid w:val="00332D54"/>
    <w:rsid w:val="003411F6"/>
    <w:rsid w:val="003606A6"/>
    <w:rsid w:val="0036650C"/>
    <w:rsid w:val="00383B0D"/>
    <w:rsid w:val="00393ACD"/>
    <w:rsid w:val="003A583E"/>
    <w:rsid w:val="003E018B"/>
    <w:rsid w:val="003E112B"/>
    <w:rsid w:val="003E1D1C"/>
    <w:rsid w:val="003E7B05"/>
    <w:rsid w:val="003F3719"/>
    <w:rsid w:val="003F6F2D"/>
    <w:rsid w:val="00466211"/>
    <w:rsid w:val="00483196"/>
    <w:rsid w:val="004834A9"/>
    <w:rsid w:val="004A782F"/>
    <w:rsid w:val="004D01FC"/>
    <w:rsid w:val="004E28C3"/>
    <w:rsid w:val="004F1F8E"/>
    <w:rsid w:val="00512A32"/>
    <w:rsid w:val="005343DA"/>
    <w:rsid w:val="00560874"/>
    <w:rsid w:val="00586CF2"/>
    <w:rsid w:val="005A1347"/>
    <w:rsid w:val="005A7C75"/>
    <w:rsid w:val="005C3768"/>
    <w:rsid w:val="005C6C3F"/>
    <w:rsid w:val="00613635"/>
    <w:rsid w:val="0062093D"/>
    <w:rsid w:val="00637ECF"/>
    <w:rsid w:val="00647B59"/>
    <w:rsid w:val="00690C7B"/>
    <w:rsid w:val="00691DEF"/>
    <w:rsid w:val="006A4B45"/>
    <w:rsid w:val="006B5D82"/>
    <w:rsid w:val="006D4724"/>
    <w:rsid w:val="006F5FA2"/>
    <w:rsid w:val="0070076C"/>
    <w:rsid w:val="00701BAE"/>
    <w:rsid w:val="0071646D"/>
    <w:rsid w:val="00721F04"/>
    <w:rsid w:val="00730E95"/>
    <w:rsid w:val="007426B9"/>
    <w:rsid w:val="00764342"/>
    <w:rsid w:val="00774362"/>
    <w:rsid w:val="00786598"/>
    <w:rsid w:val="00790C74"/>
    <w:rsid w:val="007A04E8"/>
    <w:rsid w:val="007B2C34"/>
    <w:rsid w:val="007C1193"/>
    <w:rsid w:val="007F282B"/>
    <w:rsid w:val="00830086"/>
    <w:rsid w:val="00851625"/>
    <w:rsid w:val="00863C0A"/>
    <w:rsid w:val="00887AFE"/>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054B"/>
    <w:rsid w:val="0098732F"/>
    <w:rsid w:val="009A045F"/>
    <w:rsid w:val="009A6A2B"/>
    <w:rsid w:val="009C7E7C"/>
    <w:rsid w:val="00A00473"/>
    <w:rsid w:val="00A03C9B"/>
    <w:rsid w:val="00A20B80"/>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A697F"/>
    <w:rsid w:val="00DC0335"/>
    <w:rsid w:val="00DC19E1"/>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3C16D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4607457F-EB4A-4BBE-9705-CFAB37F51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3FCA6-2B49-48AF-8FFA-44B4E7048B09}">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5B50FC4D-A41D-4797-A4D8-A2B587124C74}">
  <ds:schemaRefs>
    <ds:schemaRef ds:uri="http://purl.org/dc/elements/1.1/"/>
    <ds:schemaRef ds:uri="http://purl.org/dc/terms/"/>
    <ds:schemaRef ds:uri="http://schemas.microsoft.com/office/2006/documentManagement/types"/>
    <ds:schemaRef ds:uri="32a1a8c5-2265-4ebc-b7a0-2071e2c5c9bb"/>
    <ds:schemaRef ds:uri="http://schemas.openxmlformats.org/package/2006/metadata/core-properties"/>
    <ds:schemaRef ds:uri="http://www.w3.org/XML/1998/namespace"/>
    <ds:schemaRef ds:uri="http://purl.org/dc/dcmitype/"/>
    <ds:schemaRef ds:uri="http://schemas.microsoft.com/office/infopath/2007/PartnerControl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R23-WRC23-C-0082!!MSW-F</vt:lpstr>
    </vt:vector>
  </TitlesOfParts>
  <Manager>Secrétariat général - Pool</Manager>
  <Company>Union internationale des télécommunications (UIT)</Company>
  <LinksUpToDate>false</LinksUpToDate>
  <CharactersWithSpaces>2678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R23-WRC23-C-0082!!MSW-F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2023-11-06T12:07:00Z</dcterms:created>
  <dcterms:modified xsi:type="dcterms:W3CDTF">2023-11-06T14:48:00Z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