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F31BD6" w14:paraId="2688C03C" w14:textId="77777777" w:rsidTr="00F320AA">
        <w:trPr>
          <w:cantSplit/>
        </w:trPr>
        <w:tc>
          <w:tcPr>
            <w:tcW w:w="1418" w:type="dxa"/>
            <w:vAlign w:val="center"/>
          </w:tcPr>
          <w:p w14:paraId="21584D93" w14:textId="77777777" w:rsidR="00F320AA" w:rsidRPr="00F31BD6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F31BD6">
              <w:drawing>
                <wp:inline distT="0" distB="0" distL="0" distR="0" wp14:anchorId="0F9A2509" wp14:editId="278B7D13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3A4C7F5" w14:textId="77777777" w:rsidR="00F320AA" w:rsidRPr="00F31BD6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31BD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F31BD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31BD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397EDBF" w14:textId="77777777" w:rsidR="00F320AA" w:rsidRPr="00F31BD6" w:rsidRDefault="00EB0812" w:rsidP="00F320AA">
            <w:pPr>
              <w:spacing w:before="0" w:line="240" w:lineRule="atLeast"/>
            </w:pPr>
            <w:r w:rsidRPr="00F31BD6">
              <w:drawing>
                <wp:inline distT="0" distB="0" distL="0" distR="0" wp14:anchorId="2D49FB39" wp14:editId="0A3791D4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31BD6" w14:paraId="5E322D1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437D69" w14:textId="77777777" w:rsidR="00A066F1" w:rsidRPr="00F31BD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32F0727" w14:textId="77777777" w:rsidR="00A066F1" w:rsidRPr="00F31BD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31BD6" w14:paraId="124591A8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5F9E2D1" w14:textId="77777777" w:rsidR="00A066F1" w:rsidRPr="00F31BD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E7F3CA0" w14:textId="77777777" w:rsidR="00A066F1" w:rsidRPr="00F31BD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31BD6" w14:paraId="0D277CB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1F1911B" w14:textId="77777777" w:rsidR="00A066F1" w:rsidRPr="00F31BD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F31BD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B587FB0" w14:textId="77777777" w:rsidR="00A066F1" w:rsidRPr="00F31BD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31BD6">
              <w:rPr>
                <w:rFonts w:ascii="Verdana" w:hAnsi="Verdana"/>
                <w:b/>
                <w:sz w:val="20"/>
              </w:rPr>
              <w:t>Document 82</w:t>
            </w:r>
            <w:r w:rsidR="00A066F1" w:rsidRPr="00F31BD6">
              <w:rPr>
                <w:rFonts w:ascii="Verdana" w:hAnsi="Verdana"/>
                <w:b/>
                <w:sz w:val="20"/>
              </w:rPr>
              <w:t>-</w:t>
            </w:r>
            <w:r w:rsidR="005E10C9" w:rsidRPr="00F31BD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31BD6" w14:paraId="0FB663C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EE798F3" w14:textId="77777777" w:rsidR="00A066F1" w:rsidRPr="00F31BD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55E36569" w14:textId="77777777" w:rsidR="00A066F1" w:rsidRPr="00F31BD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31BD6">
              <w:rPr>
                <w:rFonts w:ascii="Verdana" w:hAnsi="Verdana"/>
                <w:b/>
                <w:sz w:val="20"/>
              </w:rPr>
              <w:t>20 October 2023</w:t>
            </w:r>
          </w:p>
        </w:tc>
      </w:tr>
      <w:tr w:rsidR="00A066F1" w:rsidRPr="00F31BD6" w14:paraId="505DCC6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31DD18E" w14:textId="77777777" w:rsidR="00A066F1" w:rsidRPr="00F31BD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9FD2AC0" w14:textId="77777777" w:rsidR="00A066F1" w:rsidRPr="00F31BD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31BD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31BD6" w14:paraId="19E9186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976B421" w14:textId="77777777" w:rsidR="00A066F1" w:rsidRPr="00F31BD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31BD6" w14:paraId="554F268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58F22B" w14:textId="77777777" w:rsidR="00E55816" w:rsidRPr="00F31BD6" w:rsidRDefault="00884D60" w:rsidP="00E55816">
            <w:pPr>
              <w:pStyle w:val="Source"/>
            </w:pPr>
            <w:r w:rsidRPr="00F31BD6">
              <w:t>Madagascar (Republic of)</w:t>
            </w:r>
          </w:p>
        </w:tc>
      </w:tr>
      <w:tr w:rsidR="00E55816" w:rsidRPr="00F31BD6" w14:paraId="43CB544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886BB46" w14:textId="77777777" w:rsidR="00E55816" w:rsidRPr="00F31BD6" w:rsidRDefault="007D5320" w:rsidP="00E55816">
            <w:pPr>
              <w:pStyle w:val="Title1"/>
            </w:pPr>
            <w:r w:rsidRPr="00F31BD6">
              <w:t>PROPOSALS FOR THE WORK OF THE CONFERENCE</w:t>
            </w:r>
          </w:p>
        </w:tc>
      </w:tr>
      <w:tr w:rsidR="00E55816" w:rsidRPr="00F31BD6" w14:paraId="773A039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A6D1E8D" w14:textId="77777777" w:rsidR="00E55816" w:rsidRPr="00F31BD6" w:rsidRDefault="00E55816" w:rsidP="00E55816">
            <w:pPr>
              <w:pStyle w:val="Title2"/>
            </w:pPr>
          </w:p>
        </w:tc>
      </w:tr>
      <w:tr w:rsidR="00A538A6" w:rsidRPr="00F31BD6" w14:paraId="7D2BC21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7A918DE" w14:textId="77777777" w:rsidR="00A538A6" w:rsidRPr="00F31BD6" w:rsidRDefault="004B13CB" w:rsidP="004B13CB">
            <w:pPr>
              <w:pStyle w:val="Agendaitem"/>
              <w:rPr>
                <w:lang w:val="en-GB"/>
              </w:rPr>
            </w:pPr>
            <w:r w:rsidRPr="00F31BD6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12C26E43" w14:textId="77777777" w:rsidR="00187BD9" w:rsidRPr="00F31BD6" w:rsidRDefault="004C2077" w:rsidP="00025A01">
      <w:r w:rsidRPr="00F31BD6">
        <w:t>10</w:t>
      </w:r>
      <w:r w:rsidRPr="00F31BD6">
        <w:rPr>
          <w:b/>
          <w:bCs/>
        </w:rPr>
        <w:tab/>
      </w:r>
      <w:r w:rsidRPr="00F31BD6">
        <w:t xml:space="preserve">to recommend to the ITU Council items for inclusion in the agenda for the next world radiocommunication conference, </w:t>
      </w:r>
      <w:r w:rsidRPr="00F31BD6">
        <w:rPr>
          <w:iCs/>
        </w:rPr>
        <w:t xml:space="preserve">and items for the preliminary agenda of future conferences, </w:t>
      </w:r>
      <w:r w:rsidRPr="00F31BD6">
        <w:t xml:space="preserve">in accordance with Article 7 of the ITU Convention </w:t>
      </w:r>
      <w:r w:rsidRPr="00F31BD6">
        <w:rPr>
          <w:iCs/>
        </w:rPr>
        <w:t xml:space="preserve">and Resolution </w:t>
      </w:r>
      <w:r w:rsidRPr="00F31BD6">
        <w:rPr>
          <w:b/>
          <w:bCs/>
          <w:iCs/>
        </w:rPr>
        <w:t>804 (Rev.WRC</w:t>
      </w:r>
      <w:r w:rsidRPr="00F31BD6">
        <w:rPr>
          <w:b/>
          <w:bCs/>
          <w:iCs/>
        </w:rPr>
        <w:noBreakHyphen/>
        <w:t>19)</w:t>
      </w:r>
      <w:r w:rsidRPr="00F31BD6">
        <w:rPr>
          <w:iCs/>
        </w:rPr>
        <w:t>,</w:t>
      </w:r>
    </w:p>
    <w:p w14:paraId="480CBBE8" w14:textId="77777777" w:rsidR="00241FA2" w:rsidRPr="00F31BD6" w:rsidRDefault="00241FA2" w:rsidP="00EB54B2"/>
    <w:p w14:paraId="2B919CA2" w14:textId="77777777" w:rsidR="00187BD9" w:rsidRPr="00F31BD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31BD6">
        <w:br w:type="page"/>
      </w:r>
    </w:p>
    <w:p w14:paraId="1C147C3C" w14:textId="77777777" w:rsidR="00DA5866" w:rsidRPr="00F31BD6" w:rsidRDefault="00DA5866" w:rsidP="00DA5866">
      <w:pPr>
        <w:pStyle w:val="Proposal"/>
      </w:pPr>
      <w:bookmarkStart w:id="7" w:name="_Toc42842424"/>
      <w:r w:rsidRPr="00F31BD6">
        <w:lastRenderedPageBreak/>
        <w:tab/>
        <w:t>MDG/82/1</w:t>
      </w:r>
    </w:p>
    <w:p w14:paraId="0C32B52B" w14:textId="77777777" w:rsidR="004C2077" w:rsidRPr="00F31BD6" w:rsidRDefault="004C2077" w:rsidP="0002759A">
      <w:pPr>
        <w:pStyle w:val="ArtNo"/>
      </w:pPr>
      <w:r w:rsidRPr="00F31BD6">
        <w:t xml:space="preserve">ARTICLE </w:t>
      </w:r>
      <w:r w:rsidRPr="00F31BD6">
        <w:rPr>
          <w:rStyle w:val="href"/>
        </w:rPr>
        <w:t>22</w:t>
      </w:r>
      <w:bookmarkEnd w:id="7"/>
    </w:p>
    <w:p w14:paraId="105CDC96" w14:textId="77777777" w:rsidR="004C2077" w:rsidRPr="00F31BD6" w:rsidRDefault="004C2077" w:rsidP="007F1392">
      <w:pPr>
        <w:pStyle w:val="Arttitle"/>
        <w:keepNext w:val="0"/>
        <w:keepLines w:val="0"/>
        <w:rPr>
          <w:rStyle w:val="FootnoteReference"/>
        </w:rPr>
      </w:pPr>
      <w:bookmarkStart w:id="8" w:name="_Toc327956624"/>
      <w:bookmarkStart w:id="9" w:name="_Toc42842425"/>
      <w:r w:rsidRPr="00F31BD6">
        <w:t>Space services</w:t>
      </w:r>
      <w:bookmarkEnd w:id="8"/>
      <w:r w:rsidRPr="00F31BD6">
        <w:rPr>
          <w:rStyle w:val="FootnoteReference"/>
          <w:b w:val="0"/>
          <w:bCs/>
        </w:rPr>
        <w:t>1</w:t>
      </w:r>
      <w:bookmarkEnd w:id="9"/>
    </w:p>
    <w:p w14:paraId="55870F2D" w14:textId="77777777" w:rsidR="004C2077" w:rsidRPr="00F31BD6" w:rsidRDefault="004C2077" w:rsidP="007F1392">
      <w:pPr>
        <w:pStyle w:val="Section1"/>
        <w:keepNext/>
      </w:pPr>
      <w:r w:rsidRPr="00F31BD6">
        <w:t>Section II − Control of interference to geostationary-satellite systems</w:t>
      </w:r>
    </w:p>
    <w:p w14:paraId="218D4CD7" w14:textId="77777777" w:rsidR="00E543D9" w:rsidRPr="00F31BD6" w:rsidRDefault="00E543D9" w:rsidP="00E543D9">
      <w:pPr>
        <w:rPr>
          <w:sz w:val="16"/>
          <w:szCs w:val="16"/>
        </w:rPr>
      </w:pPr>
      <w:r w:rsidRPr="00F31BD6">
        <w:rPr>
          <w:rStyle w:val="Artdef"/>
        </w:rPr>
        <w:t>22.5C</w:t>
      </w:r>
      <w:r w:rsidRPr="00F31BD6">
        <w:tab/>
        <w:t>§ 6</w:t>
      </w:r>
      <w:r w:rsidRPr="00F31BD6">
        <w:tab/>
        <w:t>1)</w:t>
      </w:r>
      <w:r w:rsidRPr="00F31BD6">
        <w:tab/>
        <w:t>The equivalent power flux-density</w:t>
      </w:r>
      <w:r w:rsidRPr="00F31BD6">
        <w:rPr>
          <w:rStyle w:val="FootnoteReference"/>
        </w:rPr>
        <w:t>2</w:t>
      </w:r>
      <w:r w:rsidRPr="00F31BD6">
        <w:t>, epfd</w:t>
      </w:r>
      <w:r w:rsidRPr="00F31BD6">
        <w:rPr>
          <w:sz w:val="20"/>
        </w:rPr>
        <w:sym w:font="Symbol" w:char="F0AF"/>
      </w:r>
      <w:r w:rsidRPr="00F31BD6">
        <w:t>, at any point on the Earth’s surface visible from the geostationary-satellite orbit, produced by emissions from all the space stations of a non-geostationary-satellite system in the fixed-satellite service in the frequency bands listed in Tables </w:t>
      </w:r>
      <w:r w:rsidRPr="00F31BD6">
        <w:rPr>
          <w:b/>
          <w:bCs/>
        </w:rPr>
        <w:t>22-1A</w:t>
      </w:r>
      <w:r w:rsidRPr="00F31BD6">
        <w:t xml:space="preserve"> to </w:t>
      </w:r>
      <w:r w:rsidRPr="00F31BD6">
        <w:rPr>
          <w:b/>
          <w:bCs/>
        </w:rPr>
        <w:t>22-1E</w:t>
      </w:r>
      <w:r w:rsidRPr="00F31BD6">
        <w:t xml:space="preserve">, including emissions from a reflecting satellite, for all conditions and for all methods of modulation, shall not exceed the limits given in Tables </w:t>
      </w:r>
      <w:r w:rsidRPr="00F31BD6">
        <w:rPr>
          <w:b/>
          <w:bCs/>
        </w:rPr>
        <w:t>22</w:t>
      </w:r>
      <w:r w:rsidRPr="00F31BD6">
        <w:rPr>
          <w:b/>
          <w:bCs/>
        </w:rPr>
        <w:noBreakHyphen/>
        <w:t>1A</w:t>
      </w:r>
      <w:r w:rsidRPr="00F31BD6">
        <w:t xml:space="preserve"> to </w:t>
      </w:r>
      <w:r w:rsidRPr="00F31BD6">
        <w:rPr>
          <w:b/>
          <w:bCs/>
        </w:rPr>
        <w:t>22</w:t>
      </w:r>
      <w:r w:rsidRPr="00F31BD6">
        <w:rPr>
          <w:b/>
          <w:bCs/>
        </w:rPr>
        <w:noBreakHyphen/>
        <w:t>1E</w:t>
      </w:r>
      <w:r w:rsidRPr="00F31BD6">
        <w:t xml:space="preserve"> for the given percentages of time. These limits relate to the equivalent power flux</w:t>
      </w:r>
      <w:r w:rsidRPr="00F31BD6">
        <w:noBreakHyphen/>
        <w:t xml:space="preserve">density which would be obtained under free-space propagation conditions, into a reference antenna and in the </w:t>
      </w:r>
      <w:proofErr w:type="gramStart"/>
      <w:r w:rsidRPr="00F31BD6">
        <w:t>reference</w:t>
      </w:r>
      <w:proofErr w:type="gramEnd"/>
      <w:r w:rsidRPr="00F31BD6">
        <w:t xml:space="preserve"> bandwidth specified in Tables </w:t>
      </w:r>
      <w:r w:rsidRPr="00F31BD6">
        <w:rPr>
          <w:b/>
          <w:bCs/>
        </w:rPr>
        <w:t>22</w:t>
      </w:r>
      <w:r w:rsidRPr="00F31BD6">
        <w:rPr>
          <w:b/>
          <w:bCs/>
        </w:rPr>
        <w:noBreakHyphen/>
        <w:t>1A</w:t>
      </w:r>
      <w:r w:rsidRPr="00F31BD6">
        <w:t xml:space="preserve"> to </w:t>
      </w:r>
      <w:r w:rsidRPr="00F31BD6">
        <w:rPr>
          <w:b/>
          <w:bCs/>
        </w:rPr>
        <w:t>22</w:t>
      </w:r>
      <w:r w:rsidRPr="00F31BD6">
        <w:rPr>
          <w:b/>
          <w:bCs/>
        </w:rPr>
        <w:noBreakHyphen/>
        <w:t>1E</w:t>
      </w:r>
      <w:r w:rsidRPr="00F31BD6">
        <w:t>, for all pointing directions towards the geostationary-satellite orbit.</w:t>
      </w:r>
      <w:r w:rsidRPr="00F31BD6">
        <w:rPr>
          <w:sz w:val="16"/>
          <w:szCs w:val="16"/>
        </w:rPr>
        <w:t>     (WRC</w:t>
      </w:r>
      <w:r w:rsidRPr="00F31BD6">
        <w:rPr>
          <w:sz w:val="16"/>
          <w:szCs w:val="16"/>
        </w:rPr>
        <w:noBreakHyphen/>
        <w:t>03)</w:t>
      </w:r>
    </w:p>
    <w:p w14:paraId="6D01FF1E" w14:textId="77777777" w:rsidR="004C2077" w:rsidRPr="00F31BD6" w:rsidRDefault="004C2077" w:rsidP="00E543D9">
      <w:pPr>
        <w:pStyle w:val="Headingb"/>
        <w:rPr>
          <w:lang w:val="en-GB"/>
        </w:rPr>
      </w:pPr>
      <w:r w:rsidRPr="00F31BD6">
        <w:rPr>
          <w:lang w:val="en-GB"/>
        </w:rPr>
        <w:t>Reasons:</w:t>
      </w:r>
    </w:p>
    <w:p w14:paraId="00A5142B" w14:textId="5D485F6D" w:rsidR="004C2077" w:rsidRPr="00F31BD6" w:rsidRDefault="004C2077" w:rsidP="004C2077">
      <w:r w:rsidRPr="00F31BD6">
        <w:t>Non-geostationary (non-GSO) satellite systems in the Ku- and Ka-bands are essential for providing Internet connectivity in previously inaccessible or regions that are costly to service. These satellites offer high-speed, low-latency broadband worldwide. Non-GSO systems depend on shared spectrum, a key ITU principle. However, current spectrum sharing rules in Article</w:t>
      </w:r>
      <w:r w:rsidR="00990D33" w:rsidRPr="00F31BD6">
        <w:t> </w:t>
      </w:r>
      <w:r w:rsidRPr="00F31BD6">
        <w:rPr>
          <w:b/>
          <w:bCs/>
        </w:rPr>
        <w:t>22</w:t>
      </w:r>
      <w:r w:rsidRPr="00F31BD6">
        <w:t xml:space="preserve"> of the Radio Regulations have deficiencies for some GSO and non-GSO systems.</w:t>
      </w:r>
    </w:p>
    <w:p w14:paraId="5803693F" w14:textId="596A648B" w:rsidR="004C2077" w:rsidRPr="00F31BD6" w:rsidRDefault="004C2077" w:rsidP="00E543D9">
      <w:r w:rsidRPr="00F31BD6">
        <w:t>Madagascar suggests a review of these issues and recommends potential new regulations for WRC</w:t>
      </w:r>
      <w:r w:rsidR="00990D33" w:rsidRPr="00F31BD6">
        <w:noBreakHyphen/>
      </w:r>
      <w:r w:rsidRPr="00F31BD6">
        <w:t>27.</w:t>
      </w:r>
    </w:p>
    <w:p w14:paraId="3A95603F" w14:textId="6ADCB1AD" w:rsidR="00401F65" w:rsidRPr="00F31BD6" w:rsidRDefault="004C2077" w:rsidP="004C2077">
      <w:r w:rsidRPr="00F31BD6">
        <w:rPr>
          <w:b/>
        </w:rPr>
        <w:t>22.5C</w:t>
      </w:r>
      <w:r w:rsidRPr="00F31BD6">
        <w:rPr>
          <w:b/>
        </w:rPr>
        <w:tab/>
      </w:r>
      <w:r w:rsidRPr="00F31BD6">
        <w:t>It is recommended that ITU endorses a future WRC</w:t>
      </w:r>
      <w:r w:rsidR="00990D33" w:rsidRPr="00F31BD6">
        <w:noBreakHyphen/>
      </w:r>
      <w:r w:rsidRPr="00F31BD6">
        <w:t>27 agenda item on the review of Article</w:t>
      </w:r>
      <w:r w:rsidR="00990D33" w:rsidRPr="00F31BD6">
        <w:t> </w:t>
      </w:r>
      <w:r w:rsidRPr="00F31BD6">
        <w:rPr>
          <w:b/>
          <w:bCs/>
        </w:rPr>
        <w:t>22</w:t>
      </w:r>
      <w:r w:rsidRPr="00F31BD6">
        <w:t xml:space="preserve"> </w:t>
      </w:r>
      <w:r w:rsidR="004C63B2" w:rsidRPr="00F31BD6">
        <w:t xml:space="preserve">epfd </w:t>
      </w:r>
      <w:r w:rsidRPr="00F31BD6">
        <w:t>limits in the Ku and Ka bands.</w:t>
      </w:r>
    </w:p>
    <w:p w14:paraId="043E1889" w14:textId="77777777" w:rsidR="004C2077" w:rsidRPr="00F31BD6" w:rsidRDefault="004C2077">
      <w:pPr>
        <w:pStyle w:val="Reasons"/>
      </w:pPr>
    </w:p>
    <w:p w14:paraId="4B452CB0" w14:textId="0E72F06A" w:rsidR="004C2077" w:rsidRDefault="004C2077" w:rsidP="004C2077">
      <w:pPr>
        <w:jc w:val="center"/>
      </w:pPr>
      <w:r w:rsidRPr="00F31BD6">
        <w:t>______________</w:t>
      </w:r>
    </w:p>
    <w:sectPr w:rsidR="004C207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63C6" w14:textId="77777777" w:rsidR="00861265" w:rsidRDefault="00861265">
      <w:r>
        <w:separator/>
      </w:r>
    </w:p>
  </w:endnote>
  <w:endnote w:type="continuationSeparator" w:id="0">
    <w:p w14:paraId="168B53B9" w14:textId="77777777" w:rsidR="00861265" w:rsidRDefault="0086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D7E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C9862C" w14:textId="0629AE6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3D9">
      <w:rPr>
        <w:noProof/>
      </w:rPr>
      <w:t>23.10.23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838F" w14:textId="3137653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63D1A">
      <w:rPr>
        <w:lang w:val="en-US"/>
      </w:rPr>
      <w:t>P:\ENG\ITU-R\CONF-R\CMR23\000\082E.doc</w:t>
    </w:r>
    <w:r>
      <w:fldChar w:fldCharType="end"/>
    </w:r>
    <w:r w:rsidR="00763D1A">
      <w:t xml:space="preserve"> (529851)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FAE0" w14:textId="38B2357E" w:rsidR="00763D1A" w:rsidRDefault="00F31BD6" w:rsidP="00763D1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63D1A">
      <w:t>P:\ENG\ITU-R\CONF-R\CMR23\000\082E.docx</w:t>
    </w:r>
    <w:r>
      <w:fldChar w:fldCharType="end"/>
    </w:r>
    <w:r w:rsidR="00763D1A">
      <w:t xml:space="preserve"> (529851)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03D8" w14:textId="77777777" w:rsidR="00861265" w:rsidRDefault="00861265">
      <w:r>
        <w:rPr>
          <w:b/>
        </w:rPr>
        <w:t>_______________</w:t>
      </w:r>
    </w:p>
  </w:footnote>
  <w:footnote w:type="continuationSeparator" w:id="0">
    <w:p w14:paraId="1EC10343" w14:textId="77777777" w:rsidR="00861265" w:rsidRDefault="0086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BE6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83BBB4E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0" w:name="OLE_LINK1"/>
    <w:bookmarkStart w:id="11" w:name="OLE_LINK2"/>
    <w:bookmarkStart w:id="12" w:name="OLE_LINK3"/>
    <w:r w:rsidR="00EB55C6">
      <w:t>82</w:t>
    </w:r>
    <w:bookmarkEnd w:id="10"/>
    <w:bookmarkEnd w:id="11"/>
    <w:bookmarkEnd w:id="12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A7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E2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ACE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E0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CC7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C4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A5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0B7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69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99074708">
    <w:abstractNumId w:val="8"/>
  </w:num>
  <w:num w:numId="2" w16cid:durableId="4975784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08018943">
    <w:abstractNumId w:val="9"/>
  </w:num>
  <w:num w:numId="4" w16cid:durableId="517542854">
    <w:abstractNumId w:val="7"/>
  </w:num>
  <w:num w:numId="5" w16cid:durableId="1548641078">
    <w:abstractNumId w:val="6"/>
  </w:num>
  <w:num w:numId="6" w16cid:durableId="1993099836">
    <w:abstractNumId w:val="5"/>
  </w:num>
  <w:num w:numId="7" w16cid:durableId="1259171192">
    <w:abstractNumId w:val="4"/>
  </w:num>
  <w:num w:numId="8" w16cid:durableId="139885431">
    <w:abstractNumId w:val="3"/>
  </w:num>
  <w:num w:numId="9" w16cid:durableId="313992344">
    <w:abstractNumId w:val="2"/>
  </w:num>
  <w:num w:numId="10" w16cid:durableId="201016071">
    <w:abstractNumId w:val="1"/>
  </w:num>
  <w:num w:numId="11" w16cid:durableId="14877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759A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415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02A8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01F65"/>
    <w:rsid w:val="0041348E"/>
    <w:rsid w:val="00420873"/>
    <w:rsid w:val="00492075"/>
    <w:rsid w:val="004969AD"/>
    <w:rsid w:val="004A26C4"/>
    <w:rsid w:val="004B13CB"/>
    <w:rsid w:val="004C2077"/>
    <w:rsid w:val="004C63B2"/>
    <w:rsid w:val="004D26EA"/>
    <w:rsid w:val="004D2BFB"/>
    <w:rsid w:val="004D5D5C"/>
    <w:rsid w:val="004F3DC0"/>
    <w:rsid w:val="0050139F"/>
    <w:rsid w:val="005074BD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63D1A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265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90D33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71DAE"/>
    <w:rsid w:val="00B817CD"/>
    <w:rsid w:val="00B81A7D"/>
    <w:rsid w:val="00B86F65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5866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26FED"/>
    <w:rsid w:val="00E45D05"/>
    <w:rsid w:val="00E50302"/>
    <w:rsid w:val="00E543D9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1BD6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E9D55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5866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90D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0D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0D3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0D33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R23-WRC23-C-0082!!MSW-E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A1D41-3F24-4738-8021-757E35A346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010108-66ED-473D-B796-24FC1CF9AA0C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3.xml><?xml version="1.0" encoding="utf-8"?>
<ds:datastoreItem xmlns:ds="http://schemas.openxmlformats.org/officeDocument/2006/customXml" ds:itemID="{EDE8D350-7881-4801-B7EA-93E9F4029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9DF8D-58D4-4C50-9AB2-F22F0E86BA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9B8AA-5302-4A8F-AF96-8DFAEA229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R23-WRC23-C-0082!!MSW-E</vt:lpstr>
    </vt:vector>
  </TitlesOfParts>
  <Manager>General Secretariat - Pool</Manager>
  <Company>International Telecommunication Union (ITU)</Company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R23-WRC23-C-0082!!MSW-E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7</cp:revision>
  <cp:lastPrinted>2017-02-10T08:23:00Z</cp:lastPrinted>
  <dcterms:created xsi:type="dcterms:W3CDTF">2023-10-23T15:13:00Z</dcterms:created>
  <dcterms:modified xsi:type="dcterms:W3CDTF">2023-10-24T09:30:00Z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