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485BEE9D" w14:textId="77777777" w:rsidTr="00752552">
        <w:trPr>
          <w:cantSplit/>
          <w:trHeight w:val="20"/>
        </w:trPr>
        <w:tc>
          <w:tcPr>
            <w:tcW w:w="1589" w:type="dxa"/>
            <w:vAlign w:val="center"/>
          </w:tcPr>
          <w:p w14:paraId="2B4C47C0" w14:textId="77777777" w:rsidR="00752552" w:rsidRPr="000D1EE4" w:rsidRDefault="00752552" w:rsidP="00752552">
            <w:pPr>
              <w:spacing w:before="0"/>
              <w:jc w:val="left"/>
              <w:rPr>
                <w:b/>
                <w:bCs/>
                <w:rtl/>
                <w:lang w:bidi="ar-EG"/>
              </w:rPr>
            </w:pPr>
            <w:r w:rsidRPr="000D1EE4">
              <w:rPr>
                <w:noProof/>
              </w:rPr>
              <w:drawing>
                <wp:inline distT="0" distB="0" distL="0" distR="0" wp14:anchorId="0AC13A2F" wp14:editId="31E1E66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86966E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E9E1AD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27973CA" w14:textId="77777777" w:rsidR="00752552" w:rsidRPr="000D1EE4" w:rsidRDefault="00752552" w:rsidP="00752552">
            <w:pPr>
              <w:jc w:val="right"/>
              <w:rPr>
                <w:rtl/>
                <w:lang w:bidi="ar-EG"/>
              </w:rPr>
            </w:pPr>
            <w:bookmarkStart w:id="0" w:name="ditulogo"/>
            <w:bookmarkEnd w:id="0"/>
            <w:r>
              <w:rPr>
                <w:noProof/>
              </w:rPr>
              <w:drawing>
                <wp:inline distT="0" distB="0" distL="0" distR="0" wp14:anchorId="4251DD22" wp14:editId="599D2CA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A33596C" w14:textId="77777777" w:rsidTr="00752552">
        <w:trPr>
          <w:cantSplit/>
          <w:trHeight w:val="20"/>
        </w:trPr>
        <w:tc>
          <w:tcPr>
            <w:tcW w:w="6696" w:type="dxa"/>
            <w:gridSpan w:val="2"/>
            <w:tcBorders>
              <w:bottom w:val="single" w:sz="12" w:space="0" w:color="auto"/>
            </w:tcBorders>
          </w:tcPr>
          <w:p w14:paraId="09DDDBE6" w14:textId="77777777" w:rsidR="000D1EE4" w:rsidRPr="000D1EE4" w:rsidRDefault="000D1EE4" w:rsidP="000D1EE4">
            <w:pPr>
              <w:rPr>
                <w:rtl/>
                <w:lang w:bidi="ar-EG"/>
              </w:rPr>
            </w:pPr>
          </w:p>
        </w:tc>
        <w:tc>
          <w:tcPr>
            <w:tcW w:w="2970" w:type="dxa"/>
            <w:gridSpan w:val="2"/>
            <w:tcBorders>
              <w:bottom w:val="single" w:sz="12" w:space="0" w:color="auto"/>
            </w:tcBorders>
          </w:tcPr>
          <w:p w14:paraId="1F49B862" w14:textId="77777777" w:rsidR="000D1EE4" w:rsidRPr="000D1EE4" w:rsidRDefault="000D1EE4" w:rsidP="000D1EE4">
            <w:pPr>
              <w:rPr>
                <w:lang w:val="en-GB" w:bidi="ar-EG"/>
              </w:rPr>
            </w:pPr>
          </w:p>
        </w:tc>
      </w:tr>
      <w:tr w:rsidR="000D1EE4" w:rsidRPr="000D1EE4" w14:paraId="488BE51C" w14:textId="77777777" w:rsidTr="00752552">
        <w:trPr>
          <w:cantSplit/>
          <w:trHeight w:val="20"/>
        </w:trPr>
        <w:tc>
          <w:tcPr>
            <w:tcW w:w="6696" w:type="dxa"/>
            <w:gridSpan w:val="2"/>
            <w:tcBorders>
              <w:top w:val="single" w:sz="12" w:space="0" w:color="auto"/>
            </w:tcBorders>
          </w:tcPr>
          <w:p w14:paraId="4EFA6B8F" w14:textId="77777777" w:rsidR="000D1EE4" w:rsidRPr="000D1EE4" w:rsidRDefault="000D1EE4" w:rsidP="000D1EE4">
            <w:pPr>
              <w:rPr>
                <w:b/>
                <w:bCs/>
                <w:rtl/>
                <w:lang w:bidi="ar-EG"/>
              </w:rPr>
            </w:pPr>
          </w:p>
        </w:tc>
        <w:tc>
          <w:tcPr>
            <w:tcW w:w="2970" w:type="dxa"/>
            <w:gridSpan w:val="2"/>
            <w:tcBorders>
              <w:top w:val="single" w:sz="12" w:space="0" w:color="auto"/>
            </w:tcBorders>
          </w:tcPr>
          <w:p w14:paraId="77FD394B" w14:textId="77777777" w:rsidR="000D1EE4" w:rsidRPr="000D1EE4" w:rsidRDefault="000D1EE4" w:rsidP="000D1EE4">
            <w:pPr>
              <w:rPr>
                <w:b/>
                <w:bCs/>
                <w:lang w:bidi="ar-EG"/>
              </w:rPr>
            </w:pPr>
          </w:p>
        </w:tc>
      </w:tr>
      <w:tr w:rsidR="000D1EE4" w:rsidRPr="000D1EE4" w14:paraId="725275A4" w14:textId="77777777" w:rsidTr="00752552">
        <w:trPr>
          <w:cantSplit/>
        </w:trPr>
        <w:tc>
          <w:tcPr>
            <w:tcW w:w="6696" w:type="dxa"/>
            <w:gridSpan w:val="2"/>
          </w:tcPr>
          <w:p w14:paraId="39E14E8B" w14:textId="77777777" w:rsidR="000D1EE4" w:rsidRPr="00AB1A93" w:rsidRDefault="00E50850" w:rsidP="000D1EE4">
            <w:pPr>
              <w:spacing w:before="60" w:after="60" w:line="260" w:lineRule="exact"/>
              <w:rPr>
                <w:b/>
                <w:bCs/>
                <w:rtl/>
                <w:lang w:bidi="ar-EG"/>
              </w:rPr>
            </w:pPr>
            <w:r w:rsidRPr="00AB1A93">
              <w:rPr>
                <w:b/>
                <w:bCs/>
                <w:rtl/>
                <w:lang w:bidi="ar-EG"/>
              </w:rPr>
              <w:t>الجلسة العامة</w:t>
            </w:r>
          </w:p>
        </w:tc>
        <w:tc>
          <w:tcPr>
            <w:tcW w:w="2970" w:type="dxa"/>
            <w:gridSpan w:val="2"/>
          </w:tcPr>
          <w:p w14:paraId="138F0F81" w14:textId="77777777" w:rsidR="000D1EE4" w:rsidRPr="00AB1A93" w:rsidRDefault="00E50850" w:rsidP="000D1EE4">
            <w:pPr>
              <w:spacing w:before="60" w:after="60" w:line="260" w:lineRule="exact"/>
              <w:rPr>
                <w:b/>
                <w:bCs/>
                <w:rtl/>
                <w:lang w:bidi="ar-EG"/>
              </w:rPr>
            </w:pPr>
            <w:r w:rsidRPr="00AB1A93">
              <w:rPr>
                <w:rFonts w:eastAsia="SimSun"/>
                <w:b/>
                <w:bCs/>
                <w:rtl/>
                <w:lang w:bidi="ar-EG"/>
              </w:rPr>
              <w:t xml:space="preserve">الوثيقة </w:t>
            </w:r>
            <w:r w:rsidRPr="00AB1A93">
              <w:rPr>
                <w:rFonts w:eastAsia="SimSun"/>
                <w:b/>
                <w:bCs/>
              </w:rPr>
              <w:t>82-A</w:t>
            </w:r>
          </w:p>
        </w:tc>
      </w:tr>
      <w:tr w:rsidR="000D1EE4" w:rsidRPr="000D1EE4" w14:paraId="44388CA1" w14:textId="77777777" w:rsidTr="00752552">
        <w:trPr>
          <w:cantSplit/>
        </w:trPr>
        <w:tc>
          <w:tcPr>
            <w:tcW w:w="6696" w:type="dxa"/>
            <w:gridSpan w:val="2"/>
          </w:tcPr>
          <w:p w14:paraId="6078141B" w14:textId="77777777" w:rsidR="000D1EE4" w:rsidRPr="00AB1A93" w:rsidRDefault="000D1EE4" w:rsidP="000D1EE4">
            <w:pPr>
              <w:spacing w:before="60" w:after="60" w:line="260" w:lineRule="exact"/>
              <w:rPr>
                <w:b/>
                <w:bCs/>
                <w:rtl/>
                <w:lang w:bidi="ar-EG"/>
              </w:rPr>
            </w:pPr>
          </w:p>
        </w:tc>
        <w:tc>
          <w:tcPr>
            <w:tcW w:w="2970" w:type="dxa"/>
            <w:gridSpan w:val="2"/>
          </w:tcPr>
          <w:p w14:paraId="79A82FA4" w14:textId="77777777" w:rsidR="000D1EE4" w:rsidRPr="00AB1A93" w:rsidRDefault="00E50850" w:rsidP="000D1EE4">
            <w:pPr>
              <w:spacing w:before="60" w:after="60" w:line="260" w:lineRule="exact"/>
              <w:rPr>
                <w:b/>
                <w:bCs/>
                <w:rtl/>
                <w:lang w:bidi="ar-EG"/>
              </w:rPr>
            </w:pPr>
            <w:r w:rsidRPr="00AB1A93">
              <w:rPr>
                <w:rFonts w:eastAsia="SimSun"/>
                <w:b/>
                <w:bCs/>
              </w:rPr>
              <w:t>20</w:t>
            </w:r>
            <w:r w:rsidRPr="00AB1A93">
              <w:rPr>
                <w:rFonts w:eastAsia="SimSun"/>
                <w:b/>
                <w:bCs/>
                <w:rtl/>
              </w:rPr>
              <w:t xml:space="preserve"> أكتوبر </w:t>
            </w:r>
            <w:r w:rsidRPr="00AB1A93">
              <w:rPr>
                <w:rFonts w:eastAsia="SimSun"/>
                <w:b/>
                <w:bCs/>
              </w:rPr>
              <w:t>2023</w:t>
            </w:r>
          </w:p>
        </w:tc>
      </w:tr>
      <w:tr w:rsidR="000D1EE4" w:rsidRPr="000D1EE4" w14:paraId="21F03A86" w14:textId="77777777" w:rsidTr="00752552">
        <w:trPr>
          <w:cantSplit/>
        </w:trPr>
        <w:tc>
          <w:tcPr>
            <w:tcW w:w="6696" w:type="dxa"/>
            <w:gridSpan w:val="2"/>
          </w:tcPr>
          <w:p w14:paraId="4877E59D" w14:textId="77777777" w:rsidR="000D1EE4" w:rsidRPr="00AB1A93" w:rsidRDefault="000D1EE4" w:rsidP="000D1EE4">
            <w:pPr>
              <w:spacing w:before="60" w:after="60" w:line="260" w:lineRule="exact"/>
              <w:rPr>
                <w:b/>
                <w:bCs/>
                <w:rtl/>
                <w:lang w:bidi="ar-EG"/>
              </w:rPr>
            </w:pPr>
          </w:p>
        </w:tc>
        <w:tc>
          <w:tcPr>
            <w:tcW w:w="2970" w:type="dxa"/>
            <w:gridSpan w:val="2"/>
          </w:tcPr>
          <w:p w14:paraId="3AB08BCE" w14:textId="77777777" w:rsidR="000D1EE4" w:rsidRPr="00AB1A93" w:rsidRDefault="00E50850" w:rsidP="000D1EE4">
            <w:pPr>
              <w:spacing w:before="60" w:after="60" w:line="260" w:lineRule="exact"/>
              <w:rPr>
                <w:b/>
                <w:bCs/>
                <w:lang w:bidi="ar-EG"/>
              </w:rPr>
            </w:pPr>
            <w:r w:rsidRPr="00AB1A93">
              <w:rPr>
                <w:b/>
                <w:bCs/>
                <w:rtl/>
                <w:lang w:bidi="ar-EG"/>
              </w:rPr>
              <w:t>الأصل: بالإنكليزية</w:t>
            </w:r>
          </w:p>
        </w:tc>
      </w:tr>
      <w:tr w:rsidR="000D1EE4" w:rsidRPr="000D1EE4" w14:paraId="1E11B48E" w14:textId="77777777" w:rsidTr="00752552">
        <w:trPr>
          <w:cantSplit/>
        </w:trPr>
        <w:tc>
          <w:tcPr>
            <w:tcW w:w="9666" w:type="dxa"/>
            <w:gridSpan w:val="4"/>
          </w:tcPr>
          <w:p w14:paraId="1801F49C" w14:textId="77777777" w:rsidR="000D1EE4" w:rsidRPr="000D1EE4" w:rsidRDefault="000D1EE4" w:rsidP="000D1EE4">
            <w:pPr>
              <w:rPr>
                <w:b/>
                <w:bCs/>
                <w:lang w:bidi="ar-EG"/>
              </w:rPr>
            </w:pPr>
          </w:p>
        </w:tc>
      </w:tr>
      <w:tr w:rsidR="000D1EE4" w:rsidRPr="000D1EE4" w14:paraId="7BD855F4" w14:textId="77777777" w:rsidTr="00752552">
        <w:trPr>
          <w:cantSplit/>
        </w:trPr>
        <w:tc>
          <w:tcPr>
            <w:tcW w:w="9666" w:type="dxa"/>
            <w:gridSpan w:val="4"/>
          </w:tcPr>
          <w:p w14:paraId="284861B0" w14:textId="77777777" w:rsidR="000D1EE4" w:rsidRPr="000D1EE4" w:rsidRDefault="000D1EE4" w:rsidP="000D1EE4">
            <w:pPr>
              <w:pStyle w:val="Source"/>
              <w:rPr>
                <w:rtl/>
                <w:lang w:bidi="ar-SA"/>
              </w:rPr>
            </w:pPr>
            <w:r w:rsidRPr="000D1EE4">
              <w:rPr>
                <w:rtl/>
              </w:rPr>
              <w:t>جمهورية مدغشقر</w:t>
            </w:r>
          </w:p>
        </w:tc>
      </w:tr>
      <w:tr w:rsidR="000D1EE4" w:rsidRPr="000D1EE4" w14:paraId="377A8E03" w14:textId="77777777" w:rsidTr="00752552">
        <w:trPr>
          <w:cantSplit/>
        </w:trPr>
        <w:tc>
          <w:tcPr>
            <w:tcW w:w="9666" w:type="dxa"/>
            <w:gridSpan w:val="4"/>
          </w:tcPr>
          <w:p w14:paraId="35667A9C" w14:textId="3C4A287F" w:rsidR="000D1EE4" w:rsidRPr="000D1EE4" w:rsidRDefault="00AB1A93" w:rsidP="000D1EE4">
            <w:pPr>
              <w:pStyle w:val="Title1"/>
              <w:rPr>
                <w:rtl/>
                <w:lang w:bidi="ar-SY"/>
              </w:rPr>
            </w:pPr>
            <w:r>
              <w:rPr>
                <w:rFonts w:hint="cs"/>
                <w:rtl/>
                <w:lang w:bidi="ar-SY"/>
              </w:rPr>
              <w:t>مقترحات بشأن أعمال المؤتمر</w:t>
            </w:r>
          </w:p>
        </w:tc>
      </w:tr>
      <w:tr w:rsidR="000D1EE4" w:rsidRPr="000D1EE4" w14:paraId="6106DC8A" w14:textId="77777777" w:rsidTr="00752552">
        <w:trPr>
          <w:cantSplit/>
        </w:trPr>
        <w:tc>
          <w:tcPr>
            <w:tcW w:w="9666" w:type="dxa"/>
            <w:gridSpan w:val="4"/>
          </w:tcPr>
          <w:p w14:paraId="73A6CCAC" w14:textId="77777777" w:rsidR="000D1EE4" w:rsidRPr="000D1EE4" w:rsidRDefault="000D1EE4" w:rsidP="000D1EE4">
            <w:pPr>
              <w:pStyle w:val="Title2"/>
              <w:rPr>
                <w:rtl/>
              </w:rPr>
            </w:pPr>
          </w:p>
        </w:tc>
      </w:tr>
      <w:tr w:rsidR="00E50850" w:rsidRPr="000D1EE4" w14:paraId="585D6DE5" w14:textId="77777777" w:rsidTr="00752552">
        <w:trPr>
          <w:cantSplit/>
        </w:trPr>
        <w:tc>
          <w:tcPr>
            <w:tcW w:w="9666" w:type="dxa"/>
            <w:gridSpan w:val="4"/>
          </w:tcPr>
          <w:p w14:paraId="5F47964A" w14:textId="466DCA78" w:rsidR="00E50850" w:rsidRPr="00AB1A93" w:rsidRDefault="00E50850" w:rsidP="00E50850">
            <w:pPr>
              <w:pStyle w:val="Agendaitem"/>
              <w:rPr>
                <w:lang w:val="en-US" w:bidi="ar-SY"/>
              </w:rPr>
            </w:pPr>
            <w:r>
              <w:rPr>
                <w:rtl/>
              </w:rPr>
              <w:t>بند جدول الأعمال</w:t>
            </w:r>
            <w:r w:rsidR="00AB1A93">
              <w:rPr>
                <w:rFonts w:hint="cs"/>
                <w:rtl/>
                <w:lang w:bidi="ar-SY"/>
              </w:rPr>
              <w:t xml:space="preserve"> </w:t>
            </w:r>
            <w:r w:rsidR="00AB1A93">
              <w:rPr>
                <w:lang w:val="en-US" w:bidi="ar-SY"/>
              </w:rPr>
              <w:t>10</w:t>
            </w:r>
          </w:p>
        </w:tc>
      </w:tr>
    </w:tbl>
    <w:p w14:paraId="1EDEE1AD" w14:textId="7FF04490" w:rsidR="00C45930" w:rsidRPr="007579F6" w:rsidRDefault="000D04D9" w:rsidP="00CF47D7">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6784724D" w14:textId="77777777" w:rsidR="004C67F1" w:rsidRDefault="004C67F1" w:rsidP="00CF47D7">
      <w:pPr>
        <w:tabs>
          <w:tab w:val="clear" w:pos="1134"/>
          <w:tab w:val="clear" w:pos="1871"/>
          <w:tab w:val="clear" w:pos="2268"/>
        </w:tabs>
        <w:spacing w:before="0" w:line="240" w:lineRule="auto"/>
        <w:jc w:val="left"/>
        <w:rPr>
          <w:rtl/>
          <w:lang w:val="en-GB" w:bidi="ar-EG"/>
        </w:rPr>
      </w:pPr>
      <w:r>
        <w:rPr>
          <w:rtl/>
          <w:lang w:val="en-GB" w:bidi="ar-EG"/>
        </w:rPr>
        <w:br w:type="page"/>
      </w:r>
    </w:p>
    <w:p w14:paraId="40BC73C7" w14:textId="77777777" w:rsidR="00A9688F" w:rsidRDefault="000D04D9">
      <w:pPr>
        <w:pStyle w:val="Proposal"/>
      </w:pPr>
      <w:r>
        <w:lastRenderedPageBreak/>
        <w:tab/>
        <w:t>MDG/82/1</w:t>
      </w:r>
    </w:p>
    <w:p w14:paraId="1264C09A" w14:textId="77777777" w:rsidR="00D9665F" w:rsidRDefault="002160EC" w:rsidP="00D9665F">
      <w:pPr>
        <w:pStyle w:val="ArtNo"/>
        <w:spacing w:before="0"/>
        <w:rPr>
          <w:rtl/>
        </w:rPr>
      </w:pPr>
      <w:bookmarkStart w:id="1" w:name="_Toc454442739"/>
      <w:bookmarkStart w:id="2" w:name="_Toc331055772"/>
      <w:r>
        <w:rPr>
          <w:rtl/>
        </w:rPr>
        <w:t xml:space="preserve">المـادة </w:t>
      </w:r>
      <w:r>
        <w:rPr>
          <w:rStyle w:val="href"/>
        </w:rPr>
        <w:t>22</w:t>
      </w:r>
      <w:bookmarkEnd w:id="1"/>
      <w:bookmarkEnd w:id="2"/>
    </w:p>
    <w:p w14:paraId="3E3D94AF" w14:textId="77777777" w:rsidR="00D9665F" w:rsidRDefault="002160EC" w:rsidP="00D9665F">
      <w:pPr>
        <w:pStyle w:val="Arttitle"/>
        <w:rPr>
          <w:rtl/>
        </w:rPr>
      </w:pPr>
      <w:bookmarkStart w:id="3" w:name="_Toc331055773"/>
      <w:bookmarkStart w:id="4" w:name="_Toc454442740"/>
      <w:r>
        <w:rPr>
          <w:b w:val="0"/>
          <w:rtl/>
        </w:rPr>
        <w:t>الخدمات الفضائية</w:t>
      </w:r>
      <w:bookmarkEnd w:id="3"/>
      <w:bookmarkEnd w:id="4"/>
      <w:r w:rsidR="00B111FF" w:rsidRPr="00B111FF">
        <w:rPr>
          <w:rStyle w:val="FootnoteReference"/>
          <w:bCs w:val="0"/>
          <w:rtl/>
        </w:rPr>
        <w:t>1</w:t>
      </w:r>
    </w:p>
    <w:p w14:paraId="5B7DD504"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w:t>
      </w:r>
      <w:proofErr w:type="spellStart"/>
      <w:r>
        <w:rPr>
          <w:rFonts w:hint="cs"/>
          <w:rtl/>
        </w:rPr>
        <w:t>السواتل</w:t>
      </w:r>
      <w:proofErr w:type="spellEnd"/>
      <w:r>
        <w:rPr>
          <w:rFonts w:hint="cs"/>
          <w:rtl/>
        </w:rPr>
        <w:t xml:space="preserve"> المستقرة بالنسبة إلى الأرض</w:t>
      </w:r>
    </w:p>
    <w:p w14:paraId="0561D352" w14:textId="77777777" w:rsidR="00D9665F" w:rsidRDefault="002160EC" w:rsidP="00D9665F">
      <w:pPr>
        <w:rPr>
          <w:spacing w:val="-2"/>
          <w:sz w:val="16"/>
          <w:rtl/>
        </w:rPr>
      </w:pPr>
      <w:r>
        <w:rPr>
          <w:rStyle w:val="Artdef"/>
          <w:spacing w:val="-2"/>
        </w:rPr>
        <w:t>5C.22</w:t>
      </w:r>
      <w:r>
        <w:rPr>
          <w:spacing w:val="-2"/>
          <w:rtl/>
        </w:rPr>
        <w:tab/>
        <w:t xml:space="preserve">البند </w:t>
      </w:r>
      <w:r>
        <w:rPr>
          <w:spacing w:val="-2"/>
        </w:rPr>
        <w:t>6</w:t>
      </w:r>
      <w:r>
        <w:rPr>
          <w:spacing w:val="-2"/>
          <w:rtl/>
        </w:rPr>
        <w:tab/>
      </w:r>
      <w:r>
        <w:rPr>
          <w:spacing w:val="-2"/>
        </w:rPr>
        <w:t>(1</w:t>
      </w:r>
      <w:r>
        <w:rPr>
          <w:spacing w:val="-2"/>
          <w:rtl/>
        </w:rPr>
        <w:tab/>
        <w:t>إن كثافة تدفق القدرة المكافئة</w:t>
      </w:r>
      <w:r w:rsidR="00B111FF">
        <w:rPr>
          <w:rStyle w:val="FootnoteReference"/>
          <w:spacing w:val="-2"/>
          <w:rtl/>
        </w:rPr>
        <w:t>2</w:t>
      </w:r>
      <w:r>
        <w:rPr>
          <w:spacing w:val="-2"/>
          <w:rtl/>
        </w:rPr>
        <w:t xml:space="preserve"> </w:t>
      </w:r>
      <w:r>
        <w:rPr>
          <w:spacing w:val="-2"/>
        </w:rPr>
        <w:t>(</w:t>
      </w:r>
      <w:proofErr w:type="spellStart"/>
      <w:r>
        <w:rPr>
          <w:spacing w:val="-2"/>
        </w:rPr>
        <w:t>epfd</w:t>
      </w:r>
      <w:proofErr w:type="spellEnd"/>
      <w:r>
        <w:rPr>
          <w:spacing w:val="-2"/>
          <w:vertAlign w:val="subscript"/>
        </w:rPr>
        <w:sym w:font="Symbol" w:char="F0AF"/>
      </w:r>
      <w:r>
        <w:rPr>
          <w:spacing w:val="-2"/>
        </w:rPr>
        <w:t>)</w:t>
      </w:r>
      <w:r>
        <w:rPr>
          <w:spacing w:val="-2"/>
          <w:rtl/>
        </w:rPr>
        <w:t xml:space="preserve">، عند أي نقطة من سطح الأرض مرئية من مدار </w:t>
      </w:r>
      <w:proofErr w:type="spellStart"/>
      <w:r>
        <w:rPr>
          <w:spacing w:val="-2"/>
          <w:rtl/>
        </w:rPr>
        <w:t>السواتل</w:t>
      </w:r>
      <w:proofErr w:type="spellEnd"/>
      <w:r>
        <w:rPr>
          <w:spacing w:val="-2"/>
          <w:rtl/>
        </w:rPr>
        <w:t xml:space="preserve"> المستقرة بالنسبة إلى الأرض، والناتجة عن إرسالات من جميع المحطات الفضائية لنظام سواتل غير مستقرة بالنسبة إلى الأرض عامل في الخدمة الثابتة الساتلية في نطاقات التردد المدرجة في الجداول من </w:t>
      </w:r>
      <w:r>
        <w:rPr>
          <w:b/>
          <w:bCs/>
          <w:spacing w:val="-2"/>
        </w:rPr>
        <w:t>1A-22</w:t>
      </w:r>
      <w:r>
        <w:rPr>
          <w:spacing w:val="-2"/>
          <w:rtl/>
        </w:rPr>
        <w:t xml:space="preserve"> إلى </w:t>
      </w:r>
      <w:r>
        <w:rPr>
          <w:b/>
          <w:bCs/>
          <w:spacing w:val="-2"/>
        </w:rPr>
        <w:t>1E-22</w:t>
      </w:r>
      <w:r>
        <w:rPr>
          <w:spacing w:val="-2"/>
          <w:rtl/>
        </w:rPr>
        <w:t xml:space="preserve">، بما في ذلك الإرسالات الصادرة من ساتل عاكس، في جميع الظروف ولجميع طرائق التشكيل، يجب ألا تتجاوز الحدود المذكورة في الجداول من </w:t>
      </w:r>
      <w:r>
        <w:rPr>
          <w:b/>
          <w:bCs/>
          <w:spacing w:val="-2"/>
        </w:rPr>
        <w:t>1A-22</w:t>
      </w:r>
      <w:r>
        <w:rPr>
          <w:spacing w:val="-2"/>
          <w:rtl/>
        </w:rPr>
        <w:t xml:space="preserve"> إلى </w:t>
      </w:r>
      <w:r>
        <w:rPr>
          <w:b/>
          <w:bCs/>
          <w:spacing w:val="-2"/>
        </w:rPr>
        <w:t>1E-22</w:t>
      </w:r>
      <w:r>
        <w:rPr>
          <w:spacing w:val="-2"/>
          <w:rtl/>
        </w:rPr>
        <w:t xml:space="preserve"> خلال النسب المئوية المحددة من الوقت. وتتعلق هذه الحدود بكثافة تدفق القدرة المكافئة التي يمكن الحصول عليها عندما تسود ظروف الانتشار في الفضاء الحر، وهي تنطبق في حالة هوائي مرجعي وعرض النطاق المرجعي المحدد في الجداول من </w:t>
      </w:r>
      <w:r>
        <w:rPr>
          <w:b/>
          <w:bCs/>
          <w:spacing w:val="-2"/>
        </w:rPr>
        <w:t>1A-22</w:t>
      </w:r>
      <w:r>
        <w:rPr>
          <w:spacing w:val="-2"/>
          <w:rtl/>
        </w:rPr>
        <w:t xml:space="preserve"> إلى </w:t>
      </w:r>
      <w:r>
        <w:rPr>
          <w:b/>
          <w:bCs/>
          <w:spacing w:val="-2"/>
        </w:rPr>
        <w:t>1E-22</w:t>
      </w:r>
      <w:r>
        <w:rPr>
          <w:spacing w:val="-2"/>
          <w:rtl/>
        </w:rPr>
        <w:t xml:space="preserve"> في جميع اتجاهات التسديد نحو مدار </w:t>
      </w:r>
      <w:proofErr w:type="spellStart"/>
      <w:r>
        <w:rPr>
          <w:spacing w:val="-2"/>
          <w:rtl/>
        </w:rPr>
        <w:t>السواتل</w:t>
      </w:r>
      <w:proofErr w:type="spellEnd"/>
      <w:r>
        <w:rPr>
          <w:spacing w:val="-2"/>
          <w:rtl/>
        </w:rPr>
        <w:t xml:space="preserve"> المستقرة بالنسبة إلى </w:t>
      </w:r>
      <w:proofErr w:type="gramStart"/>
      <w:r>
        <w:rPr>
          <w:spacing w:val="-2"/>
          <w:rtl/>
        </w:rPr>
        <w:t>الأرض.</w:t>
      </w:r>
      <w:r>
        <w:rPr>
          <w:spacing w:val="-2"/>
          <w:sz w:val="16"/>
          <w:szCs w:val="16"/>
        </w:rPr>
        <w:t>(</w:t>
      </w:r>
      <w:proofErr w:type="gramEnd"/>
      <w:r>
        <w:rPr>
          <w:spacing w:val="-2"/>
          <w:sz w:val="16"/>
          <w:szCs w:val="16"/>
        </w:rPr>
        <w:t>WRC-03)    </w:t>
      </w:r>
    </w:p>
    <w:p w14:paraId="14F4B49A" w14:textId="61CD6DDC" w:rsidR="00A9688F" w:rsidRDefault="000656EC" w:rsidP="000656EC">
      <w:pPr>
        <w:pStyle w:val="Headingb"/>
        <w:rPr>
          <w:rtl/>
          <w:lang w:val="en-GB"/>
        </w:rPr>
      </w:pPr>
      <w:r>
        <w:rPr>
          <w:rFonts w:hint="cs"/>
          <w:rtl/>
          <w:lang w:val="en-GB"/>
        </w:rPr>
        <w:t>الأسباب:</w:t>
      </w:r>
    </w:p>
    <w:p w14:paraId="245B5FB4" w14:textId="1D541FAC" w:rsidR="000D04D9" w:rsidRDefault="00D37547" w:rsidP="00D14916">
      <w:pPr>
        <w:rPr>
          <w:rtl/>
          <w:lang w:val="en-GB"/>
        </w:rPr>
      </w:pPr>
      <w:r w:rsidRPr="00D37547">
        <w:rPr>
          <w:rtl/>
          <w:lang w:val="en-GB"/>
        </w:rPr>
        <w:t xml:space="preserve">الأنظمة </w:t>
      </w:r>
      <w:proofErr w:type="spellStart"/>
      <w:r w:rsidRPr="00D37547">
        <w:rPr>
          <w:rtl/>
          <w:lang w:val="en-GB"/>
        </w:rPr>
        <w:t>الساتلية</w:t>
      </w:r>
      <w:proofErr w:type="spellEnd"/>
      <w:r w:rsidRPr="00D37547">
        <w:rPr>
          <w:rtl/>
          <w:lang w:val="en-GB"/>
        </w:rPr>
        <w:t xml:space="preserve"> غير المستقرة بالنسبة إلى الأرض</w:t>
      </w:r>
      <w:r>
        <w:rPr>
          <w:rFonts w:hint="cs"/>
          <w:rtl/>
          <w:lang w:val="en-GB"/>
        </w:rPr>
        <w:t xml:space="preserve"> </w:t>
      </w:r>
      <w:r w:rsidRPr="006062DA">
        <w:rPr>
          <w:rFonts w:hint="cs"/>
          <w:rtl/>
          <w:lang w:val="en-GB"/>
        </w:rPr>
        <w:t xml:space="preserve">في </w:t>
      </w:r>
      <w:r w:rsidRPr="006062DA">
        <w:rPr>
          <w:rtl/>
          <w:lang w:val="en-GB"/>
        </w:rPr>
        <w:t xml:space="preserve">النطاقين </w:t>
      </w:r>
      <w:r w:rsidRPr="006062DA">
        <w:rPr>
          <w:lang w:val="en-GB"/>
        </w:rPr>
        <w:t>Ku</w:t>
      </w:r>
      <w:r w:rsidRPr="006062DA">
        <w:rPr>
          <w:rtl/>
          <w:lang w:val="en-GB"/>
        </w:rPr>
        <w:t xml:space="preserve"> و</w:t>
      </w:r>
      <w:r w:rsidRPr="006062DA">
        <w:rPr>
          <w:lang w:val="en-GB"/>
        </w:rPr>
        <w:t>Ka</w:t>
      </w:r>
      <w:r>
        <w:rPr>
          <w:rFonts w:hint="cs"/>
          <w:rtl/>
          <w:lang w:val="en-GB"/>
        </w:rPr>
        <w:t xml:space="preserve"> أساسية في إتاحة توصيلية الإنترنت في مناطق </w:t>
      </w:r>
      <w:r w:rsidRPr="00D37547">
        <w:rPr>
          <w:rtl/>
          <w:lang w:val="en-GB"/>
        </w:rPr>
        <w:t>لم يكن من الممكن الوصول إليها سابق</w:t>
      </w:r>
      <w:r>
        <w:rPr>
          <w:rFonts w:hint="cs"/>
          <w:rtl/>
          <w:lang w:val="en-GB"/>
        </w:rPr>
        <w:t>اً</w:t>
      </w:r>
      <w:r>
        <w:rPr>
          <w:rtl/>
          <w:lang w:val="en-GB"/>
        </w:rPr>
        <w:t xml:space="preserve"> أو </w:t>
      </w:r>
      <w:r w:rsidRPr="00D37547">
        <w:rPr>
          <w:rtl/>
          <w:lang w:val="en-GB"/>
        </w:rPr>
        <w:t xml:space="preserve">مناطق تكون </w:t>
      </w:r>
      <w:r w:rsidR="00D14916" w:rsidRPr="00D37547">
        <w:rPr>
          <w:rtl/>
          <w:lang w:val="en-GB"/>
        </w:rPr>
        <w:t xml:space="preserve">فيها </w:t>
      </w:r>
      <w:r w:rsidRPr="00D37547">
        <w:rPr>
          <w:rtl/>
          <w:lang w:val="en-GB"/>
        </w:rPr>
        <w:t>الخدمة مكلفة</w:t>
      </w:r>
      <w:r>
        <w:rPr>
          <w:rFonts w:hint="cs"/>
          <w:rtl/>
          <w:lang w:val="en-GB"/>
        </w:rPr>
        <w:t>.</w:t>
      </w:r>
      <w:r w:rsidRPr="00D37547">
        <w:rPr>
          <w:rtl/>
        </w:rPr>
        <w:t xml:space="preserve"> </w:t>
      </w:r>
      <w:r>
        <w:rPr>
          <w:rFonts w:hint="cs"/>
          <w:rtl/>
          <w:lang w:val="en-GB"/>
        </w:rPr>
        <w:t>وتتيح</w:t>
      </w:r>
      <w:r w:rsidRPr="00D37547">
        <w:rPr>
          <w:rtl/>
          <w:lang w:val="en-GB"/>
        </w:rPr>
        <w:t xml:space="preserve"> هذه </w:t>
      </w:r>
      <w:proofErr w:type="spellStart"/>
      <w:r>
        <w:rPr>
          <w:rFonts w:hint="cs"/>
          <w:rtl/>
          <w:lang w:val="en-GB"/>
        </w:rPr>
        <w:t>السواتل</w:t>
      </w:r>
      <w:proofErr w:type="spellEnd"/>
      <w:r>
        <w:rPr>
          <w:rFonts w:hint="cs"/>
          <w:rtl/>
          <w:lang w:val="en-GB"/>
        </w:rPr>
        <w:t xml:space="preserve"> </w:t>
      </w:r>
      <w:r>
        <w:rPr>
          <w:rtl/>
          <w:lang w:val="en-GB"/>
        </w:rPr>
        <w:t>نطاق</w:t>
      </w:r>
      <w:r w:rsidRPr="00D37547">
        <w:rPr>
          <w:rtl/>
          <w:lang w:val="en-GB"/>
        </w:rPr>
        <w:t>ا</w:t>
      </w:r>
      <w:r>
        <w:rPr>
          <w:rFonts w:hint="cs"/>
          <w:rtl/>
          <w:lang w:val="en-GB"/>
        </w:rPr>
        <w:t>ً</w:t>
      </w:r>
      <w:r>
        <w:rPr>
          <w:rtl/>
          <w:lang w:val="en-GB"/>
        </w:rPr>
        <w:t xml:space="preserve"> عريض</w:t>
      </w:r>
      <w:r w:rsidRPr="00D37547">
        <w:rPr>
          <w:rtl/>
          <w:lang w:val="en-GB"/>
        </w:rPr>
        <w:t>ا</w:t>
      </w:r>
      <w:r>
        <w:rPr>
          <w:rFonts w:hint="cs"/>
          <w:rtl/>
          <w:lang w:val="en-GB"/>
        </w:rPr>
        <w:t>ً</w:t>
      </w:r>
      <w:r w:rsidRPr="00D37547">
        <w:rPr>
          <w:rtl/>
          <w:lang w:val="en-GB"/>
        </w:rPr>
        <w:t xml:space="preserve"> عالي السرعة ومنخفض الكمون في جميع أنحاء العالم. </w:t>
      </w:r>
      <w:r>
        <w:rPr>
          <w:rFonts w:hint="cs"/>
          <w:rtl/>
          <w:lang w:val="en-GB"/>
        </w:rPr>
        <w:t>و</w:t>
      </w:r>
      <w:r w:rsidRPr="00D37547">
        <w:rPr>
          <w:rtl/>
          <w:lang w:val="en-GB"/>
        </w:rPr>
        <w:t>تعتمد الأنظمة غير المستقرة بالنسب</w:t>
      </w:r>
      <w:r>
        <w:rPr>
          <w:rtl/>
          <w:lang w:val="en-GB"/>
        </w:rPr>
        <w:t xml:space="preserve">ة إلى الأرض على طيف </w:t>
      </w:r>
      <w:r w:rsidRPr="00D37547">
        <w:rPr>
          <w:rtl/>
          <w:lang w:val="en-GB"/>
        </w:rPr>
        <w:t xml:space="preserve">مشترك، وهو مبدأ أساسي للاتحاد. ومع ذلك، </w:t>
      </w:r>
      <w:r>
        <w:rPr>
          <w:rFonts w:hint="cs"/>
          <w:rtl/>
          <w:lang w:val="en-GB"/>
        </w:rPr>
        <w:t>تشوب</w:t>
      </w:r>
      <w:r w:rsidRPr="00D37547">
        <w:rPr>
          <w:rtl/>
          <w:lang w:val="en-GB"/>
        </w:rPr>
        <w:t xml:space="preserve"> قواعد تقاسم الطيف الحالية </w:t>
      </w:r>
      <w:r>
        <w:rPr>
          <w:rFonts w:hint="cs"/>
          <w:rtl/>
          <w:lang w:val="en-GB"/>
        </w:rPr>
        <w:t xml:space="preserve">المنصوص عليها </w:t>
      </w:r>
      <w:r w:rsidRPr="00D37547">
        <w:rPr>
          <w:rtl/>
          <w:lang w:val="en-GB"/>
        </w:rPr>
        <w:t xml:space="preserve">في المادة 22 من لوائح الراديو أوجه قصور </w:t>
      </w:r>
      <w:r>
        <w:rPr>
          <w:rFonts w:hint="cs"/>
          <w:rtl/>
          <w:lang w:val="en-GB"/>
        </w:rPr>
        <w:t>فيما يتعلق</w:t>
      </w:r>
      <w:r>
        <w:rPr>
          <w:rtl/>
          <w:lang w:val="en-GB"/>
        </w:rPr>
        <w:t xml:space="preserve"> </w:t>
      </w:r>
      <w:r>
        <w:rPr>
          <w:rFonts w:hint="cs"/>
          <w:rtl/>
          <w:lang w:val="en-GB"/>
        </w:rPr>
        <w:t>ب</w:t>
      </w:r>
      <w:r w:rsidRPr="00D37547">
        <w:rPr>
          <w:rtl/>
          <w:lang w:val="en-GB"/>
        </w:rPr>
        <w:t>بعض الأنظمة المستقرة بالنسبة إلى الأرض و</w:t>
      </w:r>
      <w:r>
        <w:rPr>
          <w:rFonts w:hint="cs"/>
          <w:rtl/>
          <w:lang w:val="en-GB"/>
        </w:rPr>
        <w:t xml:space="preserve">الأنظمة </w:t>
      </w:r>
      <w:r w:rsidRPr="00D37547">
        <w:rPr>
          <w:rtl/>
          <w:lang w:val="en-GB"/>
        </w:rPr>
        <w:t>غير المستقرة بالنسبة إلى الأرض.</w:t>
      </w:r>
    </w:p>
    <w:p w14:paraId="4D9FACBB" w14:textId="61FDB224" w:rsidR="00D37547" w:rsidRDefault="00D37547" w:rsidP="00D37547">
      <w:pPr>
        <w:rPr>
          <w:rtl/>
          <w:lang w:val="en-GB"/>
        </w:rPr>
      </w:pPr>
      <w:r>
        <w:rPr>
          <w:rFonts w:hint="cs"/>
          <w:rtl/>
          <w:lang w:val="en-GB"/>
        </w:rPr>
        <w:t>و</w:t>
      </w:r>
      <w:r w:rsidRPr="00D37547">
        <w:rPr>
          <w:rtl/>
          <w:lang w:val="en-GB"/>
        </w:rPr>
        <w:t xml:space="preserve">تقترح مدغشقر مراجعة هذه </w:t>
      </w:r>
      <w:r>
        <w:rPr>
          <w:rFonts w:hint="cs"/>
          <w:rtl/>
          <w:lang w:val="en-GB"/>
        </w:rPr>
        <w:t>المسائل</w:t>
      </w:r>
      <w:r w:rsidRPr="00D37547">
        <w:rPr>
          <w:rtl/>
          <w:lang w:val="en-GB"/>
        </w:rPr>
        <w:t xml:space="preserve"> وتوصي ب</w:t>
      </w:r>
      <w:r w:rsidR="00D14916">
        <w:rPr>
          <w:rFonts w:hint="cs"/>
          <w:rtl/>
          <w:lang w:val="en-GB"/>
        </w:rPr>
        <w:t xml:space="preserve">تقديم </w:t>
      </w:r>
      <w:r w:rsidRPr="00D37547">
        <w:rPr>
          <w:rtl/>
          <w:lang w:val="en-GB"/>
        </w:rPr>
        <w:t xml:space="preserve">لوائح جديدة محتملة للمؤتمر </w:t>
      </w:r>
      <w:r w:rsidRPr="00D37547">
        <w:rPr>
          <w:lang w:val="en-GB"/>
        </w:rPr>
        <w:t>WRC-27</w:t>
      </w:r>
      <w:r w:rsidRPr="00D37547">
        <w:rPr>
          <w:rtl/>
          <w:lang w:val="en-GB"/>
        </w:rPr>
        <w:t>.</w:t>
      </w:r>
    </w:p>
    <w:p w14:paraId="26CFCB0E" w14:textId="2B4297F5" w:rsidR="000656EC" w:rsidRDefault="000D04D9" w:rsidP="006062DA">
      <w:pPr>
        <w:rPr>
          <w:b/>
          <w:bCs/>
          <w:rtl/>
          <w:lang w:val="en-GB" w:bidi="ar-SY"/>
        </w:rPr>
      </w:pPr>
      <w:r w:rsidRPr="000D04D9">
        <w:rPr>
          <w:b/>
          <w:bCs/>
          <w:lang w:val="en-GB" w:bidi="ar-SY"/>
        </w:rPr>
        <w:t>5C.22</w:t>
      </w:r>
      <w:r>
        <w:rPr>
          <w:b/>
          <w:bCs/>
          <w:rtl/>
          <w:lang w:val="en-GB" w:bidi="ar-SY"/>
        </w:rPr>
        <w:tab/>
      </w:r>
      <w:r w:rsidR="006062DA">
        <w:rPr>
          <w:rFonts w:hint="cs"/>
          <w:rtl/>
          <w:lang w:val="en-GB" w:bidi="ar-SY"/>
        </w:rPr>
        <w:t xml:space="preserve">يُوصَى بأن يؤيد الاتحاد بنداً جديداً </w:t>
      </w:r>
      <w:r w:rsidR="006062DA">
        <w:rPr>
          <w:rFonts w:hint="cs"/>
          <w:rtl/>
          <w:lang w:val="en-GB"/>
        </w:rPr>
        <w:t>في جدول أعمال ا</w:t>
      </w:r>
      <w:r w:rsidR="006062DA" w:rsidRPr="00D37547">
        <w:rPr>
          <w:rtl/>
          <w:lang w:val="en-GB"/>
        </w:rPr>
        <w:t xml:space="preserve">لمؤتمر </w:t>
      </w:r>
      <w:r w:rsidR="006062DA" w:rsidRPr="00D37547">
        <w:rPr>
          <w:lang w:val="en-GB"/>
        </w:rPr>
        <w:t>WRC-27</w:t>
      </w:r>
      <w:r w:rsidR="006062DA">
        <w:rPr>
          <w:rFonts w:hint="cs"/>
          <w:rtl/>
          <w:lang w:val="en-GB"/>
        </w:rPr>
        <w:t xml:space="preserve"> بشأن مراجعة حدود</w:t>
      </w:r>
      <w:r w:rsidR="006062DA" w:rsidRPr="006062DA">
        <w:rPr>
          <w:rtl/>
        </w:rPr>
        <w:t xml:space="preserve"> </w:t>
      </w:r>
      <w:r w:rsidR="006062DA" w:rsidRPr="006062DA">
        <w:rPr>
          <w:rtl/>
          <w:lang w:val="en-GB"/>
        </w:rPr>
        <w:t>كثافة تدفق القدرة المكافئة</w:t>
      </w:r>
      <w:r w:rsidR="006062DA">
        <w:rPr>
          <w:rFonts w:hint="cs"/>
          <w:rtl/>
          <w:lang w:val="en-GB"/>
        </w:rPr>
        <w:t xml:space="preserve"> </w:t>
      </w:r>
      <w:r w:rsidR="006062DA" w:rsidRPr="006062DA">
        <w:rPr>
          <w:rFonts w:hint="cs"/>
          <w:rtl/>
          <w:lang w:val="en-GB"/>
        </w:rPr>
        <w:t xml:space="preserve">في </w:t>
      </w:r>
      <w:r w:rsidR="006062DA" w:rsidRPr="006062DA">
        <w:rPr>
          <w:rtl/>
          <w:lang w:val="en-GB"/>
        </w:rPr>
        <w:t xml:space="preserve">النطاقين </w:t>
      </w:r>
      <w:r w:rsidR="006062DA" w:rsidRPr="006062DA">
        <w:rPr>
          <w:lang w:val="en-GB"/>
        </w:rPr>
        <w:t>Ku</w:t>
      </w:r>
      <w:r w:rsidR="006062DA" w:rsidRPr="006062DA">
        <w:rPr>
          <w:rtl/>
          <w:lang w:val="en-GB"/>
        </w:rPr>
        <w:t xml:space="preserve"> و</w:t>
      </w:r>
      <w:r w:rsidR="006062DA" w:rsidRPr="006062DA">
        <w:rPr>
          <w:lang w:val="en-GB"/>
        </w:rPr>
        <w:t>Ka</w:t>
      </w:r>
      <w:r w:rsidR="006062DA">
        <w:rPr>
          <w:rFonts w:hint="cs"/>
          <w:rtl/>
          <w:lang w:val="en-GB"/>
        </w:rPr>
        <w:t xml:space="preserve"> المنصوص عليها في المادة 22.</w:t>
      </w:r>
    </w:p>
    <w:p w14:paraId="1222E331" w14:textId="77777777" w:rsidR="000D04D9" w:rsidRDefault="000D04D9" w:rsidP="000D04D9">
      <w:pPr>
        <w:pStyle w:val="Reasons"/>
        <w:rPr>
          <w:rtl/>
          <w:lang w:bidi="ar-SY"/>
        </w:rPr>
      </w:pPr>
    </w:p>
    <w:p w14:paraId="5F61FBC5" w14:textId="0A6E39C7" w:rsidR="000D04D9" w:rsidRPr="000D04D9" w:rsidRDefault="000D04D9" w:rsidP="000D04D9">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w:t>
      </w:r>
    </w:p>
    <w:sectPr w:rsidR="000D04D9" w:rsidRPr="000D04D9">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7263" w14:textId="77777777" w:rsidR="00151673" w:rsidRDefault="00151673" w:rsidP="002919E1">
      <w:r>
        <w:separator/>
      </w:r>
    </w:p>
    <w:p w14:paraId="1DB23348" w14:textId="77777777" w:rsidR="00151673" w:rsidRDefault="00151673" w:rsidP="002919E1"/>
    <w:p w14:paraId="5866199C" w14:textId="77777777" w:rsidR="00151673" w:rsidRDefault="00151673" w:rsidP="002919E1"/>
    <w:p w14:paraId="5FF1684F" w14:textId="77777777" w:rsidR="00151673" w:rsidRDefault="00151673"/>
    <w:p w14:paraId="4B3B9B74" w14:textId="77777777" w:rsidR="00151673" w:rsidRDefault="00151673"/>
  </w:endnote>
  <w:endnote w:type="continuationSeparator" w:id="0">
    <w:p w14:paraId="2CA6D447" w14:textId="77777777" w:rsidR="00151673" w:rsidRDefault="00151673" w:rsidP="002919E1">
      <w:r>
        <w:continuationSeparator/>
      </w:r>
    </w:p>
    <w:p w14:paraId="172A64CA" w14:textId="77777777" w:rsidR="00151673" w:rsidRDefault="00151673" w:rsidP="002919E1"/>
    <w:p w14:paraId="50694750" w14:textId="77777777" w:rsidR="00151673" w:rsidRDefault="00151673" w:rsidP="002919E1"/>
    <w:p w14:paraId="71E1AF29" w14:textId="77777777" w:rsidR="00151673" w:rsidRDefault="00151673"/>
    <w:p w14:paraId="7A09B5B2" w14:textId="77777777" w:rsidR="00151673" w:rsidRDefault="0015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C698" w14:textId="3A4A1AF5" w:rsidR="00D63A6F" w:rsidRPr="00D63A6F" w:rsidRDefault="00D63A6F" w:rsidP="007306CB">
    <w:pPr>
      <w:pStyle w:val="Footer"/>
      <w:tabs>
        <w:tab w:val="center" w:pos="5103"/>
        <w:tab w:val="right" w:pos="9639"/>
      </w:tabs>
      <w:bidi w:val="0"/>
      <w:spacing w:before="120"/>
      <w:rPr>
        <w:sz w:val="16"/>
        <w:szCs w:val="16"/>
      </w:rPr>
    </w:pPr>
    <w:r w:rsidRPr="0026373E">
      <w:rPr>
        <w:sz w:val="16"/>
        <w:szCs w:val="16"/>
        <w:lang w:val="fr-FR"/>
      </w:rPr>
      <w:fldChar w:fldCharType="begin"/>
    </w:r>
    <w:r w:rsidRPr="00821108">
      <w:rPr>
        <w:sz w:val="16"/>
        <w:szCs w:val="16"/>
        <w:lang w:val="en-GB"/>
      </w:rPr>
      <w:instrText xml:space="preserve"> FILENAME \p \* MERGEFORMAT </w:instrText>
    </w:r>
    <w:r w:rsidRPr="0026373E">
      <w:rPr>
        <w:sz w:val="16"/>
        <w:szCs w:val="16"/>
        <w:lang w:val="fr-FR"/>
      </w:rPr>
      <w:fldChar w:fldCharType="separate"/>
    </w:r>
    <w:r w:rsidR="00CF47D7">
      <w:rPr>
        <w:noProof/>
        <w:sz w:val="16"/>
        <w:szCs w:val="16"/>
        <w:lang w:val="en-GB"/>
      </w:rPr>
      <w:t>P:\ARA\ITU-R\CONF-R\CMR23\000\082A.docx</w:t>
    </w:r>
    <w:r w:rsidRPr="0026373E">
      <w:rPr>
        <w:sz w:val="16"/>
        <w:szCs w:val="16"/>
      </w:rPr>
      <w:fldChar w:fldCharType="end"/>
    </w:r>
    <w:proofErr w:type="gramStart"/>
    <w:r w:rsidRPr="0026373E">
      <w:rPr>
        <w:sz w:val="16"/>
        <w:szCs w:val="16"/>
      </w:rPr>
      <w:t xml:space="preserve">  </w:t>
    </w:r>
    <w:r w:rsidRPr="00821108">
      <w:rPr>
        <w:sz w:val="16"/>
        <w:szCs w:val="16"/>
        <w:lang w:val="en-GB"/>
      </w:rPr>
      <w:t xml:space="preserve"> (</w:t>
    </w:r>
    <w:proofErr w:type="gramEnd"/>
    <w:r w:rsidR="007306CB" w:rsidRPr="007306CB">
      <w:rPr>
        <w:sz w:val="16"/>
        <w:szCs w:val="16"/>
      </w:rPr>
      <w:t>529851</w:t>
    </w:r>
    <w:r w:rsidRPr="00821108">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D11E" w14:textId="135F1CDC" w:rsidR="000D04D9" w:rsidRPr="000D04D9" w:rsidRDefault="000D04D9" w:rsidP="007306CB">
    <w:pPr>
      <w:pStyle w:val="Footer"/>
      <w:tabs>
        <w:tab w:val="center" w:pos="5103"/>
        <w:tab w:val="right" w:pos="9639"/>
      </w:tabs>
      <w:bidi w:val="0"/>
      <w:spacing w:before="120"/>
      <w:rPr>
        <w:sz w:val="16"/>
        <w:szCs w:val="16"/>
      </w:rPr>
    </w:pPr>
    <w:r w:rsidRPr="0026373E">
      <w:rPr>
        <w:sz w:val="16"/>
        <w:szCs w:val="16"/>
        <w:lang w:val="fr-FR"/>
      </w:rPr>
      <w:fldChar w:fldCharType="begin"/>
    </w:r>
    <w:r w:rsidRPr="00821108">
      <w:rPr>
        <w:sz w:val="16"/>
        <w:szCs w:val="16"/>
        <w:lang w:val="en-GB"/>
      </w:rPr>
      <w:instrText xml:space="preserve"> FILENAME \p \* MERGEFORMAT </w:instrText>
    </w:r>
    <w:r w:rsidRPr="0026373E">
      <w:rPr>
        <w:sz w:val="16"/>
        <w:szCs w:val="16"/>
        <w:lang w:val="fr-FR"/>
      </w:rPr>
      <w:fldChar w:fldCharType="separate"/>
    </w:r>
    <w:r w:rsidR="00CF47D7">
      <w:rPr>
        <w:noProof/>
        <w:sz w:val="16"/>
        <w:szCs w:val="16"/>
        <w:lang w:val="en-GB"/>
      </w:rPr>
      <w:t>P:\ARA\ITU-R\CONF-R\CMR23\000\082A.docx</w:t>
    </w:r>
    <w:r w:rsidRPr="0026373E">
      <w:rPr>
        <w:sz w:val="16"/>
        <w:szCs w:val="16"/>
      </w:rPr>
      <w:fldChar w:fldCharType="end"/>
    </w:r>
    <w:proofErr w:type="gramStart"/>
    <w:r w:rsidRPr="0026373E">
      <w:rPr>
        <w:sz w:val="16"/>
        <w:szCs w:val="16"/>
      </w:rPr>
      <w:t xml:space="preserve">  </w:t>
    </w:r>
    <w:r w:rsidRPr="00821108">
      <w:rPr>
        <w:sz w:val="16"/>
        <w:szCs w:val="16"/>
        <w:lang w:val="en-GB"/>
      </w:rPr>
      <w:t xml:space="preserve"> (</w:t>
    </w:r>
    <w:proofErr w:type="gramEnd"/>
    <w:r w:rsidR="007306CB" w:rsidRPr="007306CB">
      <w:rPr>
        <w:sz w:val="16"/>
        <w:szCs w:val="16"/>
      </w:rPr>
      <w:t>529851</w:t>
    </w:r>
    <w:r w:rsidRPr="00821108">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1A9B" w14:textId="77777777" w:rsidR="00151673" w:rsidRDefault="00151673" w:rsidP="00C45930">
      <w:r>
        <w:separator/>
      </w:r>
    </w:p>
  </w:footnote>
  <w:footnote w:type="continuationSeparator" w:id="0">
    <w:p w14:paraId="794C5D19" w14:textId="77777777" w:rsidR="00151673" w:rsidRDefault="00151673" w:rsidP="002919E1">
      <w:r>
        <w:continuationSeparator/>
      </w:r>
    </w:p>
    <w:p w14:paraId="019C746F" w14:textId="77777777" w:rsidR="00151673" w:rsidRDefault="00151673" w:rsidP="002919E1"/>
    <w:p w14:paraId="6A2B6C9C" w14:textId="77777777" w:rsidR="00151673" w:rsidRDefault="00151673" w:rsidP="002919E1"/>
    <w:p w14:paraId="1EF295E9" w14:textId="77777777" w:rsidR="00151673" w:rsidRDefault="00151673"/>
    <w:p w14:paraId="5B6DC689" w14:textId="77777777" w:rsidR="00151673" w:rsidRDefault="00151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9EF1" w14:textId="0C4C775C" w:rsidR="00D63A6F" w:rsidRPr="000D04D9" w:rsidRDefault="005E5F16" w:rsidP="00E70FDF">
    <w:pPr>
      <w:bidi w:val="0"/>
      <w:spacing w:after="360" w:line="240" w:lineRule="auto"/>
      <w:jc w:val="center"/>
      <w:rPr>
        <w:sz w:val="20"/>
        <w:szCs w:val="20"/>
      </w:rPr>
    </w:pPr>
    <w:r w:rsidRPr="000D04D9">
      <w:rPr>
        <w:rStyle w:val="PageNumber"/>
        <w:rFonts w:ascii="Dubai" w:hAnsi="Dubai" w:cs="Dubai"/>
      </w:rPr>
      <w:fldChar w:fldCharType="begin"/>
    </w:r>
    <w:r w:rsidRPr="000D04D9">
      <w:rPr>
        <w:rStyle w:val="PageNumber"/>
        <w:rFonts w:ascii="Dubai" w:hAnsi="Dubai" w:cs="Dubai"/>
      </w:rPr>
      <w:instrText xml:space="preserve"> PAGE </w:instrText>
    </w:r>
    <w:r w:rsidRPr="000D04D9">
      <w:rPr>
        <w:rStyle w:val="PageNumber"/>
        <w:rFonts w:ascii="Dubai" w:hAnsi="Dubai" w:cs="Dubai"/>
      </w:rPr>
      <w:fldChar w:fldCharType="separate"/>
    </w:r>
    <w:r w:rsidR="00D14916">
      <w:rPr>
        <w:rStyle w:val="PageNumber"/>
        <w:rFonts w:ascii="Dubai" w:hAnsi="Dubai" w:cs="Dubai"/>
        <w:noProof/>
      </w:rPr>
      <w:t>2</w:t>
    </w:r>
    <w:r w:rsidRPr="000D04D9">
      <w:rPr>
        <w:rStyle w:val="PageNumber"/>
        <w:rFonts w:ascii="Dubai" w:hAnsi="Dubai" w:cs="Dubai"/>
      </w:rPr>
      <w:fldChar w:fldCharType="end"/>
    </w:r>
    <w:r w:rsidRPr="000D04D9">
      <w:rPr>
        <w:rStyle w:val="PageNumber"/>
        <w:rFonts w:ascii="Dubai" w:hAnsi="Dubai" w:cs="Dubai"/>
        <w:rtl/>
      </w:rPr>
      <w:br/>
    </w:r>
    <w:r w:rsidR="004F5F29" w:rsidRPr="000D04D9">
      <w:rPr>
        <w:rStyle w:val="PageNumber"/>
        <w:rFonts w:ascii="Dubai" w:hAnsi="Dubai" w:cs="Dubai"/>
      </w:rPr>
      <w:t>WRC</w:t>
    </w:r>
    <w:r w:rsidRPr="000D04D9">
      <w:rPr>
        <w:rStyle w:val="PageNumber"/>
        <w:rFonts w:ascii="Dubai" w:hAnsi="Dubai" w:cs="Dubai"/>
      </w:rPr>
      <w:t>23/82-A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03C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8E4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BE2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7013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5732581">
    <w:abstractNumId w:val="9"/>
  </w:num>
  <w:num w:numId="2" w16cid:durableId="1285115119">
    <w:abstractNumId w:val="13"/>
  </w:num>
  <w:num w:numId="3" w16cid:durableId="1422528798">
    <w:abstractNumId w:val="11"/>
  </w:num>
  <w:num w:numId="4" w16cid:durableId="1578131961">
    <w:abstractNumId w:val="14"/>
  </w:num>
  <w:num w:numId="5" w16cid:durableId="1710257736">
    <w:abstractNumId w:val="7"/>
  </w:num>
  <w:num w:numId="6" w16cid:durableId="70393644">
    <w:abstractNumId w:val="6"/>
  </w:num>
  <w:num w:numId="7" w16cid:durableId="661588034">
    <w:abstractNumId w:val="5"/>
  </w:num>
  <w:num w:numId="8" w16cid:durableId="24061889">
    <w:abstractNumId w:val="4"/>
  </w:num>
  <w:num w:numId="9" w16cid:durableId="1776362053">
    <w:abstractNumId w:val="8"/>
  </w:num>
  <w:num w:numId="10" w16cid:durableId="1397969995">
    <w:abstractNumId w:val="3"/>
  </w:num>
  <w:num w:numId="11" w16cid:durableId="1321619357">
    <w:abstractNumId w:val="2"/>
  </w:num>
  <w:num w:numId="12" w16cid:durableId="498882945">
    <w:abstractNumId w:val="1"/>
  </w:num>
  <w:num w:numId="13" w16cid:durableId="31006957">
    <w:abstractNumId w:val="0"/>
  </w:num>
  <w:num w:numId="14" w16cid:durableId="2029671607">
    <w:abstractNumId w:val="10"/>
  </w:num>
  <w:num w:numId="15" w16cid:durableId="1305550777">
    <w:abstractNumId w:val="15"/>
  </w:num>
  <w:num w:numId="16" w16cid:durableId="767235529">
    <w:abstractNumId w:val="12"/>
  </w:num>
  <w:num w:numId="17" w16cid:durableId="2120835800">
    <w:abstractNumId w:val="6"/>
  </w:num>
  <w:num w:numId="18" w16cid:durableId="923220152">
    <w:abstractNumId w:val="5"/>
  </w:num>
  <w:num w:numId="19" w16cid:durableId="57560844">
    <w:abstractNumId w:val="3"/>
  </w:num>
  <w:num w:numId="20" w16cid:durableId="906114580">
    <w:abstractNumId w:val="2"/>
  </w:num>
  <w:num w:numId="21" w16cid:durableId="1173375984">
    <w:abstractNumId w:val="6"/>
  </w:num>
  <w:num w:numId="22" w16cid:durableId="948588141">
    <w:abstractNumId w:val="5"/>
  </w:num>
  <w:num w:numId="23" w16cid:durableId="737364585">
    <w:abstractNumId w:val="3"/>
  </w:num>
  <w:num w:numId="24" w16cid:durableId="1756198691">
    <w:abstractNumId w:val="2"/>
  </w:num>
  <w:num w:numId="25" w16cid:durableId="905916386">
    <w:abstractNumId w:val="6"/>
  </w:num>
  <w:num w:numId="26" w16cid:durableId="1631782277">
    <w:abstractNumId w:val="5"/>
  </w:num>
  <w:num w:numId="27" w16cid:durableId="1346977063">
    <w:abstractNumId w:val="3"/>
  </w:num>
  <w:num w:numId="28" w16cid:durableId="377243410">
    <w:abstractNumId w:val="2"/>
  </w:num>
  <w:num w:numId="29" w16cid:durableId="2072918604">
    <w:abstractNumId w:val="6"/>
  </w:num>
  <w:num w:numId="30" w16cid:durableId="1815831585">
    <w:abstractNumId w:val="5"/>
  </w:num>
  <w:num w:numId="31" w16cid:durableId="1146778204">
    <w:abstractNumId w:val="3"/>
  </w:num>
  <w:num w:numId="32" w16cid:durableId="100535032">
    <w:abstractNumId w:val="2"/>
  </w:num>
  <w:num w:numId="33" w16cid:durableId="1078670035">
    <w:abstractNumId w:val="6"/>
  </w:num>
  <w:num w:numId="34" w16cid:durableId="88737295">
    <w:abstractNumId w:val="5"/>
  </w:num>
  <w:num w:numId="35" w16cid:durableId="1869831803">
    <w:abstractNumId w:val="3"/>
  </w:num>
  <w:num w:numId="36" w16cid:durableId="63458679">
    <w:abstractNumId w:val="2"/>
  </w:num>
  <w:num w:numId="37" w16cid:durableId="1926721462">
    <w:abstractNumId w:val="6"/>
  </w:num>
  <w:num w:numId="38" w16cid:durableId="1607880484">
    <w:abstractNumId w:val="5"/>
  </w:num>
  <w:num w:numId="39" w16cid:durableId="1188369310">
    <w:abstractNumId w:val="3"/>
  </w:num>
  <w:num w:numId="40" w16cid:durableId="891771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56EC"/>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4D9"/>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1673"/>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6186"/>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735D"/>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062DA"/>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06CB"/>
    <w:rsid w:val="00731150"/>
    <w:rsid w:val="00734E41"/>
    <w:rsid w:val="00736DCC"/>
    <w:rsid w:val="00741855"/>
    <w:rsid w:val="00742B73"/>
    <w:rsid w:val="00745D6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1108"/>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9688F"/>
    <w:rsid w:val="00AB1A93"/>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47D7"/>
    <w:rsid w:val="00D05322"/>
    <w:rsid w:val="00D10CFC"/>
    <w:rsid w:val="00D14916"/>
    <w:rsid w:val="00D1728C"/>
    <w:rsid w:val="00D21226"/>
    <w:rsid w:val="00D21235"/>
    <w:rsid w:val="00D25120"/>
    <w:rsid w:val="00D27F6E"/>
    <w:rsid w:val="00D37547"/>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4769"/>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0FDF"/>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E3AD0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3c4fd9-79a3-487f-bce1-cc704cf78233" targetNamespace="http://schemas.microsoft.com/office/2006/metadata/properties" ma:root="true" ma:fieldsID="d41af5c836d734370eb92e7ee5f83852" ns2:_="" ns3:_="">
    <xsd:import namespace="996b2e75-67fd-4955-a3b0-5ab9934cb50b"/>
    <xsd:import namespace="a03c4fd9-79a3-487f-bce1-cc704cf782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3c4fd9-79a3-487f-bce1-cc704cf782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03c4fd9-79a3-487f-bce1-cc704cf78233">DPM</DPM_x0020_Author>
    <DPM_x0020_File_x0020_name xmlns="a03c4fd9-79a3-487f-bce1-cc704cf78233">R23-WRC23-C-0082!!MSW-A</DPM_x0020_File_x0020_name>
    <DPM_x0020_Version xmlns="a03c4fd9-79a3-487f-bce1-cc704cf78233">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3c4fd9-79a3-487f-bce1-cc704cf78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03c4fd9-79a3-487f-bce1-cc704cf78233"/>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868787ED-EFDD-4867-BCB8-2E4DFAFB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R23-WRC23-C-0082!!MSW-A</vt:lpstr>
    </vt:vector>
  </TitlesOfParts>
  <Manager>General Secretariat - Pool</Manager>
  <Company>International Telecommunication Union (ITU)</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R23-WRC23-C-0082!!MSW-A</dc:title>
  <dc:creator>Documents Proposals Manager (DPM)</dc:creator>
  <cp:keywords>DPM_v2023.8.1.1_prod</cp:keywords>
  <cp:lastModifiedBy>Arabic_AAB</cp:lastModifiedBy>
  <cp:revision>3</cp:revision>
  <cp:lastPrinted>2020-08-11T14:28:00Z</cp:lastPrinted>
  <dcterms:created xsi:type="dcterms:W3CDTF">2023-11-17T21:48:00Z</dcterms:created>
  <dcterms:modified xsi:type="dcterms:W3CDTF">2023-11-17T21:49:00Z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