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0" w:type="pct"/>
        <w:tblLayout w:type="fixed"/>
        <w:tblLook w:val="0000" w:firstRow="0" w:lastRow="0" w:firstColumn="0" w:lastColumn="0" w:noHBand="0" w:noVBand="0"/>
      </w:tblPr>
      <w:tblGrid>
        <w:gridCol w:w="1590"/>
        <w:gridCol w:w="5106"/>
        <w:gridCol w:w="993"/>
        <w:gridCol w:w="1977"/>
        <w:gridCol w:w="6"/>
      </w:tblGrid>
      <w:tr w:rsidR="008A5EB0" w:rsidRPr="000D1EE4" w14:paraId="0AECB0FE" w14:textId="77777777" w:rsidTr="008A5EB0">
        <w:trPr>
          <w:cantSplit/>
          <w:trHeight w:val="20"/>
        </w:trPr>
        <w:tc>
          <w:tcPr>
            <w:tcW w:w="1590" w:type="dxa"/>
            <w:vAlign w:val="center"/>
          </w:tcPr>
          <w:p w14:paraId="1A176E9B" w14:textId="77777777" w:rsidR="008A5EB0" w:rsidRPr="000D1EE4" w:rsidRDefault="008A5EB0" w:rsidP="008A5EB0">
            <w:pPr>
              <w:spacing w:before="0"/>
              <w:jc w:val="left"/>
              <w:rPr>
                <w:b/>
                <w:bCs/>
                <w:rtl/>
                <w:lang w:bidi="ar-EG"/>
              </w:rPr>
            </w:pPr>
            <w:r w:rsidRPr="000D1EE4">
              <w:rPr>
                <w:noProof/>
              </w:rPr>
              <w:drawing>
                <wp:inline distT="0" distB="0" distL="0" distR="0" wp14:anchorId="6A316498" wp14:editId="03ED0DCA">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0FFB031C" w14:textId="77777777" w:rsidR="008A5EB0" w:rsidRPr="000D1EE4" w:rsidRDefault="008A5EB0" w:rsidP="008A5EB0">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gridSpan w:val="2"/>
            <w:vAlign w:val="center"/>
          </w:tcPr>
          <w:p w14:paraId="2BB2F1A2" w14:textId="77777777" w:rsidR="008A5EB0" w:rsidRPr="000D1EE4" w:rsidRDefault="008A5EB0" w:rsidP="008A5EB0">
            <w:pPr>
              <w:jc w:val="right"/>
              <w:rPr>
                <w:rtl/>
                <w:lang w:bidi="ar-EG"/>
              </w:rPr>
            </w:pPr>
            <w:r>
              <w:rPr>
                <w:noProof/>
              </w:rPr>
              <w:drawing>
                <wp:inline distT="0" distB="0" distL="0" distR="0" wp14:anchorId="3836A772" wp14:editId="23C28892">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A7FB0FA" w14:textId="77777777" w:rsidTr="008A5EB0">
        <w:trPr>
          <w:gridAfter w:val="1"/>
          <w:wAfter w:w="6" w:type="dxa"/>
          <w:cantSplit/>
          <w:trHeight w:val="20"/>
        </w:trPr>
        <w:tc>
          <w:tcPr>
            <w:tcW w:w="6696" w:type="dxa"/>
            <w:gridSpan w:val="2"/>
            <w:tcBorders>
              <w:bottom w:val="single" w:sz="12" w:space="0" w:color="auto"/>
            </w:tcBorders>
          </w:tcPr>
          <w:p w14:paraId="354EAB49" w14:textId="77777777" w:rsidR="000D1EE4" w:rsidRPr="000D1EE4" w:rsidRDefault="000D1EE4" w:rsidP="000D1EE4">
            <w:pPr>
              <w:rPr>
                <w:rtl/>
                <w:lang w:bidi="ar-EG"/>
              </w:rPr>
            </w:pPr>
          </w:p>
        </w:tc>
        <w:tc>
          <w:tcPr>
            <w:tcW w:w="2970" w:type="dxa"/>
            <w:gridSpan w:val="2"/>
            <w:tcBorders>
              <w:bottom w:val="single" w:sz="12" w:space="0" w:color="auto"/>
            </w:tcBorders>
          </w:tcPr>
          <w:p w14:paraId="260DCD0A" w14:textId="77777777" w:rsidR="000D1EE4" w:rsidRPr="000D1EE4" w:rsidRDefault="000D1EE4" w:rsidP="000D1EE4">
            <w:pPr>
              <w:rPr>
                <w:lang w:val="en-GB" w:bidi="ar-EG"/>
              </w:rPr>
            </w:pPr>
          </w:p>
        </w:tc>
      </w:tr>
      <w:tr w:rsidR="000D1EE4" w:rsidRPr="000D1EE4" w14:paraId="7A98B532" w14:textId="77777777" w:rsidTr="008A5EB0">
        <w:trPr>
          <w:gridAfter w:val="1"/>
          <w:wAfter w:w="6" w:type="dxa"/>
          <w:cantSplit/>
          <w:trHeight w:val="20"/>
        </w:trPr>
        <w:tc>
          <w:tcPr>
            <w:tcW w:w="6696" w:type="dxa"/>
            <w:gridSpan w:val="2"/>
            <w:tcBorders>
              <w:top w:val="single" w:sz="12" w:space="0" w:color="auto"/>
            </w:tcBorders>
          </w:tcPr>
          <w:p w14:paraId="0FB55771" w14:textId="77777777" w:rsidR="000D1EE4" w:rsidRPr="000D1EE4" w:rsidRDefault="000D1EE4" w:rsidP="000D1EE4">
            <w:pPr>
              <w:rPr>
                <w:b/>
                <w:bCs/>
                <w:rtl/>
                <w:lang w:bidi="ar-EG"/>
              </w:rPr>
            </w:pPr>
          </w:p>
        </w:tc>
        <w:tc>
          <w:tcPr>
            <w:tcW w:w="2970" w:type="dxa"/>
            <w:gridSpan w:val="2"/>
            <w:tcBorders>
              <w:top w:val="single" w:sz="12" w:space="0" w:color="auto"/>
            </w:tcBorders>
          </w:tcPr>
          <w:p w14:paraId="3AE83DD4" w14:textId="77777777" w:rsidR="000D1EE4" w:rsidRPr="000D1EE4" w:rsidRDefault="000D1EE4" w:rsidP="000D1EE4">
            <w:pPr>
              <w:rPr>
                <w:b/>
                <w:bCs/>
                <w:lang w:bidi="ar-EG"/>
              </w:rPr>
            </w:pPr>
          </w:p>
        </w:tc>
      </w:tr>
      <w:tr w:rsidR="000D1EE4" w:rsidRPr="000D1EE4" w14:paraId="5F961842" w14:textId="77777777" w:rsidTr="008A5EB0">
        <w:trPr>
          <w:gridAfter w:val="1"/>
          <w:wAfter w:w="6" w:type="dxa"/>
          <w:cantSplit/>
        </w:trPr>
        <w:tc>
          <w:tcPr>
            <w:tcW w:w="6696" w:type="dxa"/>
            <w:gridSpan w:val="2"/>
          </w:tcPr>
          <w:p w14:paraId="4F6C2E6F" w14:textId="77777777" w:rsidR="000D1EE4" w:rsidRPr="00505B26" w:rsidRDefault="000D1EE4" w:rsidP="000D1EE4">
            <w:pPr>
              <w:spacing w:before="60" w:after="60" w:line="260" w:lineRule="exact"/>
              <w:rPr>
                <w:b/>
                <w:bCs/>
                <w:rtl/>
                <w:lang w:bidi="ar-EG"/>
              </w:rPr>
            </w:pPr>
            <w:r w:rsidRPr="00505B26">
              <w:rPr>
                <w:b/>
                <w:bCs/>
                <w:rtl/>
                <w:lang w:bidi="ar-EG"/>
              </w:rPr>
              <w:t>الجلسة العامة</w:t>
            </w:r>
          </w:p>
        </w:tc>
        <w:tc>
          <w:tcPr>
            <w:tcW w:w="2970" w:type="dxa"/>
            <w:gridSpan w:val="2"/>
          </w:tcPr>
          <w:p w14:paraId="043E2820" w14:textId="701424C2" w:rsidR="000D1EE4" w:rsidRPr="000D1EE4" w:rsidRDefault="000D1EE4" w:rsidP="000D1EE4">
            <w:pPr>
              <w:spacing w:before="60" w:after="60" w:line="260" w:lineRule="exact"/>
              <w:rPr>
                <w:b/>
                <w:bCs/>
                <w:rtl/>
                <w:lang w:bidi="ar-EG"/>
              </w:rPr>
            </w:pPr>
            <w:r w:rsidRPr="00505B26">
              <w:rPr>
                <w:b/>
                <w:bCs/>
                <w:rtl/>
                <w:lang w:bidi="ar-EG"/>
              </w:rPr>
              <w:t>الوثيقة</w:t>
            </w:r>
            <w:r w:rsidRPr="00505B26">
              <w:rPr>
                <w:rFonts w:hint="cs"/>
                <w:b/>
                <w:bCs/>
                <w:rtl/>
                <w:lang w:bidi="ar-EG"/>
              </w:rPr>
              <w:t xml:space="preserve"> </w:t>
            </w:r>
            <w:r w:rsidR="00D62E85">
              <w:rPr>
                <w:b/>
                <w:bCs/>
                <w:lang w:bidi="ar-EG"/>
              </w:rPr>
              <w:t>68</w:t>
            </w:r>
            <w:r w:rsidRPr="00505B26">
              <w:rPr>
                <w:b/>
                <w:bCs/>
                <w:lang w:bidi="ar-EG"/>
              </w:rPr>
              <w:t>-A</w:t>
            </w:r>
          </w:p>
        </w:tc>
      </w:tr>
      <w:tr w:rsidR="000D1EE4" w:rsidRPr="000D1EE4" w14:paraId="6F596D8A" w14:textId="77777777" w:rsidTr="008A5EB0">
        <w:trPr>
          <w:gridAfter w:val="1"/>
          <w:wAfter w:w="6" w:type="dxa"/>
          <w:cantSplit/>
        </w:trPr>
        <w:tc>
          <w:tcPr>
            <w:tcW w:w="6696" w:type="dxa"/>
            <w:gridSpan w:val="2"/>
          </w:tcPr>
          <w:p w14:paraId="1C2D8481" w14:textId="77777777" w:rsidR="000D1EE4" w:rsidRPr="000D1EE4" w:rsidRDefault="000D1EE4" w:rsidP="000D1EE4">
            <w:pPr>
              <w:spacing w:before="60" w:after="60" w:line="260" w:lineRule="exact"/>
              <w:rPr>
                <w:rFonts w:hint="cs"/>
                <w:b/>
                <w:bCs/>
                <w:rtl/>
                <w:lang w:bidi="ar-EG"/>
              </w:rPr>
            </w:pPr>
          </w:p>
        </w:tc>
        <w:tc>
          <w:tcPr>
            <w:tcW w:w="2970" w:type="dxa"/>
            <w:gridSpan w:val="2"/>
          </w:tcPr>
          <w:p w14:paraId="19410B41" w14:textId="1B072EA0" w:rsidR="000D1EE4" w:rsidRPr="000D1EE4" w:rsidRDefault="00D62E85" w:rsidP="000D1EE4">
            <w:pPr>
              <w:spacing w:before="60" w:after="60" w:line="260" w:lineRule="exact"/>
              <w:rPr>
                <w:b/>
                <w:bCs/>
                <w:rtl/>
                <w:lang w:bidi="ar-EG"/>
              </w:rPr>
            </w:pPr>
            <w:r>
              <w:rPr>
                <w:b/>
                <w:bCs/>
                <w:lang w:bidi="ar-EG"/>
              </w:rPr>
              <w:t>4</w:t>
            </w:r>
            <w:r w:rsidR="000D1EE4" w:rsidRPr="000D1EE4">
              <w:rPr>
                <w:rFonts w:hint="cs"/>
                <w:b/>
                <w:bCs/>
                <w:rtl/>
                <w:lang w:bidi="ar-EG"/>
              </w:rPr>
              <w:t xml:space="preserve"> </w:t>
            </w:r>
            <w:r>
              <w:rPr>
                <w:rFonts w:hint="cs"/>
                <w:b/>
                <w:bCs/>
                <w:rtl/>
                <w:lang w:bidi="ar-EG"/>
              </w:rPr>
              <w:t>أكتوبر</w:t>
            </w:r>
            <w:r w:rsidR="000D1EE4" w:rsidRPr="000D1EE4">
              <w:rPr>
                <w:rFonts w:hint="cs"/>
                <w:b/>
                <w:bCs/>
                <w:rtl/>
                <w:lang w:bidi="ar-EG"/>
              </w:rPr>
              <w:t xml:space="preserve"> </w:t>
            </w:r>
            <w:r w:rsidR="00B269D2" w:rsidRPr="00505B26">
              <w:rPr>
                <w:b/>
                <w:bCs/>
                <w:lang w:bidi="ar-EG"/>
              </w:rPr>
              <w:t>2023</w:t>
            </w:r>
          </w:p>
        </w:tc>
      </w:tr>
      <w:tr w:rsidR="000D1EE4" w:rsidRPr="000D1EE4" w14:paraId="6950BD27" w14:textId="77777777" w:rsidTr="008A5EB0">
        <w:trPr>
          <w:gridAfter w:val="1"/>
          <w:wAfter w:w="6" w:type="dxa"/>
          <w:cantSplit/>
        </w:trPr>
        <w:tc>
          <w:tcPr>
            <w:tcW w:w="6696" w:type="dxa"/>
            <w:gridSpan w:val="2"/>
          </w:tcPr>
          <w:p w14:paraId="54CC386C" w14:textId="77777777" w:rsidR="000D1EE4" w:rsidRPr="000D1EE4" w:rsidRDefault="000D1EE4" w:rsidP="000D1EE4">
            <w:pPr>
              <w:spacing w:before="60" w:after="60" w:line="260" w:lineRule="exact"/>
              <w:rPr>
                <w:b/>
                <w:bCs/>
                <w:rtl/>
                <w:lang w:bidi="ar-EG"/>
              </w:rPr>
            </w:pPr>
          </w:p>
        </w:tc>
        <w:tc>
          <w:tcPr>
            <w:tcW w:w="2970" w:type="dxa"/>
            <w:gridSpan w:val="2"/>
          </w:tcPr>
          <w:p w14:paraId="399D79A7" w14:textId="77777777" w:rsidR="000D1EE4" w:rsidRPr="000D1EE4" w:rsidRDefault="000D1EE4" w:rsidP="000D1EE4">
            <w:pPr>
              <w:spacing w:before="60" w:after="60" w:line="260" w:lineRule="exact"/>
              <w:rPr>
                <w:b/>
                <w:bCs/>
                <w:lang w:bidi="ar-EG"/>
              </w:rPr>
            </w:pPr>
            <w:r w:rsidRPr="000D1EE4">
              <w:rPr>
                <w:b/>
                <w:bCs/>
                <w:rtl/>
                <w:lang w:bidi="ar-EG"/>
              </w:rPr>
              <w:t>الأصل:</w:t>
            </w:r>
            <w:r w:rsidRPr="000D1EE4">
              <w:rPr>
                <w:rFonts w:hint="cs"/>
                <w:b/>
                <w:bCs/>
                <w:rtl/>
                <w:lang w:bidi="ar-EG"/>
              </w:rPr>
              <w:t xml:space="preserve"> </w:t>
            </w:r>
            <w:r w:rsidRPr="000D1EE4">
              <w:rPr>
                <w:b/>
                <w:bCs/>
                <w:rtl/>
                <w:lang w:bidi="ar-EG"/>
              </w:rPr>
              <w:t>بالإنكليزية</w:t>
            </w:r>
          </w:p>
        </w:tc>
      </w:tr>
      <w:tr w:rsidR="000D1EE4" w:rsidRPr="000D1EE4" w14:paraId="0A86BB7B" w14:textId="77777777" w:rsidTr="008A5EB0">
        <w:trPr>
          <w:gridAfter w:val="1"/>
          <w:wAfter w:w="6" w:type="dxa"/>
          <w:cantSplit/>
        </w:trPr>
        <w:tc>
          <w:tcPr>
            <w:tcW w:w="9666" w:type="dxa"/>
            <w:gridSpan w:val="4"/>
          </w:tcPr>
          <w:p w14:paraId="597577EE" w14:textId="77777777" w:rsidR="000D1EE4" w:rsidRPr="000D1EE4" w:rsidRDefault="000D1EE4" w:rsidP="000D1EE4">
            <w:pPr>
              <w:rPr>
                <w:b/>
                <w:bCs/>
                <w:lang w:bidi="ar-EG"/>
              </w:rPr>
            </w:pPr>
          </w:p>
        </w:tc>
      </w:tr>
      <w:tr w:rsidR="000D1EE4" w:rsidRPr="000D1EE4" w14:paraId="584880E8" w14:textId="77777777" w:rsidTr="008A5EB0">
        <w:trPr>
          <w:gridAfter w:val="1"/>
          <w:wAfter w:w="6" w:type="dxa"/>
          <w:cantSplit/>
        </w:trPr>
        <w:tc>
          <w:tcPr>
            <w:tcW w:w="9666" w:type="dxa"/>
            <w:gridSpan w:val="4"/>
          </w:tcPr>
          <w:p w14:paraId="6DD3253D" w14:textId="1150E354" w:rsidR="000D1EE4" w:rsidRPr="000D1EE4" w:rsidRDefault="004B40D5" w:rsidP="000D1EE4">
            <w:pPr>
              <w:pStyle w:val="Source"/>
              <w:rPr>
                <w:rtl/>
                <w:lang w:bidi="ar-SA"/>
              </w:rPr>
            </w:pPr>
            <w:r w:rsidRPr="004B40D5">
              <w:rPr>
                <w:rtl/>
              </w:rPr>
              <w:t>مذكرة من الأمين</w:t>
            </w:r>
            <w:r w:rsidR="00FB2E6D">
              <w:rPr>
                <w:rFonts w:hint="cs"/>
                <w:rtl/>
              </w:rPr>
              <w:t>ة</w:t>
            </w:r>
            <w:r w:rsidRPr="004B40D5">
              <w:rPr>
                <w:rtl/>
              </w:rPr>
              <w:t xml:space="preserve"> العام</w:t>
            </w:r>
            <w:r w:rsidR="00FB2E6D">
              <w:rPr>
                <w:rFonts w:hint="cs"/>
                <w:rtl/>
              </w:rPr>
              <w:t>ة</w:t>
            </w:r>
          </w:p>
        </w:tc>
      </w:tr>
      <w:tr w:rsidR="000D1EE4" w:rsidRPr="000D1EE4" w14:paraId="65694F7B" w14:textId="77777777" w:rsidTr="008A5EB0">
        <w:trPr>
          <w:gridAfter w:val="1"/>
          <w:wAfter w:w="6" w:type="dxa"/>
          <w:cantSplit/>
        </w:trPr>
        <w:tc>
          <w:tcPr>
            <w:tcW w:w="9666" w:type="dxa"/>
            <w:gridSpan w:val="4"/>
          </w:tcPr>
          <w:p w14:paraId="708625E9" w14:textId="1278EB42" w:rsidR="000D1EE4" w:rsidRPr="000D1EE4" w:rsidRDefault="004B40D5" w:rsidP="000D1EE4">
            <w:pPr>
              <w:pStyle w:val="Title1"/>
              <w:rPr>
                <w:rtl/>
              </w:rPr>
            </w:pPr>
            <w:r w:rsidRPr="004B40D5">
              <w:rPr>
                <w:rtl/>
              </w:rPr>
              <w:t>المنظمة العالمية للأرصاد الجوية</w:t>
            </w:r>
          </w:p>
        </w:tc>
      </w:tr>
      <w:tr w:rsidR="000D1EE4" w:rsidRPr="000D1EE4" w14:paraId="6EE75F08" w14:textId="77777777" w:rsidTr="008A5EB0">
        <w:trPr>
          <w:gridAfter w:val="1"/>
          <w:wAfter w:w="6" w:type="dxa"/>
          <w:cantSplit/>
        </w:trPr>
        <w:tc>
          <w:tcPr>
            <w:tcW w:w="9666" w:type="dxa"/>
            <w:gridSpan w:val="4"/>
          </w:tcPr>
          <w:p w14:paraId="141B1AFF" w14:textId="08688809" w:rsidR="000D1EE4" w:rsidRPr="002522BE" w:rsidRDefault="004B40D5" w:rsidP="000D1EE4">
            <w:pPr>
              <w:pStyle w:val="Title2"/>
              <w:rPr>
                <w:b/>
                <w:bCs/>
                <w:rtl/>
              </w:rPr>
            </w:pPr>
            <w:r w:rsidRPr="002522BE">
              <w:rPr>
                <w:b/>
                <w:bCs/>
                <w:rtl/>
                <w:lang w:val="en-GB"/>
              </w:rPr>
              <w:t>قضية طقس الفضاء</w:t>
            </w:r>
          </w:p>
        </w:tc>
      </w:tr>
      <w:tr w:rsidR="005848B7" w:rsidRPr="000D1EE4" w14:paraId="164934C3" w14:textId="77777777" w:rsidTr="008A5EB0">
        <w:trPr>
          <w:gridAfter w:val="1"/>
          <w:wAfter w:w="6" w:type="dxa"/>
          <w:cantSplit/>
        </w:trPr>
        <w:tc>
          <w:tcPr>
            <w:tcW w:w="9666" w:type="dxa"/>
            <w:gridSpan w:val="4"/>
          </w:tcPr>
          <w:p w14:paraId="22E3BFFE" w14:textId="0B7F073A" w:rsidR="005848B7" w:rsidRPr="005848B7" w:rsidRDefault="00FB2E6D" w:rsidP="00FB2E6D">
            <w:pPr>
              <w:pStyle w:val="Agendaitem"/>
              <w:rPr>
                <w:lang w:val="en-US"/>
              </w:rPr>
            </w:pPr>
            <w:r>
              <w:rPr>
                <w:rFonts w:hint="cs"/>
                <w:rtl/>
                <w:lang w:bidi="ar-LB"/>
              </w:rPr>
              <w:t>ال</w:t>
            </w:r>
            <w:r w:rsidR="005848B7">
              <w:rPr>
                <w:rFonts w:hint="cs"/>
                <w:rtl/>
              </w:rPr>
              <w:t xml:space="preserve">بند </w:t>
            </w:r>
            <w:r>
              <w:rPr>
                <w:rFonts w:hint="cs"/>
                <w:rtl/>
              </w:rPr>
              <w:t xml:space="preserve">10 من </w:t>
            </w:r>
            <w:r w:rsidR="005848B7">
              <w:rPr>
                <w:rFonts w:hint="cs"/>
                <w:rtl/>
              </w:rPr>
              <w:t xml:space="preserve">جدول الأعمال </w:t>
            </w:r>
          </w:p>
        </w:tc>
      </w:tr>
    </w:tbl>
    <w:p w14:paraId="3D35B12A" w14:textId="77777777" w:rsidR="00417E14" w:rsidRDefault="00417E14" w:rsidP="00C309E0">
      <w:pPr>
        <w:rPr>
          <w:rtl/>
        </w:rPr>
      </w:pPr>
    </w:p>
    <w:p w14:paraId="4FDA6A74" w14:textId="41C19637" w:rsidR="00B24B17" w:rsidRDefault="00F65F7C" w:rsidP="00F65F7C">
      <w:r w:rsidRPr="00F65F7C">
        <w:rPr>
          <w:rFonts w:hint="cs"/>
          <w:rtl/>
          <w:lang w:bidi="ar-EG"/>
        </w:rPr>
        <w:t xml:space="preserve">يشرفني أن أوجه انتباه المؤتمر إلى وثيقة المعلومات الملحقة، بناءً على طلب المنظمة العالمية للأرصاد الجوية </w:t>
      </w:r>
      <w:r w:rsidRPr="00F65F7C">
        <w:t>(WMO)</w:t>
      </w:r>
      <w:r w:rsidRPr="00F65F7C">
        <w:rPr>
          <w:rFonts w:hint="cs"/>
          <w:rtl/>
          <w:lang w:bidi="ar-EG"/>
        </w:rPr>
        <w:t>.</w:t>
      </w:r>
    </w:p>
    <w:p w14:paraId="0932C7F3" w14:textId="77777777" w:rsidR="00C45930" w:rsidRDefault="00C45930" w:rsidP="00E56BD6">
      <w:pPr>
        <w:rPr>
          <w:lang w:bidi="ar-EG"/>
        </w:rPr>
      </w:pPr>
    </w:p>
    <w:p w14:paraId="21F1E8DE" w14:textId="612204BB" w:rsidR="00F65F7C" w:rsidRPr="00F65F7C" w:rsidRDefault="005848B7" w:rsidP="005848B7">
      <w:pPr>
        <w:tabs>
          <w:tab w:val="clear" w:pos="1134"/>
          <w:tab w:val="clear" w:pos="1871"/>
          <w:tab w:val="clear" w:pos="2268"/>
          <w:tab w:val="left" w:pos="794"/>
          <w:tab w:val="left" w:pos="5670"/>
        </w:tabs>
        <w:spacing w:before="1440"/>
        <w:ind w:left="5103"/>
        <w:jc w:val="center"/>
        <w:rPr>
          <w:rFonts w:eastAsia="SimSun"/>
          <w:rtl/>
          <w:lang w:eastAsia="zh-CN" w:bidi="ar-EG"/>
        </w:rPr>
      </w:pPr>
      <w:bookmarkStart w:id="0" w:name="_Hlk116333661"/>
      <w:r w:rsidRPr="005848B7">
        <w:rPr>
          <w:rFonts w:eastAsia="SimSun" w:hint="cs"/>
          <w:rtl/>
          <w:lang w:eastAsia="zh-CN" w:bidi="ar-SY"/>
        </w:rPr>
        <w:t xml:space="preserve">دورين </w:t>
      </w:r>
      <w:proofErr w:type="spellStart"/>
      <w:r w:rsidRPr="005848B7">
        <w:rPr>
          <w:rFonts w:eastAsia="SimSun" w:hint="cs"/>
          <w:rtl/>
          <w:lang w:eastAsia="zh-CN" w:bidi="ar-SY"/>
        </w:rPr>
        <w:t>بوغدان</w:t>
      </w:r>
      <w:proofErr w:type="spellEnd"/>
      <w:r w:rsidRPr="005848B7">
        <w:rPr>
          <w:rFonts w:eastAsia="SimSun" w:hint="cs"/>
          <w:rtl/>
          <w:lang w:eastAsia="zh-CN" w:bidi="ar-SY"/>
        </w:rPr>
        <w:t>-مارتن</w:t>
      </w:r>
      <w:r w:rsidRPr="005848B7">
        <w:rPr>
          <w:rFonts w:eastAsia="SimSun"/>
          <w:rtl/>
          <w:lang w:eastAsia="zh-CN" w:bidi="ar-SY"/>
        </w:rPr>
        <w:br/>
      </w:r>
      <w:r w:rsidRPr="005848B7">
        <w:rPr>
          <w:rFonts w:eastAsia="SimSun" w:hint="cs"/>
          <w:rtl/>
          <w:lang w:eastAsia="zh-CN" w:bidi="ar-SY"/>
        </w:rPr>
        <w:t>الأمينة العامة</w:t>
      </w:r>
    </w:p>
    <w:bookmarkEnd w:id="0"/>
    <w:p w14:paraId="7C2D66A7" w14:textId="77777777" w:rsidR="004C67F1" w:rsidRDefault="004C67F1" w:rsidP="005848B7">
      <w:pPr>
        <w:rPr>
          <w:rtl/>
          <w:lang w:val="en-GB" w:bidi="ar-EG"/>
        </w:rPr>
      </w:pPr>
      <w:r>
        <w:rPr>
          <w:rtl/>
          <w:lang w:val="en-GB" w:bidi="ar-EG"/>
        </w:rPr>
        <w:br w:type="page"/>
      </w:r>
    </w:p>
    <w:p w14:paraId="7DF906BF" w14:textId="77777777" w:rsidR="00FB2E6D" w:rsidRDefault="00FB2E6D" w:rsidP="00F273E2">
      <w:pPr>
        <w:pStyle w:val="Title1"/>
        <w:rPr>
          <w:b/>
          <w:bCs/>
          <w:snapToGrid w:val="0"/>
          <w:w w:val="100"/>
          <w:sz w:val="32"/>
          <w:szCs w:val="32"/>
          <w:rtl/>
          <w:lang w:val="en-GB"/>
        </w:rPr>
      </w:pPr>
      <w:r w:rsidRPr="00FB2E6D">
        <w:rPr>
          <w:b/>
          <w:bCs/>
          <w:snapToGrid w:val="0"/>
          <w:w w:val="100"/>
          <w:sz w:val="32"/>
          <w:szCs w:val="32"/>
          <w:rtl/>
          <w:lang w:val="en-GB"/>
        </w:rPr>
        <w:lastRenderedPageBreak/>
        <w:t>المنظمة العالمية للأرصاد الجوية</w:t>
      </w:r>
    </w:p>
    <w:p w14:paraId="37DBC3BD" w14:textId="2A150B11" w:rsidR="00443E96" w:rsidRDefault="00FB2E6D" w:rsidP="00F273E2">
      <w:pPr>
        <w:pStyle w:val="Title1"/>
        <w:rPr>
          <w:rtl/>
          <w:lang w:val="en-GB"/>
        </w:rPr>
      </w:pPr>
      <w:r w:rsidRPr="00FB2E6D">
        <w:rPr>
          <w:rtl/>
          <w:lang w:val="en-GB"/>
        </w:rPr>
        <w:t>قضية طقس الفضاء</w:t>
      </w:r>
    </w:p>
    <w:p w14:paraId="5B48C3D7" w14:textId="77777777" w:rsidR="002F2832" w:rsidRPr="002F2832" w:rsidRDefault="002F2832" w:rsidP="002F2832">
      <w:pPr>
        <w:rPr>
          <w:rtl/>
          <w:lang w:val="en-GB" w:bidi="ar-EG"/>
        </w:rPr>
      </w:pPr>
      <w:r w:rsidRPr="002F2832">
        <w:rPr>
          <w:rtl/>
          <w:lang w:val="en-GB" w:bidi="ar-EG"/>
        </w:rPr>
        <w:t>يهدف البند 1.9 الموضوع أ) من جدول أعمال المؤتمر العالمي للاتصالات الراديوية لعام 2023 (</w:t>
      </w:r>
      <w:r w:rsidRPr="002F2832">
        <w:rPr>
          <w:lang w:val="en-GB" w:bidi="ar-EG"/>
        </w:rPr>
        <w:t>WRC-23</w:t>
      </w:r>
      <w:r w:rsidRPr="002F2832">
        <w:rPr>
          <w:rtl/>
          <w:lang w:val="en-GB" w:bidi="ar-EG"/>
        </w:rPr>
        <w:t>) إلى تحقيق الاعتراف بقضية طقس الفضاء على المستوى التنظيمي الدولي من خلال تحديد طقس الفضاء في إطار لوائح الراديو (أي التعريف بطقس الفضاء وتحديد "خدمة الاتصالات الراديوية" الملائمة التي يمكن في إطارها تشغيل أنظمة طقس الفضاء، أي خدمة مساعدات الأرصاد الجوية (</w:t>
      </w:r>
      <w:r w:rsidRPr="00680E83">
        <w:rPr>
          <w:i/>
          <w:iCs/>
          <w:rtl/>
          <w:lang w:val="en-GB" w:bidi="ar-EG"/>
        </w:rPr>
        <w:t>طقس الفضاء</w:t>
      </w:r>
      <w:r w:rsidRPr="002F2832">
        <w:rPr>
          <w:rtl/>
          <w:lang w:val="en-GB" w:bidi="ar-EG"/>
        </w:rPr>
        <w:t>)).</w:t>
      </w:r>
    </w:p>
    <w:p w14:paraId="118E03D9" w14:textId="54A3855F" w:rsidR="002F2832" w:rsidRPr="002F2832" w:rsidRDefault="002F2832" w:rsidP="0005637A">
      <w:pPr>
        <w:rPr>
          <w:rtl/>
          <w:lang w:val="en-GB" w:bidi="ar-EG"/>
        </w:rPr>
      </w:pPr>
      <w:r w:rsidRPr="002F2832">
        <w:rPr>
          <w:rtl/>
          <w:lang w:val="en-GB" w:bidi="ar-EG"/>
        </w:rPr>
        <w:t xml:space="preserve">ويشير طقس الفضاء إلى الحالة الفيزيائية </w:t>
      </w:r>
      <w:proofErr w:type="spellStart"/>
      <w:r w:rsidRPr="002F2832">
        <w:rPr>
          <w:rtl/>
          <w:lang w:val="en-GB" w:bidi="ar-EG"/>
        </w:rPr>
        <w:t>والفينومينولوجية</w:t>
      </w:r>
      <w:proofErr w:type="spellEnd"/>
      <w:r w:rsidRPr="002F2832">
        <w:rPr>
          <w:rtl/>
          <w:lang w:val="en-GB" w:bidi="ar-EG"/>
        </w:rPr>
        <w:t xml:space="preserve"> لبيئة الفضاء الطبيعية وإلى العمليات التي تحدث في بيئة الفضاء الكهرمغنطيسية والتي تؤثر في النهاية على الأنشطة البشرية فوق الأرض وفي الفضاء</w:t>
      </w:r>
      <w:r w:rsidR="002522BE">
        <w:rPr>
          <w:rFonts w:hint="cs"/>
          <w:rtl/>
          <w:lang w:val="en-GB" w:bidi="ar-EG"/>
        </w:rPr>
        <w:t>.</w:t>
      </w:r>
      <w:r w:rsidRPr="002F2832">
        <w:rPr>
          <w:rtl/>
          <w:lang w:val="en-GB" w:bidi="ar-EG"/>
        </w:rPr>
        <w:t xml:space="preserve"> ويمكن أن تؤدي هذه التداخلات إلى توليد بيئة إشعاع خطيرة على السواتل والإنسان في المناطق الواقعة على ارتفاعات عالية، واضطرابات </w:t>
      </w:r>
      <w:proofErr w:type="spellStart"/>
      <w:r w:rsidRPr="002F2832">
        <w:rPr>
          <w:rtl/>
          <w:lang w:val="en-GB" w:bidi="ar-EG"/>
        </w:rPr>
        <w:t>أيونوسفيرية</w:t>
      </w:r>
      <w:proofErr w:type="spellEnd"/>
      <w:r w:rsidRPr="002F2832">
        <w:rPr>
          <w:rtl/>
          <w:lang w:val="en-GB" w:bidi="ar-EG"/>
        </w:rPr>
        <w:t>، وتغيرات في المجال المغنطيسي الأرضي، وأضواء قطبية. ويمكن لهذه التأثيرات بدورها أن تؤثر على عدد من الخدمات والبنية التحتية ال</w:t>
      </w:r>
      <w:r w:rsidR="0005637A">
        <w:rPr>
          <w:rtl/>
          <w:lang w:val="en-GB" w:bidi="ar-EG"/>
        </w:rPr>
        <w:t>واقعة على سطح الأرض أو المحمولة</w:t>
      </w:r>
      <w:r w:rsidRPr="002F2832">
        <w:rPr>
          <w:rtl/>
          <w:lang w:val="en-GB" w:bidi="ar-EG"/>
        </w:rPr>
        <w:t xml:space="preserve"> جوا أو الواقعة في مدار الأرض. وتؤثر الاضطرابات في </w:t>
      </w:r>
      <w:proofErr w:type="spellStart"/>
      <w:r w:rsidRPr="002F2832">
        <w:rPr>
          <w:rtl/>
          <w:lang w:val="en-GB" w:bidi="ar-EG"/>
        </w:rPr>
        <w:t>الأيونوسفير</w:t>
      </w:r>
      <w:proofErr w:type="spellEnd"/>
      <w:r w:rsidRPr="002F2832">
        <w:rPr>
          <w:rtl/>
          <w:lang w:val="en-GB" w:bidi="ar-EG"/>
        </w:rPr>
        <w:t xml:space="preserve"> والغلاف الجوي تأثيرا هاما على الاتصالات الراديوية وأنظمة الملاحة الساتلية وتؤدي إلى تدفئة الغلاف الجوي مما يزيد من مقاومة الهواء التي تعاني منها السواتل ذات المدارات الأرضية المنخفضة، بما في ذلك محطة الفضاء الدولية. وتتأثر إشارات خدمة الملاحة الراديوية الساتلية (</w:t>
      </w:r>
      <w:r w:rsidRPr="002F2832">
        <w:rPr>
          <w:lang w:val="en-GB" w:bidi="ar-EG"/>
        </w:rPr>
        <w:t>RNSS</w:t>
      </w:r>
      <w:r w:rsidR="0005637A">
        <w:rPr>
          <w:rtl/>
          <w:lang w:val="en-GB" w:bidi="ar-EG"/>
        </w:rPr>
        <w:t>)</w:t>
      </w:r>
      <w:r w:rsidRPr="002F2832">
        <w:rPr>
          <w:rtl/>
          <w:lang w:val="en-GB" w:bidi="ar-EG"/>
        </w:rPr>
        <w:t xml:space="preserve"> </w:t>
      </w:r>
      <w:r w:rsidR="0005637A">
        <w:rPr>
          <w:rtl/>
          <w:lang w:val="en-GB" w:bidi="ar-EG"/>
        </w:rPr>
        <w:t>بطقس الفضاء</w:t>
      </w:r>
      <w:r w:rsidR="0005637A" w:rsidRPr="002F2832">
        <w:rPr>
          <w:rtl/>
          <w:lang w:val="en-GB" w:bidi="ar-EG"/>
        </w:rPr>
        <w:t xml:space="preserve"> أثناء انتشارها عبر </w:t>
      </w:r>
      <w:proofErr w:type="spellStart"/>
      <w:r w:rsidR="0005637A" w:rsidRPr="002F2832">
        <w:rPr>
          <w:rtl/>
          <w:lang w:val="en-GB" w:bidi="ar-EG"/>
        </w:rPr>
        <w:t>الأيونوسفير</w:t>
      </w:r>
      <w:proofErr w:type="spellEnd"/>
      <w:r w:rsidR="0005637A">
        <w:rPr>
          <w:rFonts w:hint="cs"/>
          <w:rtl/>
          <w:lang w:val="en-GB" w:bidi="ar-EG"/>
        </w:rPr>
        <w:t>، مع العلم أنها</w:t>
      </w:r>
      <w:r w:rsidRPr="002F2832">
        <w:rPr>
          <w:rtl/>
          <w:lang w:val="en-GB" w:bidi="ar-EG"/>
        </w:rPr>
        <w:t xml:space="preserve"> تُستخدم لعدد متزايد من التطبيقات المرتبطة بالتحديد الدقيق للموضع وبالملاحة والتوقيت، ولسبر الغلا</w:t>
      </w:r>
      <w:r w:rsidR="0005637A">
        <w:rPr>
          <w:rtl/>
          <w:lang w:val="en-GB" w:bidi="ar-EG"/>
        </w:rPr>
        <w:t>ف الجوي باستخدام الحجب الراديوي</w:t>
      </w:r>
      <w:r w:rsidRPr="002F2832">
        <w:rPr>
          <w:rtl/>
          <w:lang w:val="en-GB" w:bidi="ar-EG"/>
        </w:rPr>
        <w:t xml:space="preserve">. ويمكن أن تتسبب مظاهر الشذوذ المكانية القوية في </w:t>
      </w:r>
      <w:proofErr w:type="spellStart"/>
      <w:r w:rsidRPr="002F2832">
        <w:rPr>
          <w:rtl/>
          <w:lang w:val="en-GB" w:bidi="ar-EG"/>
        </w:rPr>
        <w:t>الأيونوسفير</w:t>
      </w:r>
      <w:proofErr w:type="spellEnd"/>
      <w:r w:rsidRPr="002F2832">
        <w:rPr>
          <w:rtl/>
          <w:lang w:val="en-GB" w:bidi="ar-EG"/>
        </w:rPr>
        <w:t xml:space="preserve"> (</w:t>
      </w:r>
      <w:proofErr w:type="spellStart"/>
      <w:r w:rsidRPr="002F2832">
        <w:rPr>
          <w:rtl/>
          <w:lang w:val="en-GB" w:bidi="ar-EG"/>
        </w:rPr>
        <w:t>التلألؤات</w:t>
      </w:r>
      <w:proofErr w:type="spellEnd"/>
      <w:r w:rsidRPr="002F2832">
        <w:rPr>
          <w:rtl/>
          <w:lang w:val="en-GB" w:bidi="ar-EG"/>
        </w:rPr>
        <w:t xml:space="preserve"> </w:t>
      </w:r>
      <w:proofErr w:type="spellStart"/>
      <w:r w:rsidRPr="002F2832">
        <w:rPr>
          <w:rtl/>
          <w:lang w:val="en-GB" w:bidi="ar-EG"/>
        </w:rPr>
        <w:t>الأيونوسفيرية</w:t>
      </w:r>
      <w:proofErr w:type="spellEnd"/>
      <w:r w:rsidRPr="002F2832">
        <w:rPr>
          <w:rtl/>
          <w:lang w:val="en-GB" w:bidi="ar-EG"/>
        </w:rPr>
        <w:t>) في فقدان الإحكام بين مستقبل خدمة الملاحة الراديوية الساتلية (</w:t>
      </w:r>
      <w:r w:rsidRPr="002F2832">
        <w:rPr>
          <w:lang w:val="en-GB" w:bidi="ar-EG"/>
        </w:rPr>
        <w:t>RNSS</w:t>
      </w:r>
      <w:r w:rsidRPr="002F2832">
        <w:rPr>
          <w:rtl/>
          <w:lang w:val="en-GB" w:bidi="ar-EG"/>
        </w:rPr>
        <w:t xml:space="preserve">) والإشارات الساتلية، ويمكن أن تؤدي إلى انقطاع كامل للخدمة. ويؤدي تغير المحتوى الكلي للإلكترون بين المستقبل </w:t>
      </w:r>
      <w:proofErr w:type="spellStart"/>
      <w:r w:rsidRPr="002F2832">
        <w:rPr>
          <w:rtl/>
          <w:lang w:val="en-GB" w:bidi="ar-EG"/>
        </w:rPr>
        <w:t>والساتل</w:t>
      </w:r>
      <w:proofErr w:type="spellEnd"/>
      <w:r w:rsidRPr="002F2832">
        <w:rPr>
          <w:rtl/>
          <w:lang w:val="en-GB" w:bidi="ar-EG"/>
        </w:rPr>
        <w:t xml:space="preserve"> إلى التقليل من دقة تحديد الموضع الذي توفره خدمة الملاحة الراديوية الساتلية. ويرد مزيد من المعلومات التفصيلية في مشروع مراجعة التقرير </w:t>
      </w:r>
      <w:r w:rsidRPr="002F2832">
        <w:rPr>
          <w:lang w:val="en-GB" w:bidi="ar-EG"/>
        </w:rPr>
        <w:t>ITU-R RS.2456-0</w:t>
      </w:r>
      <w:r w:rsidRPr="002F2832">
        <w:rPr>
          <w:rtl/>
          <w:lang w:val="en-GB" w:bidi="ar-EG"/>
        </w:rPr>
        <w:t xml:space="preserve"> بشأن " أنظمة أجهزة استشعار الأحوال الجوية الفضائية التي تستخدم الطيف الراديوي".</w:t>
      </w:r>
    </w:p>
    <w:p w14:paraId="10364F29" w14:textId="77777777" w:rsidR="002F2832" w:rsidRPr="002F2832" w:rsidRDefault="002F2832" w:rsidP="002F2832">
      <w:pPr>
        <w:rPr>
          <w:rtl/>
          <w:lang w:val="en-GB" w:bidi="ar-EG"/>
        </w:rPr>
      </w:pPr>
      <w:r w:rsidRPr="002F2832">
        <w:rPr>
          <w:rtl/>
          <w:lang w:val="en-GB" w:bidi="ar-EG"/>
        </w:rPr>
        <w:t>واستنادا إلى تقرير قطاع الاتصالات الراديوية هذا، وبغض النظر عن قرار المؤتمر العالمي للاتصالات الراديوية لعام 2023 بشأن بند جدول الأعمال المشار إليه أعلاه، قامت المنظمة العالمية للأرصاد الجوية بدراسة مختلف أجهزة استشعار طقس الفضاء، التي تكون إما في الخدمة أو على وشك أن توضع في الخدمة من أجل وضع قائمة مديات التردد المستعملة ذات الصلة.</w:t>
      </w:r>
    </w:p>
    <w:p w14:paraId="75D5E237" w14:textId="3C5702AA" w:rsidR="00443E96" w:rsidRDefault="002F2832" w:rsidP="002F2832">
      <w:pPr>
        <w:rPr>
          <w:rtl/>
          <w:lang w:val="en-GB" w:bidi="ar-EG"/>
        </w:rPr>
      </w:pPr>
      <w:r w:rsidRPr="002F2832">
        <w:rPr>
          <w:rtl/>
          <w:lang w:val="en-GB" w:bidi="ar-EG"/>
        </w:rPr>
        <w:t xml:space="preserve">وسترحّب المنظمة العالمية للأرصاد الجوية بأن تدرج، ضمن بند جديد يُحتمل إضافته إلى جدول أعمال المؤتمر </w:t>
      </w:r>
      <w:r w:rsidRPr="002F2832">
        <w:rPr>
          <w:lang w:val="en-GB" w:bidi="ar-EG"/>
        </w:rPr>
        <w:t>WRC-27</w:t>
      </w:r>
      <w:r w:rsidRPr="002F2832">
        <w:rPr>
          <w:rtl/>
          <w:lang w:val="en-GB" w:bidi="ar-EG"/>
        </w:rPr>
        <w:t xml:space="preserve">، نطاقات التردد المحددة فيما يلي في البند المحتمل إدراجه في جدول الأعمال المقبل للمؤتمر </w:t>
      </w:r>
      <w:r w:rsidRPr="002F2832">
        <w:rPr>
          <w:lang w:val="en-GB" w:bidi="ar-EG"/>
        </w:rPr>
        <w:t>WRC-27</w:t>
      </w:r>
      <w:r w:rsidRPr="002F2832">
        <w:rPr>
          <w:rtl/>
          <w:lang w:val="en-GB" w:bidi="ar-EG"/>
        </w:rPr>
        <w:t xml:space="preserve"> بشأن طقس الفضاء، تماشيا مع البند 6.2 من جدول الأعمال التمهيدي الموافق عليه للمؤتمر </w:t>
      </w:r>
      <w:r w:rsidRPr="002F2832">
        <w:rPr>
          <w:lang w:val="en-GB" w:bidi="ar-EG"/>
        </w:rPr>
        <w:t>WRC-27</w:t>
      </w:r>
      <w:r w:rsidRPr="002F2832">
        <w:rPr>
          <w:rtl/>
          <w:lang w:val="en-GB" w:bidi="ar-EG"/>
        </w:rPr>
        <w:t>، من أجل وضع حكم مناسب في لوائح الراديو لضمان حماية أنظمة استشعار طقس الفضاء الموضوعة حاليا في الخدمة أو التي يُعتزم وضع</w:t>
      </w:r>
      <w:r>
        <w:rPr>
          <w:rtl/>
          <w:lang w:val="en-GB" w:bidi="ar-EG"/>
        </w:rPr>
        <w:t>ها في الخدمة في المستقبل القريب</w:t>
      </w:r>
      <w:r w:rsidR="00443E96">
        <w:rPr>
          <w:rFonts w:hint="cs"/>
          <w:rtl/>
          <w:lang w:val="en-GB" w:bidi="ar-EG"/>
        </w:rPr>
        <w:t>:</w:t>
      </w:r>
    </w:p>
    <w:p w14:paraId="07D16163" w14:textId="4EA9C734" w:rsidR="00443E96" w:rsidRPr="001C2E50" w:rsidRDefault="00443E96" w:rsidP="00425269">
      <w:pPr>
        <w:pStyle w:val="enumlev1"/>
        <w:rPr>
          <w:lang w:val="de-DE" w:bidi="ar-EG"/>
        </w:rPr>
      </w:pPr>
      <w:r>
        <w:rPr>
          <w:rFonts w:hint="cs"/>
          <w:rtl/>
          <w:lang w:val="en-GB" w:bidi="ar-EG"/>
        </w:rPr>
        <w:t>-</w:t>
      </w:r>
      <w:r>
        <w:rPr>
          <w:rtl/>
          <w:lang w:val="en-GB" w:bidi="ar-EG"/>
        </w:rPr>
        <w:tab/>
      </w:r>
      <w:r w:rsidR="00425269" w:rsidRPr="001C2E50">
        <w:rPr>
          <w:lang w:val="de-DE" w:bidi="ar-EG"/>
        </w:rPr>
        <w:t>MHz 32,6-27,5</w:t>
      </w:r>
    </w:p>
    <w:p w14:paraId="1FDD89B5" w14:textId="1666DA65" w:rsidR="00425269" w:rsidRPr="001C2E50" w:rsidRDefault="00425269" w:rsidP="0005637A">
      <w:pPr>
        <w:pStyle w:val="enumlev1"/>
        <w:rPr>
          <w:lang w:val="de-DE" w:bidi="ar-EG"/>
        </w:rPr>
      </w:pPr>
      <w:r>
        <w:rPr>
          <w:rFonts w:hint="cs"/>
          <w:rtl/>
          <w:lang w:val="en-GB" w:bidi="ar-EG"/>
        </w:rPr>
        <w:t>-</w:t>
      </w:r>
      <w:r>
        <w:rPr>
          <w:rtl/>
          <w:lang w:val="en-GB" w:bidi="ar-EG"/>
        </w:rPr>
        <w:tab/>
      </w:r>
      <w:r w:rsidRPr="001C2E50">
        <w:rPr>
          <w:lang w:val="de-DE" w:bidi="ar-EG"/>
        </w:rPr>
        <w:t>MHz 38,</w:t>
      </w:r>
      <w:r w:rsidR="0005637A" w:rsidRPr="001C2E50">
        <w:rPr>
          <w:lang w:val="de-DE" w:bidi="ar-EG"/>
        </w:rPr>
        <w:t>5</w:t>
      </w:r>
      <w:r w:rsidRPr="001C2E50">
        <w:rPr>
          <w:lang w:val="de-DE" w:bidi="ar-EG"/>
        </w:rPr>
        <w:t>-37,5</w:t>
      </w:r>
    </w:p>
    <w:p w14:paraId="10F8AE1D" w14:textId="2EE18AC7" w:rsidR="00425269" w:rsidRPr="001C2E50" w:rsidRDefault="00425269" w:rsidP="00425269">
      <w:pPr>
        <w:pStyle w:val="enumlev1"/>
        <w:rPr>
          <w:lang w:val="de-DE" w:bidi="ar-EG"/>
        </w:rPr>
      </w:pPr>
      <w:r>
        <w:rPr>
          <w:rFonts w:hint="cs"/>
          <w:rtl/>
          <w:lang w:val="en-GB" w:bidi="ar-EG"/>
        </w:rPr>
        <w:t>-</w:t>
      </w:r>
      <w:r>
        <w:rPr>
          <w:rtl/>
          <w:lang w:val="en-GB" w:bidi="ar-EG"/>
        </w:rPr>
        <w:tab/>
      </w:r>
      <w:r w:rsidRPr="001C2E50">
        <w:rPr>
          <w:lang w:val="de-DE" w:bidi="ar-EG"/>
        </w:rPr>
        <w:t>MHz </w:t>
      </w:r>
      <w:r w:rsidR="00106C9A" w:rsidRPr="001C2E50">
        <w:rPr>
          <w:lang w:val="de-DE" w:bidi="ar-EG"/>
        </w:rPr>
        <w:t>51</w:t>
      </w:r>
      <w:r w:rsidRPr="001C2E50">
        <w:rPr>
          <w:lang w:val="de-DE" w:bidi="ar-EG"/>
        </w:rPr>
        <w:t>,</w:t>
      </w:r>
      <w:r w:rsidR="00106C9A" w:rsidRPr="001C2E50">
        <w:rPr>
          <w:lang w:val="de-DE" w:bidi="ar-EG"/>
        </w:rPr>
        <w:t>525</w:t>
      </w:r>
      <w:r w:rsidRPr="001C2E50">
        <w:rPr>
          <w:lang w:val="de-DE" w:bidi="ar-EG"/>
        </w:rPr>
        <w:t>-</w:t>
      </w:r>
      <w:r w:rsidR="00106C9A" w:rsidRPr="001C2E50">
        <w:rPr>
          <w:lang w:val="de-DE" w:bidi="ar-EG"/>
        </w:rPr>
        <w:t>51</w:t>
      </w:r>
      <w:r w:rsidRPr="001C2E50">
        <w:rPr>
          <w:lang w:val="de-DE" w:bidi="ar-EG"/>
        </w:rPr>
        <w:t>,</w:t>
      </w:r>
      <w:r w:rsidR="00106C9A" w:rsidRPr="001C2E50">
        <w:rPr>
          <w:lang w:val="de-DE" w:bidi="ar-EG"/>
        </w:rPr>
        <w:t>275</w:t>
      </w:r>
    </w:p>
    <w:p w14:paraId="2F3C3B58" w14:textId="66120F44" w:rsidR="00425269" w:rsidRPr="001C2E50" w:rsidRDefault="00425269" w:rsidP="00425269">
      <w:pPr>
        <w:pStyle w:val="enumlev1"/>
        <w:rPr>
          <w:lang w:val="de-DE" w:bidi="ar-EG"/>
        </w:rPr>
      </w:pPr>
      <w:r>
        <w:rPr>
          <w:rFonts w:hint="cs"/>
          <w:rtl/>
          <w:lang w:val="en-GB" w:bidi="ar-EG"/>
        </w:rPr>
        <w:t>-</w:t>
      </w:r>
      <w:r>
        <w:rPr>
          <w:rtl/>
          <w:lang w:val="en-GB" w:bidi="ar-EG"/>
        </w:rPr>
        <w:tab/>
      </w:r>
      <w:r w:rsidRPr="001C2E50">
        <w:rPr>
          <w:lang w:val="de-DE" w:bidi="ar-EG"/>
        </w:rPr>
        <w:t>MHz </w:t>
      </w:r>
      <w:r w:rsidR="00106C9A" w:rsidRPr="001C2E50">
        <w:rPr>
          <w:lang w:val="de-DE" w:bidi="ar-EG"/>
        </w:rPr>
        <w:t>250</w:t>
      </w:r>
      <w:r w:rsidRPr="001C2E50">
        <w:rPr>
          <w:lang w:val="de-DE" w:bidi="ar-EG"/>
        </w:rPr>
        <w:t>-</w:t>
      </w:r>
      <w:r w:rsidR="00106C9A" w:rsidRPr="001C2E50">
        <w:rPr>
          <w:lang w:val="de-DE" w:bidi="ar-EG"/>
        </w:rPr>
        <w:t>240</w:t>
      </w:r>
    </w:p>
    <w:p w14:paraId="34BD6A46" w14:textId="08194BF2" w:rsidR="00425269" w:rsidRPr="001C2E50" w:rsidRDefault="00425269" w:rsidP="00425269">
      <w:pPr>
        <w:pStyle w:val="enumlev1"/>
        <w:rPr>
          <w:lang w:val="de-DE" w:bidi="ar-EG"/>
        </w:rPr>
      </w:pPr>
      <w:r>
        <w:rPr>
          <w:rFonts w:hint="cs"/>
          <w:rtl/>
          <w:lang w:val="en-GB" w:bidi="ar-EG"/>
        </w:rPr>
        <w:t>-</w:t>
      </w:r>
      <w:r>
        <w:rPr>
          <w:rtl/>
          <w:lang w:val="en-GB" w:bidi="ar-EG"/>
        </w:rPr>
        <w:tab/>
      </w:r>
      <w:r w:rsidRPr="001C2E50">
        <w:rPr>
          <w:lang w:val="de-DE" w:bidi="ar-EG"/>
        </w:rPr>
        <w:t>MHz </w:t>
      </w:r>
      <w:r w:rsidR="00106C9A" w:rsidRPr="001C2E50">
        <w:rPr>
          <w:lang w:val="de-DE" w:bidi="ar-EG"/>
        </w:rPr>
        <w:t>614</w:t>
      </w:r>
      <w:r w:rsidRPr="001C2E50">
        <w:rPr>
          <w:lang w:val="de-DE" w:bidi="ar-EG"/>
        </w:rPr>
        <w:t>-</w:t>
      </w:r>
      <w:r w:rsidR="00106C9A" w:rsidRPr="001C2E50">
        <w:rPr>
          <w:lang w:val="de-DE" w:bidi="ar-EG"/>
        </w:rPr>
        <w:t>608</w:t>
      </w:r>
    </w:p>
    <w:p w14:paraId="7A24A095" w14:textId="1CD7441B" w:rsidR="00FD7BB8" w:rsidRPr="00B269D2" w:rsidRDefault="00106C9A" w:rsidP="00106C9A">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w:t>
      </w:r>
    </w:p>
    <w:sectPr w:rsidR="00FD7BB8" w:rsidRPr="00B269D2" w:rsidSect="009D02BD">
      <w:headerReference w:type="even" r:id="rId14"/>
      <w:headerReference w:type="default" r:id="rId15"/>
      <w:footerReference w:type="even" r:id="rId16"/>
      <w:footerReference w:type="default" r:id="rId17"/>
      <w:headerReference w:type="first" r:id="rId18"/>
      <w:footerReference w:type="first" r:id="rId19"/>
      <w:type w:val="oddPage"/>
      <w:pgSz w:w="11909" w:h="16834" w:code="9"/>
      <w:pgMar w:top="1411" w:right="1138" w:bottom="1138" w:left="1138" w:header="562" w:footer="5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E4B3" w14:textId="77777777" w:rsidR="008A6A54" w:rsidRDefault="008A6A54" w:rsidP="002919E1">
      <w:r>
        <w:separator/>
      </w:r>
    </w:p>
    <w:p w14:paraId="6D02607F" w14:textId="77777777" w:rsidR="008A6A54" w:rsidRDefault="008A6A54" w:rsidP="002919E1"/>
    <w:p w14:paraId="0F3CCE31" w14:textId="77777777" w:rsidR="008A6A54" w:rsidRDefault="008A6A54" w:rsidP="002919E1"/>
    <w:p w14:paraId="2ABEF090" w14:textId="77777777" w:rsidR="008A6A54" w:rsidRDefault="008A6A54"/>
    <w:p w14:paraId="7A1F9814" w14:textId="77777777" w:rsidR="008A6A54" w:rsidRDefault="008A6A54"/>
  </w:endnote>
  <w:endnote w:type="continuationSeparator" w:id="0">
    <w:p w14:paraId="6E3C036C" w14:textId="77777777" w:rsidR="008A6A54" w:rsidRDefault="008A6A54" w:rsidP="002919E1">
      <w:r>
        <w:continuationSeparator/>
      </w:r>
    </w:p>
    <w:p w14:paraId="0F5C49D0" w14:textId="77777777" w:rsidR="008A6A54" w:rsidRDefault="008A6A54" w:rsidP="002919E1"/>
    <w:p w14:paraId="6288628A" w14:textId="77777777" w:rsidR="008A6A54" w:rsidRDefault="008A6A54" w:rsidP="002919E1"/>
    <w:p w14:paraId="253927E5" w14:textId="77777777" w:rsidR="008A6A54" w:rsidRDefault="008A6A54"/>
    <w:p w14:paraId="1CBC34EA" w14:textId="77777777" w:rsidR="008A6A54" w:rsidRDefault="008A6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7B0A"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8A6A54">
      <w:rPr>
        <w:noProof/>
        <w:sz w:val="16"/>
        <w:szCs w:val="16"/>
        <w:lang w:val="fr-FR"/>
      </w:rPr>
      <w:t>Document7</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899C" w14:textId="2471E9D4" w:rsidR="009D02BD" w:rsidRPr="009D02BD" w:rsidRDefault="009D02BD" w:rsidP="009D02BD">
    <w:pPr>
      <w:pStyle w:val="Footer"/>
      <w:tabs>
        <w:tab w:val="center" w:pos="5103"/>
        <w:tab w:val="right" w:pos="9639"/>
      </w:tabs>
      <w:bidi w:val="0"/>
      <w:spacing w:before="120"/>
      <w:rPr>
        <w:sz w:val="16"/>
        <w:szCs w:val="16"/>
      </w:rPr>
    </w:pPr>
    <w:r w:rsidRPr="0026373E">
      <w:rPr>
        <w:sz w:val="16"/>
        <w:szCs w:val="16"/>
        <w:lang w:val="fr-FR"/>
      </w:rPr>
      <w:fldChar w:fldCharType="begin"/>
    </w:r>
    <w:r w:rsidRPr="002522BE">
      <w:rPr>
        <w:sz w:val="16"/>
        <w:szCs w:val="16"/>
        <w:lang w:val="en-GB"/>
      </w:rPr>
      <w:instrText xml:space="preserve"> FILENAME \p \* MERGEFORMAT </w:instrText>
    </w:r>
    <w:r w:rsidRPr="0026373E">
      <w:rPr>
        <w:sz w:val="16"/>
        <w:szCs w:val="16"/>
        <w:lang w:val="fr-FR"/>
      </w:rPr>
      <w:fldChar w:fldCharType="separate"/>
    </w:r>
    <w:r w:rsidR="002522BE" w:rsidRPr="002522BE">
      <w:rPr>
        <w:noProof/>
        <w:sz w:val="16"/>
        <w:szCs w:val="16"/>
        <w:lang w:val="en-GB"/>
      </w:rPr>
      <w:t>P:\ARA\ITU-R\CONF-R\CMR23\000\068A.docx</w:t>
    </w:r>
    <w:r w:rsidRPr="0026373E">
      <w:rPr>
        <w:sz w:val="16"/>
        <w:szCs w:val="16"/>
      </w:rPr>
      <w:fldChar w:fldCharType="end"/>
    </w:r>
    <w:proofErr w:type="gramStart"/>
    <w:r w:rsidRPr="0026373E">
      <w:rPr>
        <w:sz w:val="16"/>
        <w:szCs w:val="16"/>
      </w:rPr>
      <w:t xml:space="preserve">  </w:t>
    </w:r>
    <w:r w:rsidRPr="002522BE">
      <w:rPr>
        <w:sz w:val="16"/>
        <w:szCs w:val="16"/>
        <w:lang w:val="en-GB"/>
      </w:rPr>
      <w:t xml:space="preserve"> (</w:t>
    </w:r>
    <w:proofErr w:type="gramEnd"/>
    <w:r w:rsidR="007E74A9" w:rsidRPr="002522BE">
      <w:rPr>
        <w:sz w:val="16"/>
        <w:szCs w:val="16"/>
        <w:lang w:val="en-GB"/>
      </w:rPr>
      <w:t>529048</w:t>
    </w:r>
    <w:r w:rsidRPr="002522BE">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E438" w14:textId="459F509E"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522BE">
      <w:rPr>
        <w:sz w:val="16"/>
        <w:szCs w:val="16"/>
        <w:lang w:val="en-GB"/>
      </w:rPr>
      <w:instrText xml:space="preserve"> FILENAME \p \* MERGEFORMAT </w:instrText>
    </w:r>
    <w:r w:rsidRPr="0026373E">
      <w:rPr>
        <w:sz w:val="16"/>
        <w:szCs w:val="16"/>
        <w:lang w:val="fr-FR"/>
      </w:rPr>
      <w:fldChar w:fldCharType="separate"/>
    </w:r>
    <w:r w:rsidR="001C2E50" w:rsidRPr="002522BE">
      <w:rPr>
        <w:noProof/>
        <w:sz w:val="16"/>
        <w:szCs w:val="16"/>
        <w:lang w:val="en-GB"/>
      </w:rPr>
      <w:t>P:\ARA\ITU-R\CONF-R\CMR23\000\068A.docx</w:t>
    </w:r>
    <w:r w:rsidRPr="0026373E">
      <w:rPr>
        <w:sz w:val="16"/>
        <w:szCs w:val="16"/>
      </w:rPr>
      <w:fldChar w:fldCharType="end"/>
    </w:r>
    <w:proofErr w:type="gramStart"/>
    <w:r w:rsidRPr="0026373E">
      <w:rPr>
        <w:sz w:val="16"/>
        <w:szCs w:val="16"/>
      </w:rPr>
      <w:t xml:space="preserve">  </w:t>
    </w:r>
    <w:r w:rsidRPr="002522BE">
      <w:rPr>
        <w:sz w:val="16"/>
        <w:szCs w:val="16"/>
        <w:lang w:val="en-GB"/>
      </w:rPr>
      <w:t xml:space="preserve"> (</w:t>
    </w:r>
    <w:proofErr w:type="gramEnd"/>
    <w:r w:rsidR="007E74A9" w:rsidRPr="002522BE">
      <w:rPr>
        <w:sz w:val="16"/>
        <w:szCs w:val="16"/>
        <w:lang w:val="en-GB"/>
      </w:rPr>
      <w:t>529048</w:t>
    </w:r>
    <w:r w:rsidRPr="002522BE">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1FCE" w14:textId="77777777" w:rsidR="008A6A54" w:rsidRDefault="008A6A54" w:rsidP="00C45930">
      <w:r>
        <w:separator/>
      </w:r>
    </w:p>
  </w:footnote>
  <w:footnote w:type="continuationSeparator" w:id="0">
    <w:p w14:paraId="36B61718" w14:textId="77777777" w:rsidR="008A6A54" w:rsidRDefault="008A6A54" w:rsidP="002919E1">
      <w:r>
        <w:continuationSeparator/>
      </w:r>
    </w:p>
    <w:p w14:paraId="02A0B98E" w14:textId="77777777" w:rsidR="008A6A54" w:rsidRDefault="008A6A54" w:rsidP="002919E1"/>
    <w:p w14:paraId="6AFB3B26" w14:textId="77777777" w:rsidR="008A6A54" w:rsidRDefault="008A6A54" w:rsidP="002919E1"/>
    <w:p w14:paraId="43191459" w14:textId="77777777" w:rsidR="008A6A54" w:rsidRDefault="008A6A54"/>
    <w:p w14:paraId="342E6855" w14:textId="77777777" w:rsidR="008A6A54" w:rsidRDefault="008A6A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2D7B" w14:textId="77777777" w:rsidR="00D63A6F" w:rsidRPr="00447F32" w:rsidRDefault="002522BE"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D63A6F">
          <w:t xml:space="preserve">- </w:t>
        </w:r>
        <w:r w:rsidR="00D63A6F" w:rsidRPr="00447F32">
          <w:rPr>
            <w:rFonts w:cs="Calibri"/>
          </w:rPr>
          <w:fldChar w:fldCharType="begin"/>
        </w:r>
        <w:r w:rsidR="00D63A6F" w:rsidRPr="00447F32">
          <w:rPr>
            <w:rFonts w:cs="Calibri"/>
          </w:rPr>
          <w:instrText xml:space="preserve"> PAGE   \* MERGEFORMAT </w:instrText>
        </w:r>
        <w:r w:rsidR="00D63A6F" w:rsidRPr="00447F32">
          <w:rPr>
            <w:rFonts w:cs="Calibri"/>
          </w:rPr>
          <w:fldChar w:fldCharType="separate"/>
        </w:r>
        <w:r w:rsidR="00D63A6F">
          <w:rPr>
            <w:rFonts w:cs="Calibri"/>
          </w:rPr>
          <w:t>2</w:t>
        </w:r>
        <w:r w:rsidR="00D63A6F" w:rsidRPr="00447F32">
          <w:rPr>
            <w:rFonts w:cs="Calibri"/>
            <w:noProof/>
          </w:rPr>
          <w:fldChar w:fldCharType="end"/>
        </w:r>
        <w:r w:rsidR="00D63A6F">
          <w:rPr>
            <w:rFonts w:cs="Calibri"/>
            <w:noProof/>
          </w:rPr>
          <w:t xml:space="preserve"> -</w:t>
        </w:r>
      </w:sdtContent>
    </w:sdt>
    <w:r w:rsidR="000D1EE4">
      <w:rPr>
        <w:rFonts w:cs="Calibri"/>
        <w:noProof/>
      </w:rPr>
      <w:br/>
    </w:r>
    <w:r w:rsidR="00B269D2">
      <w:rPr>
        <w:rFonts w:cs="Calibri"/>
        <w:noProof/>
      </w:rPr>
      <w:t>CMR23</w:t>
    </w:r>
    <w:r w:rsidR="000D1EE4">
      <w:rPr>
        <w:rFonts w:cs="Calibri"/>
        <w:noProof/>
      </w:rPr>
      <w:t>/</w:t>
    </w:r>
    <w:r w:rsidR="00B269D2" w:rsidRPr="00B269D2">
      <w:rPr>
        <w:rFonts w:cs="Calibri"/>
        <w:noProof/>
      </w:rPr>
      <w:t>x</w:t>
    </w:r>
    <w:r w:rsidR="000D1EE4" w:rsidRPr="00B269D2">
      <w:rPr>
        <w:rFonts w:cs="Calibri"/>
        <w:noProof/>
      </w:rPr>
      <w:t>x</w:t>
    </w:r>
    <w:r w:rsidR="000D1EE4">
      <w:rPr>
        <w:rFonts w:cs="Calibri"/>
        <w:noProof/>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CA00" w14:textId="4466E1A5" w:rsidR="009D02BD" w:rsidRPr="009D02BD" w:rsidRDefault="002522BE" w:rsidP="009D02BD">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9D02BD">
          <w:t xml:space="preserve">- </w:t>
        </w:r>
        <w:r w:rsidR="009D02BD" w:rsidRPr="00447F32">
          <w:rPr>
            <w:rFonts w:cs="Calibri"/>
          </w:rPr>
          <w:fldChar w:fldCharType="begin"/>
        </w:r>
        <w:r w:rsidR="009D02BD" w:rsidRPr="00447F32">
          <w:rPr>
            <w:rFonts w:cs="Calibri"/>
          </w:rPr>
          <w:instrText xml:space="preserve"> PAGE   \* MERGEFORMAT </w:instrText>
        </w:r>
        <w:r w:rsidR="009D02BD" w:rsidRPr="00447F32">
          <w:rPr>
            <w:rFonts w:cs="Calibri"/>
          </w:rPr>
          <w:fldChar w:fldCharType="separate"/>
        </w:r>
        <w:r w:rsidR="0005637A">
          <w:rPr>
            <w:rFonts w:cs="Calibri"/>
            <w:noProof/>
          </w:rPr>
          <w:t>2</w:t>
        </w:r>
        <w:r w:rsidR="009D02BD" w:rsidRPr="00447F32">
          <w:rPr>
            <w:rFonts w:cs="Calibri"/>
            <w:noProof/>
          </w:rPr>
          <w:fldChar w:fldCharType="end"/>
        </w:r>
        <w:r w:rsidR="009D02BD">
          <w:rPr>
            <w:rFonts w:cs="Calibri"/>
            <w:noProof/>
          </w:rPr>
          <w:t xml:space="preserve"> -</w:t>
        </w:r>
      </w:sdtContent>
    </w:sdt>
    <w:r w:rsidR="009D02BD">
      <w:rPr>
        <w:rFonts w:cs="Calibri"/>
        <w:noProof/>
      </w:rPr>
      <w:br/>
    </w:r>
    <w:r w:rsidR="001466B5">
      <w:rPr>
        <w:rFonts w:cs="Calibri"/>
        <w:noProof/>
      </w:rPr>
      <w:t>WRC</w:t>
    </w:r>
    <w:r w:rsidR="009D02BD">
      <w:rPr>
        <w:rFonts w:cs="Calibri"/>
        <w:noProof/>
      </w:rPr>
      <w:t>23/</w:t>
    </w:r>
    <w:r w:rsidR="007E74A9">
      <w:rPr>
        <w:rFonts w:cs="Calibri"/>
        <w:noProof/>
      </w:rPr>
      <w:t>68</w:t>
    </w:r>
    <w:r w:rsidR="009D02BD">
      <w:rPr>
        <w:rFonts w:cs="Calibri"/>
        <w:noProof/>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B74C" w14:textId="77777777" w:rsidR="002522BE" w:rsidRDefault="00252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64D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2E1D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D483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5843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53532999">
    <w:abstractNumId w:val="9"/>
  </w:num>
  <w:num w:numId="2" w16cid:durableId="1742410562">
    <w:abstractNumId w:val="13"/>
  </w:num>
  <w:num w:numId="3" w16cid:durableId="1041317880">
    <w:abstractNumId w:val="11"/>
  </w:num>
  <w:num w:numId="4" w16cid:durableId="760687869">
    <w:abstractNumId w:val="14"/>
  </w:num>
  <w:num w:numId="5" w16cid:durableId="908272030">
    <w:abstractNumId w:val="7"/>
  </w:num>
  <w:num w:numId="6" w16cid:durableId="1472551082">
    <w:abstractNumId w:val="6"/>
  </w:num>
  <w:num w:numId="7" w16cid:durableId="1009797451">
    <w:abstractNumId w:val="5"/>
  </w:num>
  <w:num w:numId="8" w16cid:durableId="1492453115">
    <w:abstractNumId w:val="4"/>
  </w:num>
  <w:num w:numId="9" w16cid:durableId="292684228">
    <w:abstractNumId w:val="8"/>
  </w:num>
  <w:num w:numId="10" w16cid:durableId="1041829906">
    <w:abstractNumId w:val="3"/>
  </w:num>
  <w:num w:numId="11" w16cid:durableId="1582907219">
    <w:abstractNumId w:val="2"/>
  </w:num>
  <w:num w:numId="12" w16cid:durableId="1345132859">
    <w:abstractNumId w:val="1"/>
  </w:num>
  <w:num w:numId="13" w16cid:durableId="1380546398">
    <w:abstractNumId w:val="0"/>
  </w:num>
  <w:num w:numId="14" w16cid:durableId="1435398650">
    <w:abstractNumId w:val="10"/>
  </w:num>
  <w:num w:numId="15" w16cid:durableId="2015838018">
    <w:abstractNumId w:val="15"/>
  </w:num>
  <w:num w:numId="16" w16cid:durableId="709569679">
    <w:abstractNumId w:val="12"/>
  </w:num>
  <w:num w:numId="17" w16cid:durableId="538398974">
    <w:abstractNumId w:val="6"/>
  </w:num>
  <w:num w:numId="18" w16cid:durableId="1138258714">
    <w:abstractNumId w:val="5"/>
  </w:num>
  <w:num w:numId="19" w16cid:durableId="1171139343">
    <w:abstractNumId w:val="3"/>
  </w:num>
  <w:num w:numId="20" w16cid:durableId="57241757">
    <w:abstractNumId w:val="2"/>
  </w:num>
  <w:num w:numId="21" w16cid:durableId="2104841048">
    <w:abstractNumId w:val="6"/>
  </w:num>
  <w:num w:numId="22" w16cid:durableId="287441841">
    <w:abstractNumId w:val="5"/>
  </w:num>
  <w:num w:numId="23" w16cid:durableId="1799640104">
    <w:abstractNumId w:val="3"/>
  </w:num>
  <w:num w:numId="24" w16cid:durableId="595018433">
    <w:abstractNumId w:val="2"/>
  </w:num>
  <w:num w:numId="25" w16cid:durableId="388262449">
    <w:abstractNumId w:val="6"/>
  </w:num>
  <w:num w:numId="26" w16cid:durableId="1520003842">
    <w:abstractNumId w:val="5"/>
  </w:num>
  <w:num w:numId="27" w16cid:durableId="661199184">
    <w:abstractNumId w:val="3"/>
  </w:num>
  <w:num w:numId="28" w16cid:durableId="774138305">
    <w:abstractNumId w:val="2"/>
  </w:num>
  <w:num w:numId="29" w16cid:durableId="437523692">
    <w:abstractNumId w:val="6"/>
  </w:num>
  <w:num w:numId="30" w16cid:durableId="965432781">
    <w:abstractNumId w:val="5"/>
  </w:num>
  <w:num w:numId="31" w16cid:durableId="1370454717">
    <w:abstractNumId w:val="3"/>
  </w:num>
  <w:num w:numId="32" w16cid:durableId="1316642880">
    <w:abstractNumId w:val="2"/>
  </w:num>
  <w:num w:numId="33" w16cid:durableId="1228301203">
    <w:abstractNumId w:val="6"/>
  </w:num>
  <w:num w:numId="34" w16cid:durableId="620576094">
    <w:abstractNumId w:val="5"/>
  </w:num>
  <w:num w:numId="35" w16cid:durableId="1590311714">
    <w:abstractNumId w:val="3"/>
  </w:num>
  <w:num w:numId="36" w16cid:durableId="1415859411">
    <w:abstractNumId w:val="2"/>
  </w:num>
  <w:num w:numId="37" w16cid:durableId="315451887">
    <w:abstractNumId w:val="6"/>
  </w:num>
  <w:num w:numId="38" w16cid:durableId="1625841947">
    <w:abstractNumId w:val="5"/>
  </w:num>
  <w:num w:numId="39" w16cid:durableId="2018844340">
    <w:abstractNumId w:val="3"/>
  </w:num>
  <w:num w:numId="40" w16cid:durableId="1638149665">
    <w:abstractNumId w:val="2"/>
  </w:num>
  <w:num w:numId="41" w16cid:durableId="394278772">
    <w:abstractNumId w:val="6"/>
  </w:num>
  <w:num w:numId="42" w16cid:durableId="1604875547">
    <w:abstractNumId w:val="5"/>
  </w:num>
  <w:num w:numId="43" w16cid:durableId="1635214488">
    <w:abstractNumId w:val="3"/>
  </w:num>
  <w:num w:numId="44" w16cid:durableId="1633822744">
    <w:abstractNumId w:val="2"/>
  </w:num>
  <w:num w:numId="45" w16cid:durableId="2079592175">
    <w:abstractNumId w:val="6"/>
  </w:num>
  <w:num w:numId="46" w16cid:durableId="545335460">
    <w:abstractNumId w:val="5"/>
  </w:num>
  <w:num w:numId="47" w16cid:durableId="344093992">
    <w:abstractNumId w:val="3"/>
  </w:num>
  <w:num w:numId="48" w16cid:durableId="136841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A54"/>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37A"/>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06C9A"/>
    <w:rsid w:val="00110605"/>
    <w:rsid w:val="00115F22"/>
    <w:rsid w:val="00122D64"/>
    <w:rsid w:val="00123AA6"/>
    <w:rsid w:val="00123B85"/>
    <w:rsid w:val="00123B91"/>
    <w:rsid w:val="0012467F"/>
    <w:rsid w:val="00124A41"/>
    <w:rsid w:val="0012545F"/>
    <w:rsid w:val="001261DC"/>
    <w:rsid w:val="00126F2F"/>
    <w:rsid w:val="00130B54"/>
    <w:rsid w:val="00134562"/>
    <w:rsid w:val="00134CAD"/>
    <w:rsid w:val="001356B2"/>
    <w:rsid w:val="00136B82"/>
    <w:rsid w:val="00141821"/>
    <w:rsid w:val="00141DB6"/>
    <w:rsid w:val="001464F2"/>
    <w:rsid w:val="001466B5"/>
    <w:rsid w:val="00146A76"/>
    <w:rsid w:val="0016459B"/>
    <w:rsid w:val="00167364"/>
    <w:rsid w:val="001903B2"/>
    <w:rsid w:val="001956F9"/>
    <w:rsid w:val="001A6F04"/>
    <w:rsid w:val="001B0F78"/>
    <w:rsid w:val="001B217C"/>
    <w:rsid w:val="001B5953"/>
    <w:rsid w:val="001B76DD"/>
    <w:rsid w:val="001C2E50"/>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22BE"/>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2832"/>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5269"/>
    <w:rsid w:val="00426144"/>
    <w:rsid w:val="004351B3"/>
    <w:rsid w:val="0043653E"/>
    <w:rsid w:val="004375C2"/>
    <w:rsid w:val="0044053A"/>
    <w:rsid w:val="00440622"/>
    <w:rsid w:val="00443E96"/>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B40D5"/>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848B7"/>
    <w:rsid w:val="005953EC"/>
    <w:rsid w:val="005B00A1"/>
    <w:rsid w:val="005B4A6D"/>
    <w:rsid w:val="005C29C8"/>
    <w:rsid w:val="005C47A6"/>
    <w:rsid w:val="005C5D25"/>
    <w:rsid w:val="005D2606"/>
    <w:rsid w:val="005D6D48"/>
    <w:rsid w:val="005D72A4"/>
    <w:rsid w:val="005E167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0E83"/>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4A9"/>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5EB0"/>
    <w:rsid w:val="008A6552"/>
    <w:rsid w:val="008A6A54"/>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02BD"/>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1F28"/>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2E85"/>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273E2"/>
    <w:rsid w:val="00F33A34"/>
    <w:rsid w:val="00F350C8"/>
    <w:rsid w:val="00F42650"/>
    <w:rsid w:val="00F44068"/>
    <w:rsid w:val="00F501CE"/>
    <w:rsid w:val="00F5260F"/>
    <w:rsid w:val="00F545E4"/>
    <w:rsid w:val="00F55E63"/>
    <w:rsid w:val="00F56BB7"/>
    <w:rsid w:val="00F63CC1"/>
    <w:rsid w:val="00F65F7C"/>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2E6D"/>
    <w:rsid w:val="00FB4A1C"/>
    <w:rsid w:val="00FB5CC8"/>
    <w:rsid w:val="00FC02AD"/>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32D65"/>
  <w15:docId w15:val="{0143CEA6-91D4-4C31-8D27-18226FAD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44053A"/>
    <w:pPr>
      <w:spacing w:before="240"/>
      <w:ind w:left="0" w:firstLine="0"/>
    </w:p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9D02BD"/>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9DC3C-2C3B-475D-8F44-26E8BC77AED0}">
  <ds:schemaRefs>
    <ds:schemaRef ds:uri="http://schemas.openxmlformats.org/officeDocument/2006/bibliography"/>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93D25B3B-5FDE-4E53-994F-60636F3B02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493</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Arabic_AA</dc:creator>
  <cp:keywords>DPM_v2020.5.14.1_prod</cp:keywords>
  <cp:lastModifiedBy>Arabic-IR</cp:lastModifiedBy>
  <cp:revision>4</cp:revision>
  <cp:lastPrinted>2020-08-11T14:28:00Z</cp:lastPrinted>
  <dcterms:created xsi:type="dcterms:W3CDTF">2023-11-03T14:43:00Z</dcterms:created>
  <dcterms:modified xsi:type="dcterms:W3CDTF">2023-11-05T16:13:00Z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