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113763" w14:paraId="2AF9B897" w14:textId="77777777" w:rsidTr="00C1305F">
        <w:trPr>
          <w:cantSplit/>
        </w:trPr>
        <w:tc>
          <w:tcPr>
            <w:tcW w:w="1418" w:type="dxa"/>
            <w:vAlign w:val="center"/>
          </w:tcPr>
          <w:p w14:paraId="0DB604E6" w14:textId="77777777" w:rsidR="00C1305F" w:rsidRPr="00113763" w:rsidRDefault="00C1305F" w:rsidP="0098624A">
            <w:pPr>
              <w:spacing w:before="0"/>
              <w:rPr>
                <w:rFonts w:ascii="Verdana" w:hAnsi="Verdana"/>
                <w:b/>
                <w:bCs/>
                <w:sz w:val="20"/>
              </w:rPr>
            </w:pPr>
            <w:r w:rsidRPr="00113763">
              <w:rPr>
                <w:noProof/>
              </w:rPr>
              <w:drawing>
                <wp:inline distT="0" distB="0" distL="0" distR="0" wp14:anchorId="77A08B1E" wp14:editId="650600DF">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1AE69524" w14:textId="16BB8229" w:rsidR="00C1305F" w:rsidRPr="00113763" w:rsidRDefault="00C1305F" w:rsidP="0098624A">
            <w:pPr>
              <w:spacing w:before="400" w:after="48"/>
              <w:rPr>
                <w:rFonts w:ascii="Verdana" w:hAnsi="Verdana"/>
                <w:b/>
                <w:bCs/>
                <w:sz w:val="20"/>
              </w:rPr>
            </w:pPr>
            <w:r w:rsidRPr="00113763">
              <w:rPr>
                <w:rFonts w:ascii="Verdana" w:hAnsi="Verdana"/>
                <w:b/>
                <w:bCs/>
                <w:sz w:val="20"/>
              </w:rPr>
              <w:t>Conférence mondiale des radiocommunications (CMR-23)</w:t>
            </w:r>
            <w:r w:rsidRPr="00113763">
              <w:rPr>
                <w:rFonts w:ascii="Verdana" w:hAnsi="Verdana"/>
                <w:b/>
                <w:bCs/>
                <w:sz w:val="20"/>
              </w:rPr>
              <w:br/>
            </w:r>
            <w:r w:rsidRPr="00113763">
              <w:rPr>
                <w:rFonts w:ascii="Verdana" w:hAnsi="Verdana"/>
                <w:b/>
                <w:bCs/>
                <w:sz w:val="18"/>
                <w:szCs w:val="18"/>
              </w:rPr>
              <w:t xml:space="preserve">Dubaï, 20 novembre </w:t>
            </w:r>
            <w:r w:rsidR="00537F39" w:rsidRPr="00113763">
              <w:rPr>
                <w:rFonts w:ascii="Verdana" w:hAnsi="Verdana"/>
                <w:b/>
                <w:bCs/>
                <w:sz w:val="18"/>
                <w:szCs w:val="18"/>
              </w:rPr>
              <w:t>–</w:t>
            </w:r>
            <w:r w:rsidRPr="00113763">
              <w:rPr>
                <w:rFonts w:ascii="Verdana" w:hAnsi="Verdana"/>
                <w:b/>
                <w:bCs/>
                <w:sz w:val="18"/>
                <w:szCs w:val="18"/>
              </w:rPr>
              <w:t xml:space="preserve"> 15 décembre 2023</w:t>
            </w:r>
          </w:p>
        </w:tc>
        <w:tc>
          <w:tcPr>
            <w:tcW w:w="1809" w:type="dxa"/>
            <w:vAlign w:val="center"/>
          </w:tcPr>
          <w:p w14:paraId="1AF458A7" w14:textId="77777777" w:rsidR="00C1305F" w:rsidRPr="00113763" w:rsidRDefault="00C1305F" w:rsidP="0098624A">
            <w:pPr>
              <w:spacing w:before="0"/>
            </w:pPr>
            <w:bookmarkStart w:id="0" w:name="ditulogo"/>
            <w:bookmarkEnd w:id="0"/>
            <w:r w:rsidRPr="00113763">
              <w:rPr>
                <w:noProof/>
              </w:rPr>
              <w:drawing>
                <wp:inline distT="0" distB="0" distL="0" distR="0" wp14:anchorId="325C5855" wp14:editId="1BB58F3F">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113763" w14:paraId="6C5C8FC2" w14:textId="77777777" w:rsidTr="0050008E">
        <w:trPr>
          <w:cantSplit/>
        </w:trPr>
        <w:tc>
          <w:tcPr>
            <w:tcW w:w="6911" w:type="dxa"/>
            <w:gridSpan w:val="2"/>
            <w:tcBorders>
              <w:bottom w:val="single" w:sz="12" w:space="0" w:color="auto"/>
            </w:tcBorders>
          </w:tcPr>
          <w:p w14:paraId="492B3BFE" w14:textId="77777777" w:rsidR="00BB1D82" w:rsidRPr="00113763" w:rsidRDefault="00BB1D82" w:rsidP="0098624A">
            <w:pPr>
              <w:spacing w:before="0" w:after="48"/>
              <w:rPr>
                <w:b/>
                <w:smallCaps/>
                <w:szCs w:val="24"/>
              </w:rPr>
            </w:pPr>
            <w:bookmarkStart w:id="1" w:name="dhead"/>
          </w:p>
        </w:tc>
        <w:tc>
          <w:tcPr>
            <w:tcW w:w="3120" w:type="dxa"/>
            <w:gridSpan w:val="2"/>
            <w:tcBorders>
              <w:bottom w:val="single" w:sz="12" w:space="0" w:color="auto"/>
            </w:tcBorders>
          </w:tcPr>
          <w:p w14:paraId="1AA94F86" w14:textId="77777777" w:rsidR="00BB1D82" w:rsidRPr="00113763" w:rsidRDefault="00BB1D82" w:rsidP="0098624A">
            <w:pPr>
              <w:spacing w:before="0"/>
              <w:rPr>
                <w:rFonts w:ascii="Verdana" w:hAnsi="Verdana"/>
                <w:szCs w:val="24"/>
              </w:rPr>
            </w:pPr>
          </w:p>
        </w:tc>
      </w:tr>
      <w:tr w:rsidR="00BB1D82" w:rsidRPr="00113763" w14:paraId="2127EB04" w14:textId="77777777" w:rsidTr="00BB1D82">
        <w:trPr>
          <w:cantSplit/>
        </w:trPr>
        <w:tc>
          <w:tcPr>
            <w:tcW w:w="6911" w:type="dxa"/>
            <w:gridSpan w:val="2"/>
            <w:tcBorders>
              <w:top w:val="single" w:sz="12" w:space="0" w:color="auto"/>
            </w:tcBorders>
          </w:tcPr>
          <w:p w14:paraId="3603FBA4" w14:textId="77777777" w:rsidR="00BB1D82" w:rsidRPr="00113763" w:rsidRDefault="00BB1D82" w:rsidP="0098624A">
            <w:pPr>
              <w:spacing w:before="0" w:after="48"/>
              <w:rPr>
                <w:rFonts w:ascii="Verdana" w:hAnsi="Verdana"/>
                <w:b/>
                <w:smallCaps/>
                <w:sz w:val="20"/>
              </w:rPr>
            </w:pPr>
          </w:p>
        </w:tc>
        <w:tc>
          <w:tcPr>
            <w:tcW w:w="3120" w:type="dxa"/>
            <w:gridSpan w:val="2"/>
            <w:tcBorders>
              <w:top w:val="single" w:sz="12" w:space="0" w:color="auto"/>
            </w:tcBorders>
          </w:tcPr>
          <w:p w14:paraId="51D98749" w14:textId="77777777" w:rsidR="00BB1D82" w:rsidRPr="00113763" w:rsidRDefault="00BB1D82" w:rsidP="0098624A">
            <w:pPr>
              <w:spacing w:before="0"/>
              <w:rPr>
                <w:rFonts w:ascii="Verdana" w:hAnsi="Verdana"/>
                <w:sz w:val="20"/>
              </w:rPr>
            </w:pPr>
          </w:p>
        </w:tc>
      </w:tr>
      <w:tr w:rsidR="00BB1D82" w:rsidRPr="00113763" w14:paraId="7E9ED0FE" w14:textId="77777777" w:rsidTr="00BB1D82">
        <w:trPr>
          <w:cantSplit/>
        </w:trPr>
        <w:tc>
          <w:tcPr>
            <w:tcW w:w="6911" w:type="dxa"/>
            <w:gridSpan w:val="2"/>
          </w:tcPr>
          <w:p w14:paraId="136FB6B9" w14:textId="77777777" w:rsidR="00BB1D82" w:rsidRPr="00113763" w:rsidRDefault="006D4724" w:rsidP="0098624A">
            <w:pPr>
              <w:spacing w:before="0"/>
              <w:rPr>
                <w:rFonts w:ascii="Verdana" w:hAnsi="Verdana"/>
                <w:b/>
                <w:sz w:val="20"/>
              </w:rPr>
            </w:pPr>
            <w:r w:rsidRPr="00113763">
              <w:rPr>
                <w:rFonts w:ascii="Verdana" w:hAnsi="Verdana"/>
                <w:b/>
                <w:sz w:val="20"/>
              </w:rPr>
              <w:t>SÉANCE PLÉNIÈRE</w:t>
            </w:r>
          </w:p>
        </w:tc>
        <w:tc>
          <w:tcPr>
            <w:tcW w:w="3120" w:type="dxa"/>
            <w:gridSpan w:val="2"/>
          </w:tcPr>
          <w:p w14:paraId="3FC18883" w14:textId="77777777" w:rsidR="00BB1D82" w:rsidRPr="00113763" w:rsidRDefault="006D4724" w:rsidP="0098624A">
            <w:pPr>
              <w:spacing w:before="0"/>
              <w:rPr>
                <w:rFonts w:ascii="Verdana" w:hAnsi="Verdana"/>
                <w:sz w:val="20"/>
              </w:rPr>
            </w:pPr>
            <w:r w:rsidRPr="00113763">
              <w:rPr>
                <w:rFonts w:ascii="Verdana" w:hAnsi="Verdana"/>
                <w:b/>
                <w:sz w:val="20"/>
              </w:rPr>
              <w:t>Addendum 3 au</w:t>
            </w:r>
            <w:r w:rsidRPr="00113763">
              <w:rPr>
                <w:rFonts w:ascii="Verdana" w:hAnsi="Verdana"/>
                <w:b/>
                <w:sz w:val="20"/>
              </w:rPr>
              <w:br/>
              <w:t>Document 65(Add.27)</w:t>
            </w:r>
            <w:r w:rsidR="00BB1D82" w:rsidRPr="00113763">
              <w:rPr>
                <w:rFonts w:ascii="Verdana" w:hAnsi="Verdana"/>
                <w:b/>
                <w:sz w:val="20"/>
              </w:rPr>
              <w:t>-</w:t>
            </w:r>
            <w:r w:rsidRPr="00113763">
              <w:rPr>
                <w:rFonts w:ascii="Verdana" w:hAnsi="Verdana"/>
                <w:b/>
                <w:sz w:val="20"/>
              </w:rPr>
              <w:t>F</w:t>
            </w:r>
          </w:p>
        </w:tc>
      </w:tr>
      <w:bookmarkEnd w:id="1"/>
      <w:tr w:rsidR="00690C7B" w:rsidRPr="00113763" w14:paraId="614A8ADE" w14:textId="77777777" w:rsidTr="00BB1D82">
        <w:trPr>
          <w:cantSplit/>
        </w:trPr>
        <w:tc>
          <w:tcPr>
            <w:tcW w:w="6911" w:type="dxa"/>
            <w:gridSpan w:val="2"/>
          </w:tcPr>
          <w:p w14:paraId="2DC4A473" w14:textId="77777777" w:rsidR="00690C7B" w:rsidRPr="00113763" w:rsidRDefault="00690C7B" w:rsidP="0098624A">
            <w:pPr>
              <w:spacing w:before="0"/>
              <w:rPr>
                <w:rFonts w:ascii="Verdana" w:hAnsi="Verdana"/>
                <w:b/>
                <w:sz w:val="20"/>
              </w:rPr>
            </w:pPr>
          </w:p>
        </w:tc>
        <w:tc>
          <w:tcPr>
            <w:tcW w:w="3120" w:type="dxa"/>
            <w:gridSpan w:val="2"/>
          </w:tcPr>
          <w:p w14:paraId="6BE59323" w14:textId="77777777" w:rsidR="00690C7B" w:rsidRPr="00113763" w:rsidRDefault="00690C7B" w:rsidP="0098624A">
            <w:pPr>
              <w:spacing w:before="0"/>
              <w:rPr>
                <w:rFonts w:ascii="Verdana" w:hAnsi="Verdana"/>
                <w:b/>
                <w:sz w:val="20"/>
              </w:rPr>
            </w:pPr>
            <w:r w:rsidRPr="00113763">
              <w:rPr>
                <w:rFonts w:ascii="Verdana" w:hAnsi="Verdana"/>
                <w:b/>
                <w:sz w:val="20"/>
              </w:rPr>
              <w:t>29 septembre 2023</w:t>
            </w:r>
          </w:p>
        </w:tc>
      </w:tr>
      <w:tr w:rsidR="00690C7B" w:rsidRPr="00113763" w14:paraId="08E2CBC7" w14:textId="77777777" w:rsidTr="00BB1D82">
        <w:trPr>
          <w:cantSplit/>
        </w:trPr>
        <w:tc>
          <w:tcPr>
            <w:tcW w:w="6911" w:type="dxa"/>
            <w:gridSpan w:val="2"/>
          </w:tcPr>
          <w:p w14:paraId="03BE48E2" w14:textId="77777777" w:rsidR="00690C7B" w:rsidRPr="00113763" w:rsidRDefault="00690C7B" w:rsidP="0098624A">
            <w:pPr>
              <w:spacing w:before="0" w:after="48"/>
              <w:rPr>
                <w:rFonts w:ascii="Verdana" w:hAnsi="Verdana"/>
                <w:b/>
                <w:smallCaps/>
                <w:sz w:val="20"/>
              </w:rPr>
            </w:pPr>
          </w:p>
        </w:tc>
        <w:tc>
          <w:tcPr>
            <w:tcW w:w="3120" w:type="dxa"/>
            <w:gridSpan w:val="2"/>
          </w:tcPr>
          <w:p w14:paraId="35FEBE99" w14:textId="77777777" w:rsidR="00690C7B" w:rsidRPr="00113763" w:rsidRDefault="00690C7B" w:rsidP="0098624A">
            <w:pPr>
              <w:spacing w:before="0"/>
              <w:rPr>
                <w:rFonts w:ascii="Verdana" w:hAnsi="Verdana"/>
                <w:b/>
                <w:sz w:val="20"/>
              </w:rPr>
            </w:pPr>
            <w:r w:rsidRPr="00113763">
              <w:rPr>
                <w:rFonts w:ascii="Verdana" w:hAnsi="Verdana"/>
                <w:b/>
                <w:sz w:val="20"/>
              </w:rPr>
              <w:t>Original: anglais</w:t>
            </w:r>
          </w:p>
        </w:tc>
      </w:tr>
      <w:tr w:rsidR="00690C7B" w:rsidRPr="00113763" w14:paraId="27177914" w14:textId="77777777" w:rsidTr="00C11970">
        <w:trPr>
          <w:cantSplit/>
        </w:trPr>
        <w:tc>
          <w:tcPr>
            <w:tcW w:w="10031" w:type="dxa"/>
            <w:gridSpan w:val="4"/>
          </w:tcPr>
          <w:p w14:paraId="7FB03CBF" w14:textId="77777777" w:rsidR="00690C7B" w:rsidRPr="00113763" w:rsidRDefault="00690C7B" w:rsidP="0098624A">
            <w:pPr>
              <w:spacing w:before="0"/>
              <w:rPr>
                <w:rFonts w:ascii="Verdana" w:hAnsi="Verdana"/>
                <w:b/>
                <w:sz w:val="20"/>
              </w:rPr>
            </w:pPr>
          </w:p>
        </w:tc>
      </w:tr>
      <w:tr w:rsidR="00690C7B" w:rsidRPr="00113763" w14:paraId="13D4D5A0" w14:textId="77777777" w:rsidTr="0050008E">
        <w:trPr>
          <w:cantSplit/>
        </w:trPr>
        <w:tc>
          <w:tcPr>
            <w:tcW w:w="10031" w:type="dxa"/>
            <w:gridSpan w:val="4"/>
          </w:tcPr>
          <w:p w14:paraId="4A8CBA53" w14:textId="77777777" w:rsidR="00690C7B" w:rsidRPr="00113763" w:rsidRDefault="00690C7B" w:rsidP="0098624A">
            <w:pPr>
              <w:pStyle w:val="Source"/>
            </w:pPr>
            <w:bookmarkStart w:id="2" w:name="dsource" w:colFirst="0" w:colLast="0"/>
            <w:r w:rsidRPr="00113763">
              <w:t>Propositions européennes communes</w:t>
            </w:r>
          </w:p>
        </w:tc>
      </w:tr>
      <w:tr w:rsidR="00690C7B" w:rsidRPr="00113763" w14:paraId="0980A49A" w14:textId="77777777" w:rsidTr="0050008E">
        <w:trPr>
          <w:cantSplit/>
        </w:trPr>
        <w:tc>
          <w:tcPr>
            <w:tcW w:w="10031" w:type="dxa"/>
            <w:gridSpan w:val="4"/>
          </w:tcPr>
          <w:p w14:paraId="67141BF0" w14:textId="392571C8" w:rsidR="00690C7B" w:rsidRPr="00113763" w:rsidRDefault="00670198" w:rsidP="0098624A">
            <w:pPr>
              <w:pStyle w:val="Title1"/>
            </w:pPr>
            <w:bookmarkStart w:id="3" w:name="dtitle1" w:colFirst="0" w:colLast="0"/>
            <w:bookmarkEnd w:id="2"/>
            <w:r w:rsidRPr="00113763">
              <w:t>Propositions pour les travaux de la conférence</w:t>
            </w:r>
          </w:p>
        </w:tc>
      </w:tr>
      <w:tr w:rsidR="00690C7B" w:rsidRPr="00113763" w14:paraId="10F798B4" w14:textId="77777777" w:rsidTr="0050008E">
        <w:trPr>
          <w:cantSplit/>
        </w:trPr>
        <w:tc>
          <w:tcPr>
            <w:tcW w:w="10031" w:type="dxa"/>
            <w:gridSpan w:val="4"/>
          </w:tcPr>
          <w:p w14:paraId="27375654" w14:textId="77777777" w:rsidR="00690C7B" w:rsidRPr="00113763" w:rsidRDefault="00690C7B" w:rsidP="0098624A">
            <w:pPr>
              <w:pStyle w:val="Title2"/>
            </w:pPr>
            <w:bookmarkStart w:id="4" w:name="dtitle2" w:colFirst="0" w:colLast="0"/>
            <w:bookmarkEnd w:id="3"/>
          </w:p>
        </w:tc>
      </w:tr>
      <w:tr w:rsidR="00690C7B" w:rsidRPr="00113763" w14:paraId="636D16EB" w14:textId="77777777" w:rsidTr="0050008E">
        <w:trPr>
          <w:cantSplit/>
        </w:trPr>
        <w:tc>
          <w:tcPr>
            <w:tcW w:w="10031" w:type="dxa"/>
            <w:gridSpan w:val="4"/>
          </w:tcPr>
          <w:p w14:paraId="05A9F01C" w14:textId="77777777" w:rsidR="00690C7B" w:rsidRPr="00113763" w:rsidRDefault="00690C7B" w:rsidP="0098624A">
            <w:pPr>
              <w:pStyle w:val="Agendaitem"/>
              <w:rPr>
                <w:lang w:val="fr-FR"/>
              </w:rPr>
            </w:pPr>
            <w:bookmarkStart w:id="5" w:name="dtitle3" w:colFirst="0" w:colLast="0"/>
            <w:bookmarkEnd w:id="4"/>
            <w:r w:rsidRPr="00113763">
              <w:rPr>
                <w:lang w:val="fr-FR"/>
              </w:rPr>
              <w:t>Point 10 de l'ordre du jour</w:t>
            </w:r>
          </w:p>
        </w:tc>
      </w:tr>
    </w:tbl>
    <w:bookmarkEnd w:id="5"/>
    <w:p w14:paraId="6B1530C7" w14:textId="77777777" w:rsidR="003C69C0" w:rsidRPr="00113763" w:rsidRDefault="007C2CDE" w:rsidP="0098624A">
      <w:r w:rsidRPr="00113763">
        <w:t>10</w:t>
      </w:r>
      <w:r w:rsidRPr="00113763">
        <w:tab/>
        <w:t xml:space="preserve">recommander au Conseil de l'UIT des points à inscrire à l'ordre du jour de la Conférence mondiale des radiocommunications suivante et des points de l'ordre du jour préliminaire de conférences futures, conformément à l'article 7 de la Convention de l'UIT et à la Résolution </w:t>
      </w:r>
      <w:r w:rsidRPr="00113763">
        <w:rPr>
          <w:b/>
        </w:rPr>
        <w:t>804 (Rév.CMR-19)</w:t>
      </w:r>
      <w:r w:rsidRPr="00113763">
        <w:t>,</w:t>
      </w:r>
    </w:p>
    <w:p w14:paraId="26FD225A" w14:textId="71DFD1A6" w:rsidR="003A583E" w:rsidRPr="00113763" w:rsidRDefault="00670198" w:rsidP="0098624A">
      <w:pPr>
        <w:pStyle w:val="Part1"/>
      </w:pPr>
      <w:r w:rsidRPr="00113763">
        <w:t xml:space="preserve">Partie 3: </w:t>
      </w:r>
      <w:r w:rsidR="008A5921" w:rsidRPr="00113763">
        <w:t>Ordre du jour de la Conférence mondiale des radiocommunications de 2027</w:t>
      </w:r>
      <w:r w:rsidR="008A5921" w:rsidRPr="00113763">
        <w:br/>
      </w:r>
      <w:r w:rsidR="007F248F" w:rsidRPr="00113763">
        <w:t xml:space="preserve">Incidences </w:t>
      </w:r>
      <w:r w:rsidR="006D3BE6" w:rsidRPr="00113763">
        <w:t xml:space="preserve">des effets </w:t>
      </w:r>
      <w:r w:rsidR="007F248F" w:rsidRPr="00113763">
        <w:t>cumul</w:t>
      </w:r>
      <w:r w:rsidR="006D3BE6" w:rsidRPr="00113763">
        <w:t xml:space="preserve">atifs </w:t>
      </w:r>
      <w:r w:rsidR="007F248F" w:rsidRPr="00113763">
        <w:t>des systèmes</w:t>
      </w:r>
      <w:r w:rsidR="008A5921" w:rsidRPr="00113763">
        <w:t xml:space="preserve"> non OSG</w:t>
      </w:r>
      <w:r w:rsidR="00711473">
        <w:br/>
      </w:r>
      <w:r w:rsidR="008A5921" w:rsidRPr="00113763">
        <w:t xml:space="preserve">sur le </w:t>
      </w:r>
      <w:r w:rsidR="007F248F" w:rsidRPr="00113763">
        <w:t>service de radioastronomie</w:t>
      </w:r>
    </w:p>
    <w:p w14:paraId="63904E1A" w14:textId="1B1862EE" w:rsidR="00670198" w:rsidRPr="00113763" w:rsidRDefault="00670198" w:rsidP="0098624A">
      <w:pPr>
        <w:pStyle w:val="Headingb"/>
      </w:pPr>
      <w:r w:rsidRPr="00113763">
        <w:t>Introduction</w:t>
      </w:r>
    </w:p>
    <w:p w14:paraId="11981529" w14:textId="35EE39A9" w:rsidR="00670198" w:rsidRPr="00113763" w:rsidRDefault="008A5921" w:rsidP="0098624A">
      <w:r w:rsidRPr="00113763">
        <w:t>Il est proposé d</w:t>
      </w:r>
      <w:r w:rsidR="003C6953" w:rsidRPr="00113763">
        <w:t>'</w:t>
      </w:r>
      <w:r w:rsidRPr="00113763">
        <w:t xml:space="preserve">insérer le nouveau point suivant dans le projet de nouvelle Résolution </w:t>
      </w:r>
      <w:r w:rsidRPr="00113763">
        <w:rPr>
          <w:b/>
          <w:bCs/>
        </w:rPr>
        <w:t>[EUR-A10] (CMR-23)</w:t>
      </w:r>
      <w:r w:rsidRPr="00113763">
        <w:t xml:space="preserve"> </w:t>
      </w:r>
      <w:r w:rsidR="006D3BE6" w:rsidRPr="00113763">
        <w:t xml:space="preserve">relative à </w:t>
      </w:r>
      <w:r w:rsidR="007F248F" w:rsidRPr="00113763">
        <w:t>l'ordre du jour de</w:t>
      </w:r>
      <w:r w:rsidRPr="00113763">
        <w:t xml:space="preserve"> la Conférence mondiale des radiocommunications de 2027</w:t>
      </w:r>
      <w:r w:rsidR="00670198" w:rsidRPr="00113763">
        <w:t>:</w:t>
      </w:r>
    </w:p>
    <w:p w14:paraId="08EAC25F" w14:textId="72CC041A" w:rsidR="00670198" w:rsidRPr="00113763" w:rsidRDefault="00670198" w:rsidP="0098624A">
      <w:r w:rsidRPr="00113763">
        <w:t>...</w:t>
      </w:r>
    </w:p>
    <w:p w14:paraId="17C65E98" w14:textId="7CFE5D39" w:rsidR="00670198" w:rsidRPr="00113763" w:rsidRDefault="00670198" w:rsidP="0098624A">
      <w:r w:rsidRPr="00113763">
        <w:t>1</w:t>
      </w:r>
      <w:r w:rsidRPr="00113763">
        <w:tab/>
        <w:t>sur la base des propositions des administrations, compte tenu des résultats de la CMR</w:t>
      </w:r>
      <w:r w:rsidR="00537F39" w:rsidRPr="00113763">
        <w:noBreakHyphen/>
      </w:r>
      <w:r w:rsidR="008A5921" w:rsidRPr="00113763">
        <w:t xml:space="preserve">23 </w:t>
      </w:r>
      <w:r w:rsidRPr="00113763">
        <w:t>ainsi que du rapport de la Réunion de préparation à la Conférence</w:t>
      </w:r>
      <w:r w:rsidR="006D3BE6" w:rsidRPr="00113763">
        <w:t>,</w:t>
      </w:r>
      <w:r w:rsidRPr="00113763">
        <w:t xml:space="preserve"> et compte dûment tenu des besoins des services existants ou futurs dans les bandes de fréquences considérées, examiner les points suivants et prendre les mesures appropriées:</w:t>
      </w:r>
    </w:p>
    <w:p w14:paraId="7D9B31BF" w14:textId="23F2CE40" w:rsidR="00670198" w:rsidRPr="00113763" w:rsidRDefault="00670198" w:rsidP="0098624A">
      <w:r w:rsidRPr="00113763">
        <w:t>...</w:t>
      </w:r>
    </w:p>
    <w:p w14:paraId="34DF2359" w14:textId="288BDAE3" w:rsidR="00670198" w:rsidRPr="00113763" w:rsidRDefault="00670198" w:rsidP="0098624A">
      <w:r w:rsidRPr="00113763">
        <w:t>1.</w:t>
      </w:r>
      <w:r w:rsidRPr="00113763">
        <w:rPr>
          <w:highlight w:val="yellow"/>
        </w:rPr>
        <w:t>13</w:t>
      </w:r>
      <w:r w:rsidRPr="00113763">
        <w:tab/>
      </w:r>
      <w:r w:rsidR="008A5921" w:rsidRPr="00113763">
        <w:t xml:space="preserve">effectuer des études sur </w:t>
      </w:r>
      <w:r w:rsidR="007F248F" w:rsidRPr="00113763">
        <w:t xml:space="preserve">les incidences </w:t>
      </w:r>
      <w:r w:rsidR="006D3BE6" w:rsidRPr="00113763">
        <w:t xml:space="preserve">des effets </w:t>
      </w:r>
      <w:r w:rsidR="007F248F" w:rsidRPr="00113763">
        <w:t>cumul</w:t>
      </w:r>
      <w:r w:rsidR="006D3BE6" w:rsidRPr="00113763">
        <w:t>atifs</w:t>
      </w:r>
      <w:r w:rsidR="007F248F" w:rsidRPr="00113763">
        <w:t xml:space="preserve"> des systèmes</w:t>
      </w:r>
      <w:r w:rsidR="008A5921" w:rsidRPr="00113763">
        <w:t xml:space="preserve"> non OSG sur le service de radioastronomie (SRA) et sur les mesures appropriées</w:t>
      </w:r>
      <w:r w:rsidR="006D3BE6" w:rsidRPr="00113763">
        <w:t xml:space="preserve"> </w:t>
      </w:r>
      <w:r w:rsidR="008A5921" w:rsidRPr="00113763">
        <w:t xml:space="preserve">à prendre pour protéger le SRA contre les brouillages préjudiciables causés par les grandes constellations de satellites, conformément à la Résolution </w:t>
      </w:r>
      <w:r w:rsidR="008A5921" w:rsidRPr="00113763">
        <w:rPr>
          <w:b/>
          <w:bCs/>
        </w:rPr>
        <w:t>[EUR-A10-1.</w:t>
      </w:r>
      <w:r w:rsidR="008A5921" w:rsidRPr="00113763">
        <w:rPr>
          <w:b/>
          <w:bCs/>
          <w:highlight w:val="yellow"/>
        </w:rPr>
        <w:t>13</w:t>
      </w:r>
      <w:r w:rsidR="008A5921" w:rsidRPr="00113763">
        <w:rPr>
          <w:b/>
          <w:bCs/>
        </w:rPr>
        <w:t>-RAS-NGSO] (CMR-23)</w:t>
      </w:r>
      <w:r w:rsidRPr="00113763">
        <w:t>;</w:t>
      </w:r>
    </w:p>
    <w:p w14:paraId="5E0F8AC7" w14:textId="17EA50F5" w:rsidR="00C37F15" w:rsidRPr="00113763" w:rsidRDefault="00C37F15" w:rsidP="0098624A">
      <w:r w:rsidRPr="00113763">
        <w:t>...</w:t>
      </w:r>
    </w:p>
    <w:p w14:paraId="301B49F1" w14:textId="74B4A4D0" w:rsidR="00670198" w:rsidRPr="00113763" w:rsidRDefault="00670198" w:rsidP="0098624A">
      <w:pPr>
        <w:rPr>
          <w:i/>
          <w:iCs/>
        </w:rPr>
      </w:pPr>
      <w:r w:rsidRPr="00113763">
        <w:rPr>
          <w:i/>
          <w:iCs/>
          <w:highlight w:val="yellow"/>
        </w:rPr>
        <w:t>[Note rédactionnelle</w:t>
      </w:r>
      <w:r w:rsidR="008A5921" w:rsidRPr="00113763">
        <w:rPr>
          <w:i/>
          <w:iCs/>
          <w:highlight w:val="yellow"/>
        </w:rPr>
        <w:t>: La numérotation devra être corrigée lorsque la liste des points de l'ordre du jour aura été établie de manière définitive.</w:t>
      </w:r>
      <w:r w:rsidRPr="00113763">
        <w:rPr>
          <w:i/>
          <w:iCs/>
          <w:highlight w:val="yellow"/>
        </w:rPr>
        <w:t>]</w:t>
      </w:r>
    </w:p>
    <w:p w14:paraId="038D4138" w14:textId="258E25A2" w:rsidR="00670198" w:rsidRPr="00113763" w:rsidRDefault="008A5921" w:rsidP="0098624A">
      <w:pPr>
        <w:pStyle w:val="Headingb"/>
      </w:pPr>
      <w:r w:rsidRPr="00113763">
        <w:lastRenderedPageBreak/>
        <w:t>Considérations générales</w:t>
      </w:r>
    </w:p>
    <w:p w14:paraId="2CD39CAA" w14:textId="305EF5B8" w:rsidR="00670198" w:rsidRPr="00113763" w:rsidRDefault="00F415B8" w:rsidP="0098624A">
      <w:r w:rsidRPr="00113763">
        <w:t>Ces dernières années, le nombre de satellites en orbite terrestre, en particulier en orbite terrestre basse (LEO), a considérable</w:t>
      </w:r>
      <w:r w:rsidR="006D3BE6" w:rsidRPr="00113763">
        <w:t>ment augmenté</w:t>
      </w:r>
      <w:r w:rsidRPr="00113763">
        <w:t xml:space="preserve">. La pléthore de nouvelles applications et de nouveaux services présente </w:t>
      </w:r>
      <w:r w:rsidR="006D3BE6" w:rsidRPr="00113763">
        <w:t>incontestablement</w:t>
      </w:r>
      <w:r w:rsidRPr="00113763">
        <w:t xml:space="preserve"> des avantages pour </w:t>
      </w:r>
      <w:r w:rsidR="006D3BE6" w:rsidRPr="00113763">
        <w:t>les utilisateurs</w:t>
      </w:r>
      <w:r w:rsidRPr="00113763">
        <w:t xml:space="preserve">, mais </w:t>
      </w:r>
      <w:r w:rsidR="00ED4AB0" w:rsidRPr="00113763">
        <w:t>elle soulève</w:t>
      </w:r>
      <w:r w:rsidRPr="00113763">
        <w:t xml:space="preserve"> aussi des préoccupations. </w:t>
      </w:r>
      <w:r w:rsidR="00ED4AB0" w:rsidRPr="00113763">
        <w:t>À</w:t>
      </w:r>
      <w:r w:rsidRPr="00113763">
        <w:t xml:space="preserve"> titre d</w:t>
      </w:r>
      <w:r w:rsidR="003C6953" w:rsidRPr="00113763">
        <w:t>'</w:t>
      </w:r>
      <w:r w:rsidRPr="00113763">
        <w:t xml:space="preserve">exemple, des astronomes professionnels signalent que </w:t>
      </w:r>
      <w:r w:rsidR="006D3BE6" w:rsidRPr="00113763">
        <w:t>les rayonnements</w:t>
      </w:r>
      <w:r w:rsidRPr="00113763">
        <w:t xml:space="preserve"> solaire</w:t>
      </w:r>
      <w:r w:rsidR="006D3BE6" w:rsidRPr="00113763">
        <w:t>s</w:t>
      </w:r>
      <w:r w:rsidRPr="00113763">
        <w:t xml:space="preserve"> réfléchi</w:t>
      </w:r>
      <w:r w:rsidR="006D3BE6" w:rsidRPr="00113763">
        <w:t xml:space="preserve">s </w:t>
      </w:r>
      <w:r w:rsidRPr="00113763">
        <w:t>par les satellites produi</w:t>
      </w:r>
      <w:r w:rsidR="006D3BE6" w:rsidRPr="00113763">
        <w:t>sen</w:t>
      </w:r>
      <w:r w:rsidRPr="00113763">
        <w:t xml:space="preserve">t des </w:t>
      </w:r>
      <w:r w:rsidR="007F22C2" w:rsidRPr="00113763">
        <w:t>défauts (</w:t>
      </w:r>
      <w:r w:rsidRPr="00113763">
        <w:t>artefacts</w:t>
      </w:r>
      <w:r w:rsidR="007F22C2" w:rsidRPr="00113763">
        <w:t xml:space="preserve">) </w:t>
      </w:r>
      <w:r w:rsidRPr="00113763">
        <w:t xml:space="preserve">dans les données optiques et infrarouges, qui ne peuvent pas être entièrement </w:t>
      </w:r>
      <w:r w:rsidR="00ED4AB0" w:rsidRPr="00113763">
        <w:t>corrigés</w:t>
      </w:r>
      <w:r w:rsidRPr="00113763">
        <w:t xml:space="preserve"> par logiciel en raison de l</w:t>
      </w:r>
      <w:r w:rsidR="003C6953" w:rsidRPr="00113763">
        <w:t>'</w:t>
      </w:r>
      <w:r w:rsidRPr="00113763">
        <w:t>augmentation significative du nombre</w:t>
      </w:r>
      <w:r w:rsidR="00ED4AB0" w:rsidRPr="00113763">
        <w:t xml:space="preserve"> d'occurrences</w:t>
      </w:r>
      <w:r w:rsidRPr="00113763">
        <w:t>. Cela peut également avoir des conséquences sur les projets de</w:t>
      </w:r>
      <w:r w:rsidR="00ED4AB0" w:rsidRPr="00113763">
        <w:t>s</w:t>
      </w:r>
      <w:r w:rsidRPr="00113763">
        <w:t xml:space="preserve"> agence</w:t>
      </w:r>
      <w:r w:rsidR="00ED4AB0" w:rsidRPr="00113763">
        <w:t>s</w:t>
      </w:r>
      <w:r w:rsidRPr="00113763">
        <w:t xml:space="preserve"> spatiale</w:t>
      </w:r>
      <w:r w:rsidR="00ED4AB0" w:rsidRPr="00113763">
        <w:t>s</w:t>
      </w:r>
      <w:r w:rsidRPr="00113763">
        <w:t xml:space="preserve"> </w:t>
      </w:r>
      <w:r w:rsidR="007F22C2" w:rsidRPr="00113763">
        <w:t xml:space="preserve">consistant à </w:t>
      </w:r>
      <w:r w:rsidRPr="00113763">
        <w:t xml:space="preserve">observer </w:t>
      </w:r>
      <w:r w:rsidR="00ED4AB0" w:rsidRPr="00113763">
        <w:t xml:space="preserve">le ciel nocturne </w:t>
      </w:r>
      <w:r w:rsidRPr="00113763">
        <w:t xml:space="preserve">en </w:t>
      </w:r>
      <w:r w:rsidR="007F22C2" w:rsidRPr="00113763">
        <w:t xml:space="preserve">permanence, </w:t>
      </w:r>
      <w:r w:rsidRPr="00113763">
        <w:t xml:space="preserve">afin de détecter rapidement </w:t>
      </w:r>
      <w:r w:rsidR="007F22C2" w:rsidRPr="00113763">
        <w:t xml:space="preserve">des </w:t>
      </w:r>
      <w:r w:rsidRPr="00113763">
        <w:t xml:space="preserve">objets </w:t>
      </w:r>
      <w:r w:rsidR="007F22C2" w:rsidRPr="00113763">
        <w:t xml:space="preserve">qui peuvent être </w:t>
      </w:r>
      <w:r w:rsidRPr="00113763">
        <w:t xml:space="preserve">dangereux (astéroïdes) </w:t>
      </w:r>
      <w:r w:rsidR="007F22C2" w:rsidRPr="00113763">
        <w:t xml:space="preserve">et </w:t>
      </w:r>
      <w:r w:rsidRPr="00113763">
        <w:t>pourraient entrer en collision avec la Terre. Malheureusement, il n</w:t>
      </w:r>
      <w:r w:rsidR="003C6953" w:rsidRPr="00113763">
        <w:t>'</w:t>
      </w:r>
      <w:r w:rsidRPr="00113763">
        <w:t xml:space="preserve">existe aucune réglementation </w:t>
      </w:r>
      <w:r w:rsidR="007F248F" w:rsidRPr="00113763">
        <w:t>concernant</w:t>
      </w:r>
      <w:r w:rsidRPr="00113763">
        <w:t xml:space="preserve"> l</w:t>
      </w:r>
      <w:r w:rsidR="003C6953" w:rsidRPr="00113763">
        <w:t>'</w:t>
      </w:r>
      <w:r w:rsidRPr="00113763">
        <w:t>influence des satellites sur l</w:t>
      </w:r>
      <w:r w:rsidR="003C6953" w:rsidRPr="00113763">
        <w:t>'</w:t>
      </w:r>
      <w:r w:rsidRPr="00113763">
        <w:t xml:space="preserve">astronomie optique/infrarouge, ou même sur le ciel nocturne dans son ensemble, qui revêt une importance </w:t>
      </w:r>
      <w:r w:rsidR="00ED4AB0" w:rsidRPr="00113763">
        <w:t xml:space="preserve">considérable </w:t>
      </w:r>
      <w:r w:rsidRPr="00113763">
        <w:t xml:space="preserve">pour </w:t>
      </w:r>
      <w:r w:rsidR="00ED4AB0" w:rsidRPr="00113763">
        <w:t>de nombreuses</w:t>
      </w:r>
      <w:r w:rsidRPr="00113763">
        <w:t xml:space="preserve"> personnes</w:t>
      </w:r>
      <w:r w:rsidR="00ED4AB0" w:rsidRPr="00113763">
        <w:t xml:space="preserve"> ainsi que pour un grand nombre </w:t>
      </w:r>
      <w:r w:rsidRPr="00113763">
        <w:t>de cultures et de sociétés.</w:t>
      </w:r>
    </w:p>
    <w:p w14:paraId="45AF9E65" w14:textId="1B5E86F0" w:rsidR="00C42ECC" w:rsidRPr="00113763" w:rsidRDefault="007F248F" w:rsidP="0098624A">
      <w:r w:rsidRPr="00113763">
        <w:t>L</w:t>
      </w:r>
      <w:r w:rsidR="00ED4AB0" w:rsidRPr="00113763">
        <w:t xml:space="preserve">a radioastronomie est également de plus en plus </w:t>
      </w:r>
      <w:r w:rsidR="003C69C0" w:rsidRPr="00113763">
        <w:t>touchée</w:t>
      </w:r>
      <w:r w:rsidR="00ED4AB0" w:rsidRPr="00113763">
        <w:t>, bien qu</w:t>
      </w:r>
      <w:r w:rsidR="003C6953" w:rsidRPr="00113763">
        <w:t>'</w:t>
      </w:r>
      <w:r w:rsidR="00ED4AB0" w:rsidRPr="00113763">
        <w:t>elle soit prise en compte dans le Règlement des radiocommunications ainsi que dans d</w:t>
      </w:r>
      <w:r w:rsidR="003C6953" w:rsidRPr="00113763">
        <w:t>'</w:t>
      </w:r>
      <w:r w:rsidR="00ED4AB0" w:rsidRPr="00113763">
        <w:t>autres documents de l</w:t>
      </w:r>
      <w:r w:rsidR="003C6953" w:rsidRPr="00113763">
        <w:t>'</w:t>
      </w:r>
      <w:r w:rsidR="00ED4AB0" w:rsidRPr="00113763">
        <w:t xml:space="preserve">UIT-R. </w:t>
      </w:r>
      <w:r w:rsidRPr="00113763">
        <w:t xml:space="preserve">Cela </w:t>
      </w:r>
      <w:r w:rsidR="00811A60" w:rsidRPr="00113763">
        <w:t>tient au</w:t>
      </w:r>
      <w:r w:rsidRPr="00113763">
        <w:t xml:space="preserve"> fait qu'</w:t>
      </w:r>
      <w:r w:rsidR="00ED4AB0" w:rsidRPr="00113763">
        <w:t>à l'heure actuelle, certaines questions fondamentales</w:t>
      </w:r>
      <w:r w:rsidR="00DF087F" w:rsidRPr="00113763">
        <w:t>,</w:t>
      </w:r>
      <w:r w:rsidR="004A7B84" w:rsidRPr="00113763">
        <w:t xml:space="preserve"> </w:t>
      </w:r>
      <w:r w:rsidR="00DF087F" w:rsidRPr="00113763">
        <w:t xml:space="preserve">par exemple </w:t>
      </w:r>
      <w:r w:rsidR="00ED4AB0" w:rsidRPr="00113763">
        <w:t xml:space="preserve">la répartition (lorsque plusieurs constellations produisent des rayonnements non désirés dans les bandes de fréquences </w:t>
      </w:r>
      <w:r w:rsidR="00DF087F" w:rsidRPr="00113763">
        <w:t xml:space="preserve">attribuées au service de </w:t>
      </w:r>
      <w:r w:rsidR="00ED4AB0" w:rsidRPr="00113763">
        <w:t xml:space="preserve">radioastronomie) ou la prise en compte limitée de la protection du </w:t>
      </w:r>
      <w:r w:rsidR="002C1597" w:rsidRPr="00113763">
        <w:t>SRA</w:t>
      </w:r>
      <w:r w:rsidR="00ED4AB0" w:rsidRPr="00113763">
        <w:t xml:space="preserve"> dans les </w:t>
      </w:r>
      <w:r w:rsidR="00A46D3F" w:rsidRPr="00113763">
        <w:t>procédures</w:t>
      </w:r>
      <w:r w:rsidR="00ED4AB0" w:rsidRPr="00113763">
        <w:t xml:space="preserve"> de notification de</w:t>
      </w:r>
      <w:r w:rsidR="00A46D3F" w:rsidRPr="00113763">
        <w:t>s</w:t>
      </w:r>
      <w:r w:rsidR="00ED4AB0" w:rsidRPr="00113763">
        <w:t xml:space="preserve"> satellites de l</w:t>
      </w:r>
      <w:r w:rsidR="003C6953" w:rsidRPr="00113763">
        <w:t>'</w:t>
      </w:r>
      <w:r w:rsidR="00ED4AB0" w:rsidRPr="00113763">
        <w:t>UIT-R</w:t>
      </w:r>
      <w:r w:rsidR="00DF087F" w:rsidRPr="00113763">
        <w:t>, ne sont pas traitées comme il se doit</w:t>
      </w:r>
      <w:r w:rsidR="00ED4AB0" w:rsidRPr="00113763">
        <w:t>.</w:t>
      </w:r>
      <w:r w:rsidR="00A46D3F" w:rsidRPr="00113763">
        <w:t xml:space="preserve"> En outre, certains aspects ne sont actuellement pas du tout examinés. </w:t>
      </w:r>
      <w:r w:rsidR="00DF087F" w:rsidRPr="00113763">
        <w:t xml:space="preserve">Tel est </w:t>
      </w:r>
      <w:r w:rsidR="00A46D3F" w:rsidRPr="00113763">
        <w:t>le cas par exemple de</w:t>
      </w:r>
      <w:r w:rsidR="00DF087F" w:rsidRPr="00113763">
        <w:t xml:space="preserve"> </w:t>
      </w:r>
      <w:r w:rsidR="00A46D3F" w:rsidRPr="00113763">
        <w:t xml:space="preserve">la façon dont les zones de silence radioélectrique nationales peuvent être protégées </w:t>
      </w:r>
      <w:r w:rsidR="00DF087F" w:rsidRPr="00113763">
        <w:t>vis-à-vis des</w:t>
      </w:r>
      <w:r w:rsidR="00A46D3F" w:rsidRPr="00113763">
        <w:t xml:space="preserve"> émissions </w:t>
      </w:r>
      <w:r w:rsidR="00DF087F" w:rsidRPr="00113763">
        <w:t>de systèmes spatioportés</w:t>
      </w:r>
      <w:r w:rsidR="00A46D3F" w:rsidRPr="00113763">
        <w:t xml:space="preserve">, </w:t>
      </w:r>
      <w:r w:rsidR="00DF087F" w:rsidRPr="00113763">
        <w:t xml:space="preserve">des </w:t>
      </w:r>
      <w:r w:rsidR="00A46D3F" w:rsidRPr="00113763">
        <w:t>méthodes permettant de protéger les récepteurs du SRA contre la saturation, qui crée des produits d</w:t>
      </w:r>
      <w:r w:rsidR="003C6953" w:rsidRPr="00113763">
        <w:t>'</w:t>
      </w:r>
      <w:r w:rsidR="00A46D3F" w:rsidRPr="00113763">
        <w:t xml:space="preserve">intermodulation ou des harmoniques lorsque des systèmes extrêmement sensibles reçoivent des signaux trop puissants, ou encore </w:t>
      </w:r>
      <w:r w:rsidR="00DF087F" w:rsidRPr="00113763">
        <w:t xml:space="preserve">de </w:t>
      </w:r>
      <w:r w:rsidR="00A46D3F" w:rsidRPr="00113763">
        <w:t>l</w:t>
      </w:r>
      <w:r w:rsidR="003C6953" w:rsidRPr="00113763">
        <w:t>'</w:t>
      </w:r>
      <w:r w:rsidR="00A46D3F" w:rsidRPr="00113763">
        <w:t xml:space="preserve">absence de réglementation </w:t>
      </w:r>
      <w:r w:rsidR="00DF087F" w:rsidRPr="00113763">
        <w:t>sur la</w:t>
      </w:r>
      <w:r w:rsidR="00A46D3F" w:rsidRPr="00113763">
        <w:t xml:space="preserve"> compatibilité électromagnétique</w:t>
      </w:r>
      <w:r w:rsidR="00811A60" w:rsidRPr="00113763">
        <w:t xml:space="preserve"> (</w:t>
      </w:r>
      <w:r w:rsidR="00A46D3F" w:rsidRPr="00113763">
        <w:t xml:space="preserve">comme tout </w:t>
      </w:r>
      <w:r w:rsidR="00DF087F" w:rsidRPr="00113763">
        <w:t xml:space="preserve">autre </w:t>
      </w:r>
      <w:r w:rsidR="00A46D3F" w:rsidRPr="00113763">
        <w:t xml:space="preserve">dispositif électronique ou électrique, les satellites peuvent aussi </w:t>
      </w:r>
      <w:r w:rsidR="00DF087F" w:rsidRPr="00113763">
        <w:t xml:space="preserve">produire </w:t>
      </w:r>
      <w:r w:rsidR="00A46D3F" w:rsidRPr="00113763">
        <w:t>des fuites de rayonnements</w:t>
      </w:r>
      <w:r w:rsidR="00811A60" w:rsidRPr="00113763">
        <w:t>)</w:t>
      </w:r>
      <w:r w:rsidR="00A46D3F" w:rsidRPr="00113763">
        <w:t xml:space="preserve">. Les </w:t>
      </w:r>
      <w:r w:rsidR="00C752A1" w:rsidRPr="00113763">
        <w:t>effets</w:t>
      </w:r>
      <w:r w:rsidR="00A46D3F" w:rsidRPr="00113763">
        <w:t xml:space="preserve"> </w:t>
      </w:r>
      <w:r w:rsidR="00C752A1" w:rsidRPr="00113763">
        <w:t>cumulatifs</w:t>
      </w:r>
      <w:r w:rsidR="00A46D3F" w:rsidRPr="00113763">
        <w:t xml:space="preserve"> </w:t>
      </w:r>
      <w:r w:rsidR="00C752A1" w:rsidRPr="00113763">
        <w:t>de tou</w:t>
      </w:r>
      <w:r w:rsidR="00DF087F" w:rsidRPr="00113763">
        <w:t xml:space="preserve">s </w:t>
      </w:r>
      <w:r w:rsidR="00C752A1" w:rsidRPr="00113763">
        <w:t xml:space="preserve">ces </w:t>
      </w:r>
      <w:r w:rsidR="00DF087F" w:rsidRPr="00113763">
        <w:t xml:space="preserve">facteurs </w:t>
      </w:r>
      <w:r w:rsidR="00A46D3F" w:rsidRPr="00113763">
        <w:t>peu</w:t>
      </w:r>
      <w:r w:rsidR="00C752A1" w:rsidRPr="00113763">
        <w:t>ven</w:t>
      </w:r>
      <w:r w:rsidR="00A46D3F" w:rsidRPr="00113763">
        <w:t xml:space="preserve">t </w:t>
      </w:r>
      <w:r w:rsidR="00DF087F" w:rsidRPr="00113763">
        <w:t xml:space="preserve">entraîner </w:t>
      </w:r>
      <w:r w:rsidR="002C1597" w:rsidRPr="00113763">
        <w:t>dans les faits</w:t>
      </w:r>
      <w:r w:rsidR="00DF087F" w:rsidRPr="00113763">
        <w:t xml:space="preserve"> un dépassement des </w:t>
      </w:r>
      <w:r w:rsidR="00A46D3F" w:rsidRPr="00113763">
        <w:t xml:space="preserve">niveaux de </w:t>
      </w:r>
      <w:r w:rsidR="00DF087F" w:rsidRPr="00113763">
        <w:t xml:space="preserve">seuil de </w:t>
      </w:r>
      <w:r w:rsidR="00A46D3F" w:rsidRPr="00113763">
        <w:t>puissance dans les bandes</w:t>
      </w:r>
      <w:r w:rsidR="00C752A1" w:rsidRPr="00113763">
        <w:t xml:space="preserve"> de fréquences</w:t>
      </w:r>
      <w:r w:rsidR="00A46D3F" w:rsidRPr="00113763">
        <w:t xml:space="preserve"> </w:t>
      </w:r>
      <w:r w:rsidR="00DF087F" w:rsidRPr="00113763">
        <w:t xml:space="preserve">attribuées au </w:t>
      </w:r>
      <w:r w:rsidR="00C752A1" w:rsidRPr="00113763">
        <w:t xml:space="preserve">SRA </w:t>
      </w:r>
      <w:r w:rsidR="00DF087F" w:rsidRPr="00113763">
        <w:t>et bénéficiant d'une</w:t>
      </w:r>
      <w:r w:rsidR="00A46D3F" w:rsidRPr="00113763">
        <w:t>, mais comme la réglementation de l</w:t>
      </w:r>
      <w:r w:rsidR="003C6953" w:rsidRPr="00113763">
        <w:t>'</w:t>
      </w:r>
      <w:r w:rsidR="00A46D3F" w:rsidRPr="00113763">
        <w:t>UIT-R ne s</w:t>
      </w:r>
      <w:r w:rsidR="003C6953" w:rsidRPr="00113763">
        <w:t>'</w:t>
      </w:r>
      <w:r w:rsidR="00A46D3F" w:rsidRPr="00113763">
        <w:t xml:space="preserve">applique pas aux fuites électromagnétiques, les observatoires ne sont </w:t>
      </w:r>
      <w:r w:rsidR="00DF087F" w:rsidRPr="00113763">
        <w:t>de fait</w:t>
      </w:r>
      <w:r w:rsidR="00A46D3F" w:rsidRPr="00113763">
        <w:t xml:space="preserve"> pas protégés contre ces rayonnements.</w:t>
      </w:r>
    </w:p>
    <w:p w14:paraId="5D0B509D" w14:textId="7F7443D1" w:rsidR="00C42ECC" w:rsidRPr="00113763" w:rsidRDefault="00C752A1" w:rsidP="0098624A">
      <w:r w:rsidRPr="00113763">
        <w:t>En</w:t>
      </w:r>
      <w:r w:rsidR="00DF087F" w:rsidRPr="00113763">
        <w:t xml:space="preserve"> conséquence</w:t>
      </w:r>
      <w:r w:rsidRPr="00113763">
        <w:t xml:space="preserve">, la communauté mondiale des astronomes, </w:t>
      </w:r>
      <w:r w:rsidR="00DF087F" w:rsidRPr="00113763">
        <w:t xml:space="preserve">par le biais </w:t>
      </w:r>
      <w:r w:rsidR="002C1597" w:rsidRPr="00113763">
        <w:t>de</w:t>
      </w:r>
      <w:r w:rsidRPr="00113763">
        <w:t xml:space="preserve"> l</w:t>
      </w:r>
      <w:r w:rsidR="003C6953" w:rsidRPr="00113763">
        <w:t>'</w:t>
      </w:r>
      <w:r w:rsidRPr="00113763">
        <w:t xml:space="preserve">Union astronomique internationale (UAI), a </w:t>
      </w:r>
      <w:r w:rsidR="00DF087F" w:rsidRPr="00113763">
        <w:t xml:space="preserve">mis sur pied </w:t>
      </w:r>
      <w:r w:rsidRPr="00113763">
        <w:t>le Centre de l</w:t>
      </w:r>
      <w:r w:rsidR="003C6953" w:rsidRPr="00113763">
        <w:t>'</w:t>
      </w:r>
      <w:r w:rsidRPr="00113763">
        <w:t>UAI pour la protection d'un ciel sans pollution lumineuse et sonore contre les brouillages</w:t>
      </w:r>
      <w:r w:rsidR="00DF087F" w:rsidRPr="00113763">
        <w:t xml:space="preserve"> causés par les</w:t>
      </w:r>
      <w:r w:rsidRPr="00113763">
        <w:t xml:space="preserve"> constellations de satellites (CPS)</w:t>
      </w:r>
      <w:r w:rsidR="002C1597" w:rsidRPr="00113763">
        <w:t>,</w:t>
      </w:r>
      <w:r w:rsidRPr="00113763">
        <w:t xml:space="preserve"> </w:t>
      </w:r>
      <w:r w:rsidR="00DF087F" w:rsidRPr="00113763">
        <w:t>qui est placé sous l'égide</w:t>
      </w:r>
      <w:r w:rsidR="0041045D" w:rsidRPr="00113763">
        <w:t xml:space="preserve"> du Laboratoire national de recherche en astronomie optique-infrarouge</w:t>
      </w:r>
      <w:r w:rsidRPr="00113763">
        <w:t xml:space="preserve"> </w:t>
      </w:r>
      <w:r w:rsidR="0041045D" w:rsidRPr="00113763">
        <w:t>(</w:t>
      </w:r>
      <w:r w:rsidRPr="00113763">
        <w:t>NOIRLab</w:t>
      </w:r>
      <w:r w:rsidR="0041045D" w:rsidRPr="00113763">
        <w:t xml:space="preserve">) </w:t>
      </w:r>
      <w:r w:rsidRPr="00113763">
        <w:t>de la NSF et du Square Kilometre Array Observatory</w:t>
      </w:r>
      <w:r w:rsidR="0057101E" w:rsidRPr="00113763">
        <w:rPr>
          <w:rStyle w:val="FootnoteReference"/>
        </w:rPr>
        <w:footnoteReference w:id="1"/>
      </w:r>
      <w:r w:rsidRPr="00113763">
        <w:t xml:space="preserve"> (SKAO</w:t>
      </w:r>
      <w:r w:rsidR="002C1597" w:rsidRPr="00113763">
        <w:t>;</w:t>
      </w:r>
      <w:r w:rsidRPr="00113763">
        <w:t xml:space="preserve"> radioastronomie), afin d</w:t>
      </w:r>
      <w:r w:rsidR="003C6953" w:rsidRPr="00113763">
        <w:t>'</w:t>
      </w:r>
      <w:r w:rsidRPr="00113763">
        <w:t xml:space="preserve">étudier </w:t>
      </w:r>
      <w:r w:rsidR="0057101E" w:rsidRPr="00113763">
        <w:t>les incidences</w:t>
      </w:r>
      <w:r w:rsidRPr="00113763">
        <w:t xml:space="preserve"> des grandes constellations de satellites sur l</w:t>
      </w:r>
      <w:r w:rsidR="003C6953" w:rsidRPr="00113763">
        <w:t>'</w:t>
      </w:r>
      <w:r w:rsidRPr="00113763">
        <w:t xml:space="preserve">astronomie et de rechercher des solutions </w:t>
      </w:r>
      <w:r w:rsidR="0057101E" w:rsidRPr="00113763">
        <w:t>en collaboration avec</w:t>
      </w:r>
      <w:r w:rsidRPr="00113763">
        <w:t xml:space="preserve"> les administrations et </w:t>
      </w:r>
      <w:r w:rsidR="0057101E" w:rsidRPr="00113763">
        <w:t>le secteur privé</w:t>
      </w:r>
      <w:r w:rsidRPr="00113763">
        <w:t>.</w:t>
      </w:r>
    </w:p>
    <w:p w14:paraId="43AF71FC" w14:textId="4EE00590" w:rsidR="00C42ECC" w:rsidRPr="00113763" w:rsidRDefault="0057101E" w:rsidP="00537F39">
      <w:pPr>
        <w:keepLines/>
      </w:pPr>
      <w:r w:rsidRPr="00113763">
        <w:lastRenderedPageBreak/>
        <w:t xml:space="preserve">La menace qui pèse sur les sciences fondamentales et </w:t>
      </w:r>
      <w:r w:rsidR="0041045D" w:rsidRPr="00113763">
        <w:t xml:space="preserve">sur </w:t>
      </w:r>
      <w:r w:rsidR="002C1597" w:rsidRPr="00113763">
        <w:t>les</w:t>
      </w:r>
      <w:r w:rsidR="0041045D" w:rsidRPr="00113763">
        <w:t xml:space="preserve"> </w:t>
      </w:r>
      <w:r w:rsidRPr="00113763">
        <w:t xml:space="preserve">investissements </w:t>
      </w:r>
      <w:r w:rsidR="0041045D" w:rsidRPr="00113763">
        <w:t xml:space="preserve">considérables qui leur sont </w:t>
      </w:r>
      <w:r w:rsidR="002C1597" w:rsidRPr="00113763">
        <w:t xml:space="preserve">associés </w:t>
      </w:r>
      <w:r w:rsidRPr="00113763">
        <w:t>est de plus en plus reconnue. La question est examinée par le Comité des Nations Unies des utilisations pacifiques de l</w:t>
      </w:r>
      <w:r w:rsidR="003C6953" w:rsidRPr="00113763">
        <w:t>'</w:t>
      </w:r>
      <w:r w:rsidRPr="00113763">
        <w:t>espace extra-atmosphérique (UN COPUOS), qui se concentre sur les aspects non liés à l</w:t>
      </w:r>
      <w:r w:rsidR="003C6953" w:rsidRPr="00113763">
        <w:t>'</w:t>
      </w:r>
      <w:r w:rsidRPr="00113763">
        <w:t xml:space="preserve">UIT. </w:t>
      </w:r>
      <w:r w:rsidR="0041045D" w:rsidRPr="00113763">
        <w:t>Récemment</w:t>
      </w:r>
      <w:r w:rsidRPr="00113763">
        <w:t xml:space="preserve">, les ministres </w:t>
      </w:r>
      <w:r w:rsidR="0058703D" w:rsidRPr="00113763">
        <w:t>de la</w:t>
      </w:r>
      <w:r w:rsidRPr="00113763">
        <w:t xml:space="preserve"> science et de la technologie du Groupe international des sept (G7), qui se sont réunis lors du Sommet du G7 de 2023</w:t>
      </w:r>
      <w:r w:rsidR="002C1597" w:rsidRPr="00113763">
        <w:t xml:space="preserve">, </w:t>
      </w:r>
      <w:r w:rsidRPr="00113763">
        <w:t xml:space="preserve">ont annoncé </w:t>
      </w:r>
      <w:r w:rsidR="0041045D" w:rsidRPr="00113763">
        <w:t xml:space="preserve">ce qui suit </w:t>
      </w:r>
      <w:r w:rsidRPr="00113763">
        <w:t>dans un communiqué:</w:t>
      </w:r>
    </w:p>
    <w:p w14:paraId="3F54C8BA" w14:textId="7DB11AA7" w:rsidR="00C42ECC" w:rsidRPr="00113763" w:rsidRDefault="0058703D" w:rsidP="0098624A">
      <w:r w:rsidRPr="00113763">
        <w:t xml:space="preserve">«Nous [les ministres </w:t>
      </w:r>
      <w:r w:rsidR="003C69C0" w:rsidRPr="00113763">
        <w:t>de la science</w:t>
      </w:r>
      <w:r w:rsidRPr="00113763">
        <w:t xml:space="preserve"> et de la technologie du G7] reconnaissons l</w:t>
      </w:r>
      <w:r w:rsidR="003C6953" w:rsidRPr="00113763">
        <w:t>'</w:t>
      </w:r>
      <w:r w:rsidRPr="00113763">
        <w:t>importance de poursuivre les discussions, dans le cadre du COPUOS des Nations Unies et de l</w:t>
      </w:r>
      <w:r w:rsidR="003C6953" w:rsidRPr="00113763">
        <w:t>'</w:t>
      </w:r>
      <w:r w:rsidRPr="00113763">
        <w:t>Union internationale des télécommunications (UIT), ainsi qu</w:t>
      </w:r>
      <w:r w:rsidR="003C6953" w:rsidRPr="00113763">
        <w:t>'</w:t>
      </w:r>
      <w:r w:rsidRPr="00113763">
        <w:t>avec l</w:t>
      </w:r>
      <w:r w:rsidR="003C6953" w:rsidRPr="00113763">
        <w:t>'</w:t>
      </w:r>
      <w:r w:rsidRPr="00113763">
        <w:t>Union astronomique internationale (UAI), concernant les incidences des grandes constellations de satellites sur l</w:t>
      </w:r>
      <w:r w:rsidR="003C6953" w:rsidRPr="00113763">
        <w:t>'</w:t>
      </w:r>
      <w:r w:rsidRPr="00113763">
        <w:t>astronomie</w:t>
      </w:r>
      <w:r w:rsidR="002C1597" w:rsidRPr="00113763">
        <w:t xml:space="preserve"> </w:t>
      </w:r>
      <w:r w:rsidR="00AB086B" w:rsidRPr="00113763">
        <w:t xml:space="preserve">afin d'assurer </w:t>
      </w:r>
      <w:r w:rsidRPr="00113763">
        <w:t>la protection d'un ciel sans pollution lumineuse et sonore.»</w:t>
      </w:r>
    </w:p>
    <w:p w14:paraId="2E5F73C7" w14:textId="74691D6C" w:rsidR="00C42ECC" w:rsidRPr="00113763" w:rsidRDefault="00E679AD" w:rsidP="0098624A">
      <w:r w:rsidRPr="00113763">
        <w:t>Les menaces susmentionnées pour l'astronomie optique et la radioastronomie sont principalement liées à ce que les médias appe</w:t>
      </w:r>
      <w:r w:rsidR="0041045D" w:rsidRPr="00113763">
        <w:t xml:space="preserve">llent </w:t>
      </w:r>
      <w:r w:rsidRPr="00113763">
        <w:t xml:space="preserve">les «mégaconstellations». Ce terme étant techniquement incorrect (même les constellations les plus grandes seront composées de centaines de milliers de satellites, </w:t>
      </w:r>
      <w:r w:rsidR="0041045D" w:rsidRPr="00113763">
        <w:t xml:space="preserve">et </w:t>
      </w:r>
      <w:r w:rsidRPr="00113763">
        <w:t xml:space="preserve">non </w:t>
      </w:r>
      <w:r w:rsidR="0041045D" w:rsidRPr="00113763">
        <w:t xml:space="preserve">pas </w:t>
      </w:r>
      <w:r w:rsidRPr="00113763">
        <w:t>de millions de satellites), les systèmes concernés seront appelés</w:t>
      </w:r>
      <w:r w:rsidR="0041045D" w:rsidRPr="00113763">
        <w:t xml:space="preserve"> ici</w:t>
      </w:r>
      <w:r w:rsidRPr="00113763">
        <w:t xml:space="preserve"> «grandes constellations de satellites». Toutefois, il n</w:t>
      </w:r>
      <w:r w:rsidR="003C6953" w:rsidRPr="00113763">
        <w:t>'</w:t>
      </w:r>
      <w:r w:rsidRPr="00113763">
        <w:t xml:space="preserve">existe actuellement aucune définition ou classification </w:t>
      </w:r>
      <w:r w:rsidR="0041045D" w:rsidRPr="00113763">
        <w:t xml:space="preserve">de </w:t>
      </w:r>
      <w:r w:rsidR="00AB086B" w:rsidRPr="00113763">
        <w:t xml:space="preserve">ce </w:t>
      </w:r>
      <w:r w:rsidR="0041045D" w:rsidRPr="00113763">
        <w:t xml:space="preserve">que l'on entend par </w:t>
      </w:r>
      <w:r w:rsidRPr="00113763">
        <w:t>«grand» système à satellites non géostationnaires (non OSG) dans le Règlement des radiocommunications. Il conviendrait donc d</w:t>
      </w:r>
      <w:r w:rsidR="003C6953" w:rsidRPr="00113763">
        <w:t>'</w:t>
      </w:r>
      <w:r w:rsidRPr="00113763">
        <w:t xml:space="preserve">étudier la classification éventuelle des constellations de satellites. En revanche, </w:t>
      </w:r>
      <w:r w:rsidR="00AB086B" w:rsidRPr="00113763">
        <w:t xml:space="preserve">il serait </w:t>
      </w:r>
      <w:r w:rsidR="0041045D" w:rsidRPr="00113763">
        <w:t xml:space="preserve">judicieux </w:t>
      </w:r>
      <w:r w:rsidR="00AB086B" w:rsidRPr="00113763">
        <w:t xml:space="preserve">de ne pas </w:t>
      </w:r>
      <w:r w:rsidR="0041045D" w:rsidRPr="00113763">
        <w:t xml:space="preserve">traiter dans le cadre du point de l'ordre du jour proposé </w:t>
      </w:r>
      <w:r w:rsidRPr="00113763">
        <w:t xml:space="preserve">les constellations de satellites classiques, </w:t>
      </w:r>
      <w:r w:rsidR="0041045D" w:rsidRPr="00113763">
        <w:t xml:space="preserve">composées de </w:t>
      </w:r>
      <w:r w:rsidRPr="00113763">
        <w:t>moins de cent ou</w:t>
      </w:r>
      <w:r w:rsidR="0041045D" w:rsidRPr="00113763">
        <w:t xml:space="preserve"> </w:t>
      </w:r>
      <w:r w:rsidRPr="00113763">
        <w:t>deux cents satellites, car cela alourdirait inutilement la charge de travail pendant la période d</w:t>
      </w:r>
      <w:r w:rsidR="003C6953" w:rsidRPr="00113763">
        <w:t>'</w:t>
      </w:r>
      <w:r w:rsidRPr="00113763">
        <w:t>études et n</w:t>
      </w:r>
      <w:r w:rsidR="003C6953" w:rsidRPr="00113763">
        <w:t>'</w:t>
      </w:r>
      <w:r w:rsidRPr="00113763">
        <w:t xml:space="preserve">apporterait </w:t>
      </w:r>
      <w:r w:rsidR="0041045D" w:rsidRPr="00113763">
        <w:t>guère</w:t>
      </w:r>
      <w:r w:rsidRPr="00113763">
        <w:t xml:space="preserve"> d</w:t>
      </w:r>
      <w:r w:rsidR="003C6953" w:rsidRPr="00113763">
        <w:t>'</w:t>
      </w:r>
      <w:r w:rsidRPr="00113763">
        <w:t xml:space="preserve">avantages </w:t>
      </w:r>
      <w:r w:rsidR="00AB086B" w:rsidRPr="00113763">
        <w:t>en ce qui concerne</w:t>
      </w:r>
      <w:r w:rsidRPr="00113763">
        <w:t xml:space="preserve"> la protection du SRA.</w:t>
      </w:r>
    </w:p>
    <w:p w14:paraId="21B2FFDB" w14:textId="6F04D9E9" w:rsidR="00C42ECC" w:rsidRPr="00113763" w:rsidRDefault="00E679AD" w:rsidP="0098624A">
      <w:r w:rsidRPr="00113763">
        <w:t xml:space="preserve">On trouvera </w:t>
      </w:r>
      <w:r w:rsidR="0041045D" w:rsidRPr="00113763">
        <w:t>ci-après</w:t>
      </w:r>
      <w:r w:rsidRPr="00113763">
        <w:t xml:space="preserve"> un bref résumé de certains des aspects les plus importants liés aux grandes constellations de satellites.</w:t>
      </w:r>
    </w:p>
    <w:p w14:paraId="5EED6488" w14:textId="2828AF97" w:rsidR="00C42ECC" w:rsidRPr="00113763" w:rsidRDefault="0041045D" w:rsidP="0098624A">
      <w:pPr>
        <w:pStyle w:val="Headingb"/>
      </w:pPr>
      <w:r w:rsidRPr="00113763">
        <w:t xml:space="preserve">Effets cumulatifs </w:t>
      </w:r>
      <w:r w:rsidR="0010587A" w:rsidRPr="00113763">
        <w:t>et répartition</w:t>
      </w:r>
    </w:p>
    <w:p w14:paraId="103CCC63" w14:textId="30B8EB0C" w:rsidR="00C42ECC" w:rsidRPr="00113763" w:rsidRDefault="0010587A" w:rsidP="0098624A">
      <w:r w:rsidRPr="00113763">
        <w:t>La méthode permettant d</w:t>
      </w:r>
      <w:r w:rsidR="003C6953" w:rsidRPr="00113763">
        <w:t>'</w:t>
      </w:r>
      <w:r w:rsidRPr="00113763">
        <w:t>évaluer les incidences des brouillages cumulatifs lorsque plusieurs</w:t>
      </w:r>
      <w:r w:rsidR="00537F39" w:rsidRPr="00113763">
        <w:t> </w:t>
      </w:r>
      <w:r w:rsidRPr="00113763">
        <w:t>constellations sont exploitées simultanément est mal définie. Dans la Recommandation</w:t>
      </w:r>
      <w:r w:rsidR="00537F39" w:rsidRPr="00113763">
        <w:t> </w:t>
      </w:r>
      <w:r w:rsidRPr="00113763">
        <w:t>UIT</w:t>
      </w:r>
      <w:r w:rsidR="00537F39" w:rsidRPr="00113763">
        <w:noBreakHyphen/>
      </w:r>
      <w:r w:rsidRPr="00113763">
        <w:t>R</w:t>
      </w:r>
      <w:r w:rsidR="00537F39" w:rsidRPr="00113763">
        <w:t> </w:t>
      </w:r>
      <w:r w:rsidRPr="00113763">
        <w:t>RA.1513, il est indiqué qu</w:t>
      </w:r>
      <w:r w:rsidR="003C6953" w:rsidRPr="00113763">
        <w:t>'</w:t>
      </w:r>
      <w:r w:rsidRPr="00113763">
        <w:t>une perte de données de 5% engendrée par tous</w:t>
      </w:r>
      <w:r w:rsidR="00537F39" w:rsidRPr="00113763">
        <w:t> </w:t>
      </w:r>
      <w:r w:rsidRPr="00113763">
        <w:t>les systèmes à satellites ayant une incidence sur une bande de fréquences donnée du SRA est acceptable pour les observations du SRA</w:t>
      </w:r>
      <w:r w:rsidR="0041045D" w:rsidRPr="00113763">
        <w:t xml:space="preserve">, </w:t>
      </w:r>
      <w:r w:rsidRPr="00113763">
        <w:t xml:space="preserve">et qu'une perte de données de 2% </w:t>
      </w:r>
      <w:r w:rsidR="00737C27" w:rsidRPr="00113763">
        <w:t xml:space="preserve">causée par </w:t>
      </w:r>
      <w:r w:rsidRPr="00113763">
        <w:t xml:space="preserve">un seul système est acceptable. Cependant, la </w:t>
      </w:r>
      <w:r w:rsidR="0041045D" w:rsidRPr="00113763">
        <w:t xml:space="preserve">Recommandation </w:t>
      </w:r>
      <w:r w:rsidRPr="00113763">
        <w:t xml:space="preserve">indique également que le niveau de 5% serait automatiquement </w:t>
      </w:r>
      <w:r w:rsidR="00737C27" w:rsidRPr="00113763">
        <w:t>respecté</w:t>
      </w:r>
      <w:r w:rsidR="0041045D" w:rsidRPr="00113763">
        <w:t xml:space="preserve"> lorsque</w:t>
      </w:r>
      <w:r w:rsidRPr="00113763">
        <w:t xml:space="preserve"> chaque système </w:t>
      </w:r>
      <w:r w:rsidR="00737C27" w:rsidRPr="00113763">
        <w:t xml:space="preserve">se </w:t>
      </w:r>
      <w:r w:rsidR="0041045D" w:rsidRPr="00113763">
        <w:t xml:space="preserve">conforme </w:t>
      </w:r>
      <w:r w:rsidR="00737C27" w:rsidRPr="00113763">
        <w:t>à</w:t>
      </w:r>
      <w:r w:rsidRPr="00113763">
        <w:t xml:space="preserve"> l</w:t>
      </w:r>
      <w:r w:rsidR="00737C27" w:rsidRPr="00113763">
        <w:t xml:space="preserve">a limite </w:t>
      </w:r>
      <w:r w:rsidRPr="00113763">
        <w:t xml:space="preserve">de 2%. Bien que cela ait probablement été le cas </w:t>
      </w:r>
      <w:r w:rsidR="00737C27" w:rsidRPr="00113763">
        <w:t>pendant</w:t>
      </w:r>
      <w:r w:rsidRPr="00113763">
        <w:t xml:space="preserve"> un certain temps, </w:t>
      </w:r>
      <w:r w:rsidR="0041045D" w:rsidRPr="00113763">
        <w:t xml:space="preserve">il est peu probable que cette hypothèse soit encore valable </w:t>
      </w:r>
      <w:r w:rsidRPr="00113763">
        <w:t>compte tenu de l</w:t>
      </w:r>
      <w:r w:rsidR="003C6953" w:rsidRPr="00113763">
        <w:t>'</w:t>
      </w:r>
      <w:r w:rsidRPr="00113763">
        <w:t>augmentation considérable du nombre de constellations de satellites</w:t>
      </w:r>
      <w:r w:rsidR="0098624A" w:rsidRPr="00113763">
        <w:t>.</w:t>
      </w:r>
    </w:p>
    <w:p w14:paraId="09AF0841" w14:textId="411E0439" w:rsidR="00C42ECC" w:rsidRPr="00113763" w:rsidRDefault="00737C27" w:rsidP="0098624A">
      <w:r w:rsidRPr="00113763">
        <w:t xml:space="preserve">Sur le plan technique, plusieurs </w:t>
      </w:r>
      <w:r w:rsidR="0041045D" w:rsidRPr="00113763">
        <w:t xml:space="preserve">Recommandations </w:t>
      </w:r>
      <w:r w:rsidRPr="00113763">
        <w:t>UIT-R proposent des méthodes permettant de calculer la perte de données causée par une ou plusieurs constellations de satellites. D</w:t>
      </w:r>
      <w:r w:rsidR="003C6953" w:rsidRPr="00113763">
        <w:t>'</w:t>
      </w:r>
      <w:r w:rsidRPr="00113763">
        <w:t xml:space="preserve">après </w:t>
      </w:r>
      <w:r w:rsidR="00AB086B" w:rsidRPr="00113763">
        <w:t>des</w:t>
      </w:r>
      <w:r w:rsidRPr="00113763">
        <w:t xml:space="preserve"> travaux antérieurs, il est </w:t>
      </w:r>
      <w:r w:rsidR="0041045D" w:rsidRPr="00113763">
        <w:t xml:space="preserve">admis </w:t>
      </w:r>
      <w:r w:rsidRPr="00113763">
        <w:t xml:space="preserve">que pour </w:t>
      </w:r>
      <w:r w:rsidR="0041045D" w:rsidRPr="00113763">
        <w:t xml:space="preserve">les </w:t>
      </w:r>
      <w:r w:rsidRPr="00113763">
        <w:t>constellations non OSG d</w:t>
      </w:r>
      <w:r w:rsidR="003C6953" w:rsidRPr="00113763">
        <w:t>'</w:t>
      </w:r>
      <w:r w:rsidRPr="00113763">
        <w:t xml:space="preserve">une certaine taille, les calculs devraient être effectués sur la base de la méthode dite de </w:t>
      </w:r>
      <w:r w:rsidR="0041045D" w:rsidRPr="00113763">
        <w:t xml:space="preserve">la </w:t>
      </w:r>
      <w:r w:rsidRPr="00113763">
        <w:t xml:space="preserve">puissance surfacique équivalente (epfd), décrite dans la Recommandation UIT-R M.1583. Cette approche peut (et devrait) intégrer </w:t>
      </w:r>
      <w:r w:rsidR="00E31C5F" w:rsidRPr="00113763">
        <w:t>tous les types de caractéristiques</w:t>
      </w:r>
      <w:r w:rsidRPr="00113763">
        <w:t xml:space="preserve"> opérationnelles et techniques des constellations de satellites</w:t>
      </w:r>
      <w:r w:rsidR="005C0FAD" w:rsidRPr="00113763">
        <w:t xml:space="preserve"> nécessaire</w:t>
      </w:r>
      <w:r w:rsidR="00AB086B" w:rsidRPr="00113763">
        <w:t>s</w:t>
      </w:r>
      <w:r w:rsidR="00E31C5F" w:rsidRPr="00113763">
        <w:t xml:space="preserve">, </w:t>
      </w:r>
      <w:r w:rsidR="005C0FAD" w:rsidRPr="00113763">
        <w:t>afin que</w:t>
      </w:r>
      <w:r w:rsidRPr="00113763">
        <w:t xml:space="preserve"> des études de compatibilité suffisamment précises puissent être </w:t>
      </w:r>
      <w:r w:rsidR="00E31C5F" w:rsidRPr="00113763">
        <w:t>faites</w:t>
      </w:r>
      <w:r w:rsidR="00C42ECC" w:rsidRPr="00113763">
        <w:t>.</w:t>
      </w:r>
      <w:r w:rsidR="005C0FAD" w:rsidRPr="00113763">
        <w:t xml:space="preserve"> En outre, les effets cumulatifs (lorsque plusieurs constellations de satellites ont des incidences sur les mêmes bandes de fréquences </w:t>
      </w:r>
      <w:r w:rsidR="00E31C5F" w:rsidRPr="00113763">
        <w:t xml:space="preserve">attribuées au </w:t>
      </w:r>
      <w:r w:rsidR="005C0FAD" w:rsidRPr="00113763">
        <w:t xml:space="preserve">SRA) sont relativement simples à prendre en compte. Cependant, les questions relatives </w:t>
      </w:r>
      <w:r w:rsidR="003C69C0" w:rsidRPr="00113763">
        <w:t>aux procédures</w:t>
      </w:r>
      <w:r w:rsidR="005C0FAD" w:rsidRPr="00113763">
        <w:t xml:space="preserve"> à suivre </w:t>
      </w:r>
      <w:r w:rsidR="00E31C5F" w:rsidRPr="00113763">
        <w:t>manquent de clarté</w:t>
      </w:r>
      <w:r w:rsidR="005C0FAD" w:rsidRPr="00113763">
        <w:t xml:space="preserve">. Si deux systèmes sont déjà exploités et satisfont tout juste au critère de 2%, que se passe-t-il si un troisième système veut </w:t>
      </w:r>
      <w:r w:rsidR="00E31C5F" w:rsidRPr="00113763">
        <w:t xml:space="preserve">accéder au </w:t>
      </w:r>
      <w:r w:rsidR="005C0FAD" w:rsidRPr="00113763">
        <w:t>marché? S</w:t>
      </w:r>
      <w:r w:rsidR="003C6953" w:rsidRPr="00113763">
        <w:t>'</w:t>
      </w:r>
      <w:r w:rsidR="005C0FAD" w:rsidRPr="00113763">
        <w:t>agit-il du «premier arrivé, premier servi»</w:t>
      </w:r>
      <w:r w:rsidR="00E31C5F" w:rsidRPr="00113763">
        <w:t>,</w:t>
      </w:r>
      <w:r w:rsidR="00537F39" w:rsidRPr="00113763">
        <w:t xml:space="preserve"> </w:t>
      </w:r>
      <w:r w:rsidR="005C0FAD" w:rsidRPr="00113763">
        <w:t xml:space="preserve">ou une approche différente devrait-elle être </w:t>
      </w:r>
      <w:r w:rsidR="005C0FAD" w:rsidRPr="00113763">
        <w:lastRenderedPageBreak/>
        <w:t xml:space="preserve">adoptée? </w:t>
      </w:r>
      <w:r w:rsidR="00E31C5F" w:rsidRPr="00113763">
        <w:t>De plus</w:t>
      </w:r>
      <w:r w:rsidR="005C0FAD" w:rsidRPr="00113763">
        <w:t>, il est probable que l'epfd devra être recalculée en prenant en compte tous les systèmes concernés, c</w:t>
      </w:r>
      <w:r w:rsidR="003C6953" w:rsidRPr="00113763">
        <w:t>'</w:t>
      </w:r>
      <w:r w:rsidR="005C0FAD" w:rsidRPr="00113763">
        <w:t>est-à-dire chaque fois qu</w:t>
      </w:r>
      <w:r w:rsidR="003C6953" w:rsidRPr="00113763">
        <w:t>'</w:t>
      </w:r>
      <w:r w:rsidR="005C0FAD" w:rsidRPr="00113763">
        <w:t>un nouveau système est ajouté, ce qui augmente la charge de travail requise pour toutes les parties prenantes.</w:t>
      </w:r>
    </w:p>
    <w:p w14:paraId="041CD116" w14:textId="2DB6B5A0" w:rsidR="00C42ECC" w:rsidRPr="00113763" w:rsidRDefault="005C0FAD" w:rsidP="0098624A">
      <w:r w:rsidRPr="00113763">
        <w:t>Il est reconnu que la question de la répartition est très complexe à résoudre. Ainsi, pour que la charge de travail reste</w:t>
      </w:r>
      <w:r w:rsidR="00E31C5F" w:rsidRPr="00113763">
        <w:t xml:space="preserve"> dans des limites</w:t>
      </w:r>
      <w:r w:rsidRPr="00113763">
        <w:t xml:space="preserve"> </w:t>
      </w:r>
      <w:r w:rsidR="004E73B7" w:rsidRPr="00113763">
        <w:t>raisonnable</w:t>
      </w:r>
      <w:r w:rsidR="00E31C5F" w:rsidRPr="00113763">
        <w:t>s</w:t>
      </w:r>
      <w:r w:rsidRPr="00113763">
        <w:t xml:space="preserve"> </w:t>
      </w:r>
      <w:r w:rsidR="00C540DB" w:rsidRPr="00113763">
        <w:t>au cours d'une</w:t>
      </w:r>
      <w:r w:rsidRPr="00113763">
        <w:t xml:space="preserve"> période d</w:t>
      </w:r>
      <w:r w:rsidR="003C6953" w:rsidRPr="00113763">
        <w:t>'</w:t>
      </w:r>
      <w:r w:rsidRPr="00113763">
        <w:t>études, il est proposé de</w:t>
      </w:r>
      <w:r w:rsidR="00E31C5F" w:rsidRPr="00113763">
        <w:t xml:space="preserve"> n'examiner </w:t>
      </w:r>
      <w:r w:rsidRPr="00113763">
        <w:t xml:space="preserve">que les constellations de satellites les plus </w:t>
      </w:r>
      <w:r w:rsidR="004E73B7" w:rsidRPr="00113763">
        <w:t>grandes</w:t>
      </w:r>
      <w:r w:rsidRPr="00113763">
        <w:t xml:space="preserve"> </w:t>
      </w:r>
      <w:r w:rsidR="00E31C5F" w:rsidRPr="00113763">
        <w:t xml:space="preserve">ayant </w:t>
      </w:r>
      <w:r w:rsidR="004E73B7" w:rsidRPr="00113763">
        <w:t>des incidences sur</w:t>
      </w:r>
      <w:r w:rsidRPr="00113763">
        <w:t xml:space="preserve"> une bande d</w:t>
      </w:r>
      <w:r w:rsidR="004E73B7" w:rsidRPr="00113763">
        <w:t>e fréquences d</w:t>
      </w:r>
      <w:r w:rsidRPr="00113763">
        <w:t xml:space="preserve">onnée du SRA. </w:t>
      </w:r>
      <w:r w:rsidR="004A7B84" w:rsidRPr="00113763">
        <w:t>À</w:t>
      </w:r>
      <w:r w:rsidR="00E31C5F" w:rsidRPr="00113763">
        <w:t xml:space="preserve"> cette fin, une </w:t>
      </w:r>
      <w:r w:rsidRPr="00113763">
        <w:t>méthode pratique pourrait consister à utiliser la base de données de l</w:t>
      </w:r>
      <w:r w:rsidR="003C6953" w:rsidRPr="00113763">
        <w:t>'</w:t>
      </w:r>
      <w:r w:rsidRPr="00113763">
        <w:t xml:space="preserve">UIT-R </w:t>
      </w:r>
      <w:r w:rsidR="004E73B7" w:rsidRPr="00113763">
        <w:t>contenant</w:t>
      </w:r>
      <w:r w:rsidRPr="00113763">
        <w:t xml:space="preserve"> les fiches de notification de</w:t>
      </w:r>
      <w:r w:rsidR="00E31C5F" w:rsidRPr="00113763">
        <w:t>s réseaux à</w:t>
      </w:r>
      <w:r w:rsidRPr="00113763">
        <w:t xml:space="preserve"> </w:t>
      </w:r>
      <w:r w:rsidR="00E31C5F" w:rsidRPr="00113763">
        <w:t xml:space="preserve">satellite </w:t>
      </w:r>
      <w:r w:rsidR="004E73B7" w:rsidRPr="00113763">
        <w:t xml:space="preserve">pour </w:t>
      </w:r>
      <w:r w:rsidRPr="00113763">
        <w:t>extraire ces informations pendant la période d</w:t>
      </w:r>
      <w:r w:rsidR="003C6953" w:rsidRPr="00113763">
        <w:t>'</w:t>
      </w:r>
      <w:r w:rsidRPr="00113763">
        <w:t>études</w:t>
      </w:r>
      <w:r w:rsidR="00C540DB" w:rsidRPr="00113763">
        <w:t xml:space="preserve"> concernée</w:t>
      </w:r>
      <w:r w:rsidRPr="00113763">
        <w:t xml:space="preserve">. De cette manière, les études seraient aussi naturellement limitées aux bandes </w:t>
      </w:r>
      <w:r w:rsidR="004E73B7" w:rsidRPr="00113763">
        <w:t xml:space="preserve">de fréquences </w:t>
      </w:r>
      <w:r w:rsidR="00E31C5F" w:rsidRPr="00113763">
        <w:t xml:space="preserve">attribuées au </w:t>
      </w:r>
      <w:r w:rsidRPr="00113763">
        <w:t xml:space="preserve">SRA qui sont </w:t>
      </w:r>
      <w:r w:rsidR="00C540DB" w:rsidRPr="00113763">
        <w:t xml:space="preserve">effectivement </w:t>
      </w:r>
      <w:r w:rsidRPr="00113763">
        <w:t>menacées</w:t>
      </w:r>
      <w:r w:rsidR="00C540DB" w:rsidRPr="00113763">
        <w:t xml:space="preserve"> au moment de l'étude</w:t>
      </w:r>
      <w:r w:rsidRPr="00113763">
        <w:t>, ce qui réduirait encore la quantité de travail au strict minimum</w:t>
      </w:r>
      <w:r w:rsidR="00C540DB" w:rsidRPr="00113763">
        <w:t>,</w:t>
      </w:r>
      <w:r w:rsidRPr="00113763">
        <w:t xml:space="preserve"> tout en assurant une protection efficace du SRA.</w:t>
      </w:r>
    </w:p>
    <w:p w14:paraId="7F19F0D3" w14:textId="4DB8FA5D" w:rsidR="00C42ECC" w:rsidRPr="00113763" w:rsidRDefault="004E73B7" w:rsidP="0098624A">
      <w:pPr>
        <w:pStyle w:val="Headingb"/>
      </w:pPr>
      <w:r w:rsidRPr="00113763">
        <w:t xml:space="preserve">Absence de </w:t>
      </w:r>
      <w:r w:rsidR="00E31C5F" w:rsidRPr="00113763">
        <w:t xml:space="preserve">procédure </w:t>
      </w:r>
      <w:r w:rsidRPr="00113763">
        <w:t>de l'UIT-R pour protéger le SRA</w:t>
      </w:r>
      <w:r w:rsidR="00A21AC1" w:rsidRPr="00113763">
        <w:t xml:space="preserve"> </w:t>
      </w:r>
      <w:r w:rsidR="00E31C5F" w:rsidRPr="00113763">
        <w:t>à un stade précoce</w:t>
      </w:r>
    </w:p>
    <w:p w14:paraId="61519560" w14:textId="253DB4FE" w:rsidR="00C42ECC" w:rsidRPr="00113763" w:rsidRDefault="00A21AC1" w:rsidP="0098624A">
      <w:r w:rsidRPr="00113763">
        <w:t>À l</w:t>
      </w:r>
      <w:r w:rsidR="003C6953" w:rsidRPr="00113763">
        <w:t>'</w:t>
      </w:r>
      <w:r w:rsidRPr="00113763">
        <w:t xml:space="preserve">heure actuelle, les procédures réglementaires relatives à la coordination des systèmes à satellites non OSG avec le SRA </w:t>
      </w:r>
      <w:r w:rsidR="00AE1F49" w:rsidRPr="00113763">
        <w:t>pendant</w:t>
      </w:r>
      <w:r w:rsidRPr="00113763">
        <w:t xml:space="preserve"> la notification des</w:t>
      </w:r>
      <w:r w:rsidR="00E31C5F" w:rsidRPr="00113763">
        <w:t xml:space="preserve"> réseaux à satellite </w:t>
      </w:r>
      <w:r w:rsidRPr="00113763">
        <w:t xml:space="preserve">sont très limitées. Les administrations qui souhaitent protéger leurs stations du SRA ne peuvent le faire </w:t>
      </w:r>
      <w:r w:rsidR="00E31C5F" w:rsidRPr="00113763">
        <w:t>qu'au stade</w:t>
      </w:r>
      <w:r w:rsidRPr="00113763">
        <w:t xml:space="preserve"> de la formulation d</w:t>
      </w:r>
      <w:r w:rsidR="003C6953" w:rsidRPr="00113763">
        <w:t>'</w:t>
      </w:r>
      <w:r w:rsidRPr="00113763">
        <w:t>observations, et le Bureau de l</w:t>
      </w:r>
      <w:r w:rsidR="003C6953" w:rsidRPr="00113763">
        <w:t>'</w:t>
      </w:r>
      <w:r w:rsidRPr="00113763">
        <w:t>UIT-R n</w:t>
      </w:r>
      <w:r w:rsidR="003C6953" w:rsidRPr="00113763">
        <w:t>'</w:t>
      </w:r>
      <w:r w:rsidRPr="00113763">
        <w:t>est pas habilité à évaluer</w:t>
      </w:r>
      <w:r w:rsidR="00E31C5F" w:rsidRPr="00113763">
        <w:t xml:space="preserve"> ne serait-ce que</w:t>
      </w:r>
      <w:r w:rsidRPr="00113763">
        <w:t xml:space="preserve"> les mesures de compatibilité les plus élémentaires lorsqu</w:t>
      </w:r>
      <w:r w:rsidR="003C6953" w:rsidRPr="00113763">
        <w:t>'</w:t>
      </w:r>
      <w:r w:rsidRPr="00113763">
        <w:t xml:space="preserve">il suit la procédure décrite dans les Articles </w:t>
      </w:r>
      <w:r w:rsidRPr="00113763">
        <w:rPr>
          <w:b/>
          <w:bCs/>
        </w:rPr>
        <w:t>9</w:t>
      </w:r>
      <w:r w:rsidRPr="00113763">
        <w:t xml:space="preserve"> et </w:t>
      </w:r>
      <w:r w:rsidRPr="00113763">
        <w:rPr>
          <w:b/>
          <w:bCs/>
        </w:rPr>
        <w:t>11</w:t>
      </w:r>
      <w:r w:rsidRPr="00113763">
        <w:t xml:space="preserve"> du RR. Cela </w:t>
      </w:r>
      <w:r w:rsidR="00AE1F49" w:rsidRPr="00113763">
        <w:t>donne lieu</w:t>
      </w:r>
      <w:r w:rsidRPr="00113763">
        <w:t xml:space="preserve"> à un travail inutile et redondant, chaque administration devant effectuer les mêmes calculs pour chaque station du SRA dans le monde qu</w:t>
      </w:r>
      <w:r w:rsidR="003C6953" w:rsidRPr="00113763">
        <w:t>'</w:t>
      </w:r>
      <w:r w:rsidRPr="00113763">
        <w:t xml:space="preserve">il convient de protéger. En outre, même dans les cas </w:t>
      </w:r>
      <w:r w:rsidR="00AE1F49" w:rsidRPr="00113763">
        <w:t>où des</w:t>
      </w:r>
      <w:r w:rsidRPr="00113763">
        <w:t xml:space="preserve"> brouillage</w:t>
      </w:r>
      <w:r w:rsidR="00AE1F49" w:rsidRPr="00113763">
        <w:t>s</w:t>
      </w:r>
      <w:r w:rsidRPr="00113763">
        <w:t xml:space="preserve"> </w:t>
      </w:r>
      <w:r w:rsidR="00AE1F49" w:rsidRPr="00113763">
        <w:t xml:space="preserve">sont effectivement </w:t>
      </w:r>
      <w:r w:rsidRPr="00113763">
        <w:t xml:space="preserve">causés par des systèmes non OSG existants, les solutions possibles, qui sont exposées dans la Résolution </w:t>
      </w:r>
      <w:r w:rsidRPr="00113763">
        <w:rPr>
          <w:b/>
          <w:bCs/>
        </w:rPr>
        <w:t>739 (Rév.CMR-19)</w:t>
      </w:r>
      <w:r w:rsidRPr="00113763">
        <w:t xml:space="preserve"> et qui permettent aux administrations affectées d</w:t>
      </w:r>
      <w:r w:rsidR="003C6953" w:rsidRPr="00113763">
        <w:t>'</w:t>
      </w:r>
      <w:r w:rsidRPr="00113763">
        <w:t>engager un</w:t>
      </w:r>
      <w:r w:rsidR="00E31C5F" w:rsidRPr="00113763">
        <w:t xml:space="preserve">e procédure </w:t>
      </w:r>
      <w:r w:rsidRPr="00113763">
        <w:t>de consultation avec l</w:t>
      </w:r>
      <w:r w:rsidR="003C6953" w:rsidRPr="00113763">
        <w:t>'</w:t>
      </w:r>
      <w:r w:rsidRPr="00113763">
        <w:t>administration responsable, ne s</w:t>
      </w:r>
      <w:r w:rsidR="003C6953" w:rsidRPr="00113763">
        <w:t>'</w:t>
      </w:r>
      <w:r w:rsidRPr="00113763">
        <w:t>appliquent qu</w:t>
      </w:r>
      <w:r w:rsidR="003C6953" w:rsidRPr="00113763">
        <w:t>'</w:t>
      </w:r>
      <w:r w:rsidRPr="00113763">
        <w:t xml:space="preserve">à un petit sous-ensemble de bandes de fréquences </w:t>
      </w:r>
      <w:r w:rsidR="00080F08" w:rsidRPr="00113763">
        <w:t xml:space="preserve">attribuées au </w:t>
      </w:r>
      <w:r w:rsidRPr="00113763">
        <w:t xml:space="preserve">SRA: les bandes de fréquences utilisées par les services par satellite </w:t>
      </w:r>
      <w:r w:rsidR="002C6CAA" w:rsidRPr="00113763">
        <w:t xml:space="preserve">non OSG </w:t>
      </w:r>
      <w:r w:rsidRPr="00113763">
        <w:t>(principalement dans la gamme de fréquences</w:t>
      </w:r>
      <w:r w:rsidR="00080F08" w:rsidRPr="00113763">
        <w:t xml:space="preserve"> des</w:t>
      </w:r>
      <w:r w:rsidRPr="00113763">
        <w:t xml:space="preserve"> 10-50 GHz) ne figurent pas dans le tableau </w:t>
      </w:r>
      <w:r w:rsidR="002C6CAA" w:rsidRPr="00113763">
        <w:t>relatif aux</w:t>
      </w:r>
      <w:r w:rsidRPr="00113763">
        <w:t xml:space="preserve"> systèmes non OSG </w:t>
      </w:r>
      <w:r w:rsidR="002C6CAA" w:rsidRPr="00113763">
        <w:t>de</w:t>
      </w:r>
      <w:r w:rsidRPr="00113763">
        <w:t xml:space="preserve"> l</w:t>
      </w:r>
      <w:r w:rsidR="003C6953" w:rsidRPr="00113763">
        <w:t>'</w:t>
      </w:r>
      <w:r w:rsidRPr="00113763">
        <w:t xml:space="preserve">Annexe de la Résolution </w:t>
      </w:r>
      <w:r w:rsidRPr="00113763">
        <w:rPr>
          <w:b/>
          <w:bCs/>
        </w:rPr>
        <w:t>739 (Rév.CMR-19)</w:t>
      </w:r>
      <w:r w:rsidRPr="00113763">
        <w:t>.</w:t>
      </w:r>
    </w:p>
    <w:p w14:paraId="19E9B6AB" w14:textId="1B03E2C3" w:rsidR="00C37F15" w:rsidRPr="00113763" w:rsidRDefault="002C6CAA" w:rsidP="0098624A">
      <w:pPr>
        <w:pStyle w:val="Headingb"/>
      </w:pPr>
      <w:r w:rsidRPr="00113763">
        <w:t xml:space="preserve">Impossibilité de </w:t>
      </w:r>
      <w:r w:rsidR="00080F08" w:rsidRPr="00113763">
        <w:t xml:space="preserve">résoudre les problèmes liés aux </w:t>
      </w:r>
      <w:r w:rsidRPr="00113763">
        <w:t xml:space="preserve">systèmes à satellites une fois </w:t>
      </w:r>
      <w:r w:rsidR="00080F08" w:rsidRPr="00113763">
        <w:t xml:space="preserve">qu'ils sont </w:t>
      </w:r>
      <w:r w:rsidRPr="00113763">
        <w:t>en orbite</w:t>
      </w:r>
    </w:p>
    <w:p w14:paraId="3D241EA5" w14:textId="12C0A46A" w:rsidR="00C37F15" w:rsidRPr="00113763" w:rsidRDefault="002C6CAA" w:rsidP="0098624A">
      <w:r w:rsidRPr="00113763">
        <w:t>L</w:t>
      </w:r>
      <w:r w:rsidR="003C6953" w:rsidRPr="00113763">
        <w:t>'</w:t>
      </w:r>
      <w:r w:rsidRPr="00113763">
        <w:t xml:space="preserve">une des principales différences </w:t>
      </w:r>
      <w:r w:rsidR="00080F08" w:rsidRPr="00113763">
        <w:t>entre</w:t>
      </w:r>
      <w:r w:rsidRPr="00113763">
        <w:t xml:space="preserve"> les infrastructures </w:t>
      </w:r>
      <w:r w:rsidR="006F2694" w:rsidRPr="00113763">
        <w:t>satellitaires</w:t>
      </w:r>
      <w:r w:rsidRPr="00113763">
        <w:t xml:space="preserve"> </w:t>
      </w:r>
      <w:r w:rsidR="00080F08" w:rsidRPr="00113763">
        <w:t>et les</w:t>
      </w:r>
      <w:r w:rsidRPr="00113763">
        <w:t xml:space="preserve"> applications de Terre </w:t>
      </w:r>
      <w:r w:rsidR="00080F08" w:rsidRPr="00113763">
        <w:t>tient au</w:t>
      </w:r>
      <w:r w:rsidR="003965C3" w:rsidRPr="00113763">
        <w:t xml:space="preserve"> fait</w:t>
      </w:r>
      <w:r w:rsidRPr="00113763">
        <w:t xml:space="preserve"> que les cas de brouillage</w:t>
      </w:r>
      <w:r w:rsidR="003965C3" w:rsidRPr="00113763">
        <w:t xml:space="preserve"> causés par les premières</w:t>
      </w:r>
      <w:r w:rsidRPr="00113763">
        <w:t xml:space="preserve"> peuvent difficilement être résolus. Bien que cela puisse changer </w:t>
      </w:r>
      <w:r w:rsidR="006F2694" w:rsidRPr="00113763">
        <w:t xml:space="preserve">à terme </w:t>
      </w:r>
      <w:r w:rsidRPr="00113763">
        <w:t xml:space="preserve">(en supposant </w:t>
      </w:r>
      <w:r w:rsidR="006F2694" w:rsidRPr="00113763">
        <w:t xml:space="preserve">que </w:t>
      </w:r>
      <w:r w:rsidRPr="00113763">
        <w:t>davantage d</w:t>
      </w:r>
      <w:r w:rsidR="003C6953" w:rsidRPr="00113763">
        <w:t>'</w:t>
      </w:r>
      <w:r w:rsidRPr="00113763">
        <w:t xml:space="preserve">infrastructures spatiales </w:t>
      </w:r>
      <w:r w:rsidR="006F2694" w:rsidRPr="00113763">
        <w:t xml:space="preserve">seront disponibles </w:t>
      </w:r>
      <w:r w:rsidRPr="00113763">
        <w:t>pour</w:t>
      </w:r>
      <w:r w:rsidR="003965C3" w:rsidRPr="00113763">
        <w:t xml:space="preserve"> assurer</w:t>
      </w:r>
      <w:r w:rsidRPr="00113763">
        <w:t xml:space="preserve"> la maintenance en orbite), à l</w:t>
      </w:r>
      <w:r w:rsidR="003C6953" w:rsidRPr="00113763">
        <w:t>'</w:t>
      </w:r>
      <w:r w:rsidRPr="00113763">
        <w:t xml:space="preserve">heure actuelle, un satellite </w:t>
      </w:r>
      <w:r w:rsidR="003B5D8F" w:rsidRPr="00113763">
        <w:t>endommagé</w:t>
      </w:r>
      <w:r w:rsidRPr="00113763">
        <w:t xml:space="preserve"> ou mal conçu pourrait avoir de graves répercussions sur les observations du SRA</w:t>
      </w:r>
      <w:r w:rsidR="003B5D8F" w:rsidRPr="00113763">
        <w:t>,</w:t>
      </w:r>
      <w:r w:rsidRPr="00113763">
        <w:t xml:space="preserve"> sans qu</w:t>
      </w:r>
      <w:r w:rsidR="003C6953" w:rsidRPr="00113763">
        <w:t>'</w:t>
      </w:r>
      <w:r w:rsidRPr="00113763">
        <w:t xml:space="preserve">il soit possible </w:t>
      </w:r>
      <w:r w:rsidR="003B5D8F" w:rsidRPr="00113763">
        <w:t>de mettre fin aux</w:t>
      </w:r>
      <w:r w:rsidRPr="00113763">
        <w:t xml:space="preserve"> brouillages préjudiciables. Par conséquent, du point de vue de la radioastronomie, </w:t>
      </w:r>
      <w:r w:rsidR="003B5D8F" w:rsidRPr="00113763">
        <w:t>il</w:t>
      </w:r>
      <w:r w:rsidR="00080F08" w:rsidRPr="00113763">
        <w:t xml:space="preserve"> </w:t>
      </w:r>
      <w:r w:rsidR="00AF3041" w:rsidRPr="00113763">
        <w:t xml:space="preserve">conviendrait de prévoir des procédures </w:t>
      </w:r>
      <w:r w:rsidRPr="00113763">
        <w:t>de</w:t>
      </w:r>
      <w:r w:rsidR="00AF3041" w:rsidRPr="00113763">
        <w:t xml:space="preserve"> </w:t>
      </w:r>
      <w:r w:rsidRPr="00113763">
        <w:t>planification et de</w:t>
      </w:r>
      <w:r w:rsidR="00AF3041" w:rsidRPr="00113763">
        <w:t xml:space="preserve"> </w:t>
      </w:r>
      <w:r w:rsidRPr="00113763">
        <w:t>coordination</w:t>
      </w:r>
      <w:r w:rsidR="00AF3041" w:rsidRPr="00113763">
        <w:t xml:space="preserve"> suffisantes </w:t>
      </w:r>
      <w:r w:rsidRPr="00113763">
        <w:t xml:space="preserve">avant </w:t>
      </w:r>
      <w:r w:rsidR="003B5D8F" w:rsidRPr="00113763">
        <w:t>le lancement</w:t>
      </w:r>
      <w:r w:rsidRPr="00113763">
        <w:t xml:space="preserve"> des satellites. Les </w:t>
      </w:r>
      <w:r w:rsidR="003B5D8F" w:rsidRPr="00113763">
        <w:t>bonnes</w:t>
      </w:r>
      <w:r w:rsidRPr="00113763">
        <w:t xml:space="preserve"> pratiques et </w:t>
      </w:r>
      <w:r w:rsidR="003B5D8F" w:rsidRPr="00113763">
        <w:t xml:space="preserve">les </w:t>
      </w:r>
      <w:r w:rsidRPr="00113763">
        <w:t>principes de conception devraient être étudiés, intégrés dans la réglementation et appliqués par les administrations.</w:t>
      </w:r>
    </w:p>
    <w:p w14:paraId="384AA2E2" w14:textId="36E44E4F" w:rsidR="00C42ECC" w:rsidRPr="00113763" w:rsidRDefault="002766A2" w:rsidP="0098624A">
      <w:pPr>
        <w:pStyle w:val="Headingb"/>
      </w:pPr>
      <w:r w:rsidRPr="00113763">
        <w:t>Initiatives</w:t>
      </w:r>
      <w:r w:rsidR="0034771B" w:rsidRPr="00113763">
        <w:t xml:space="preserve"> relatives aux</w:t>
      </w:r>
      <w:r w:rsidR="00AF3041" w:rsidRPr="00113763">
        <w:t xml:space="preserve"> </w:t>
      </w:r>
      <w:r w:rsidR="0034771B" w:rsidRPr="00113763">
        <w:t xml:space="preserve">réseaux </w:t>
      </w:r>
      <w:r w:rsidR="00AF3041" w:rsidRPr="00113763">
        <w:t xml:space="preserve">assurant une connexion cellulaire directe </w:t>
      </w:r>
      <w:r w:rsidR="0034771B" w:rsidRPr="00113763">
        <w:t xml:space="preserve">ou </w:t>
      </w:r>
      <w:r w:rsidR="00AF3041" w:rsidRPr="00113763">
        <w:t>une connexion directe au</w:t>
      </w:r>
      <w:r w:rsidRPr="00113763">
        <w:t xml:space="preserve"> </w:t>
      </w:r>
      <w:r w:rsidR="00AF3041" w:rsidRPr="00113763">
        <w:t>dispositif</w:t>
      </w:r>
    </w:p>
    <w:p w14:paraId="261A761E" w14:textId="51863E75" w:rsidR="00C42ECC" w:rsidRPr="00113763" w:rsidRDefault="002766A2" w:rsidP="0098624A">
      <w:r w:rsidRPr="00113763">
        <w:t xml:space="preserve">Les réseaux </w:t>
      </w:r>
      <w:r w:rsidR="00AF3041" w:rsidRPr="00113763">
        <w:t>autres que les réseaux de Terre</w:t>
      </w:r>
      <w:r w:rsidRPr="00113763">
        <w:t xml:space="preserve"> (NTN), c</w:t>
      </w:r>
      <w:r w:rsidR="003C6953" w:rsidRPr="00113763">
        <w:t>'</w:t>
      </w:r>
      <w:r w:rsidRPr="00113763">
        <w:t xml:space="preserve">est-à-dire les réseaux </w:t>
      </w:r>
      <w:r w:rsidR="00AF3041" w:rsidRPr="00113763">
        <w:t>assurant une connexion cellulaire directe</w:t>
      </w:r>
      <w:r w:rsidRPr="00113763">
        <w:t xml:space="preserve"> (D2C) et les réseaux </w:t>
      </w:r>
      <w:r w:rsidR="00AF3041" w:rsidRPr="00113763">
        <w:t xml:space="preserve">assurant une connexion </w:t>
      </w:r>
      <w:r w:rsidR="0034771B" w:rsidRPr="00113763">
        <w:t xml:space="preserve">directe </w:t>
      </w:r>
      <w:r w:rsidR="00AF3041" w:rsidRPr="00113763">
        <w:t>au</w:t>
      </w:r>
      <w:r w:rsidR="0034771B" w:rsidRPr="00113763">
        <w:t xml:space="preserve"> dispositif</w:t>
      </w:r>
      <w:r w:rsidR="00AF3041" w:rsidRPr="00113763">
        <w:t xml:space="preserve"> </w:t>
      </w:r>
      <w:r w:rsidR="0034771B" w:rsidRPr="00113763">
        <w:t>(D2D)</w:t>
      </w:r>
      <w:r w:rsidRPr="00113763">
        <w:t>, ajoutent une</w:t>
      </w:r>
      <w:r w:rsidR="00AF3041" w:rsidRPr="00113763">
        <w:t xml:space="preserve"> </w:t>
      </w:r>
      <w:r w:rsidRPr="00113763">
        <w:t>dimension</w:t>
      </w:r>
      <w:r w:rsidR="00AF3041" w:rsidRPr="00113763">
        <w:t xml:space="preserve"> nouvelle</w:t>
      </w:r>
      <w:r w:rsidRPr="00113763">
        <w:t xml:space="preserve"> aux</w:t>
      </w:r>
      <w:r w:rsidR="00AF3041" w:rsidRPr="00113763">
        <w:t xml:space="preserve"> questions</w:t>
      </w:r>
      <w:r w:rsidRPr="00113763">
        <w:t xml:space="preserve"> susmentionné</w:t>
      </w:r>
      <w:r w:rsidR="00AF3041" w:rsidRPr="00113763">
        <w:t>e</w:t>
      </w:r>
      <w:r w:rsidRPr="00113763">
        <w:t>s. Ces deux technologies désignent l</w:t>
      </w:r>
      <w:r w:rsidR="003C6953" w:rsidRPr="00113763">
        <w:t>'</w:t>
      </w:r>
      <w:r w:rsidRPr="00113763">
        <w:t>intégration d</w:t>
      </w:r>
      <w:r w:rsidR="003C6953" w:rsidRPr="00113763">
        <w:t>'</w:t>
      </w:r>
      <w:r w:rsidRPr="00113763">
        <w:t>une infrastructure satellitaire dans les réseaux de</w:t>
      </w:r>
      <w:r w:rsidR="0034771B" w:rsidRPr="00113763">
        <w:t>s</w:t>
      </w:r>
      <w:r w:rsidRPr="00113763">
        <w:t xml:space="preserve"> </w:t>
      </w:r>
      <w:r w:rsidR="0034771B" w:rsidRPr="00113763">
        <w:t>T</w:t>
      </w:r>
      <w:r w:rsidRPr="00113763">
        <w:t xml:space="preserve">élécommunications mobiles internationales (IMT). </w:t>
      </w:r>
      <w:r w:rsidR="00DF0476" w:rsidRPr="00113763">
        <w:t>Les réseaux</w:t>
      </w:r>
      <w:r w:rsidRPr="00113763">
        <w:t xml:space="preserve"> D2C </w:t>
      </w:r>
      <w:r w:rsidR="00DF0476" w:rsidRPr="00113763">
        <w:t>sont</w:t>
      </w:r>
      <w:r w:rsidRPr="00113763">
        <w:t xml:space="preserve"> destiné</w:t>
      </w:r>
      <w:r w:rsidR="00DF0476" w:rsidRPr="00113763">
        <w:t>s</w:t>
      </w:r>
      <w:r w:rsidRPr="00113763">
        <w:t xml:space="preserve"> à connecter les stations de base IMT au réseau via des liaisons par satellite, tandis qu</w:t>
      </w:r>
      <w:r w:rsidR="00DF0476" w:rsidRPr="00113763">
        <w:t xml:space="preserve">e les réseaux </w:t>
      </w:r>
      <w:r w:rsidRPr="00113763">
        <w:t>D2D utilise</w:t>
      </w:r>
      <w:r w:rsidR="00DF0476" w:rsidRPr="00113763">
        <w:t>nt</w:t>
      </w:r>
      <w:r w:rsidRPr="00113763">
        <w:t xml:space="preserve"> </w:t>
      </w:r>
      <w:r w:rsidR="003965C3" w:rsidRPr="00113763">
        <w:t>des</w:t>
      </w:r>
      <w:r w:rsidRPr="00113763">
        <w:t xml:space="preserve"> stations de base IMT à bord de satellites pour communiquer directement avec </w:t>
      </w:r>
      <w:r w:rsidR="00AF3041" w:rsidRPr="00113763">
        <w:t xml:space="preserve">les équipements </w:t>
      </w:r>
      <w:r w:rsidRPr="00113763">
        <w:t>d</w:t>
      </w:r>
      <w:r w:rsidR="003C6953" w:rsidRPr="00113763">
        <w:t>'</w:t>
      </w:r>
      <w:r w:rsidRPr="00113763">
        <w:t xml:space="preserve">utilisateur IMT. </w:t>
      </w:r>
      <w:r w:rsidR="00AF3041" w:rsidRPr="00113763">
        <w:t xml:space="preserve">Ces </w:t>
      </w:r>
      <w:r w:rsidRPr="00113763">
        <w:t xml:space="preserve">deux </w:t>
      </w:r>
      <w:r w:rsidR="0034771B" w:rsidRPr="00113763">
        <w:lastRenderedPageBreak/>
        <w:t xml:space="preserve">technologies </w:t>
      </w:r>
      <w:r w:rsidRPr="00113763">
        <w:t>sont particulièrement intéressant</w:t>
      </w:r>
      <w:r w:rsidR="0034771B" w:rsidRPr="00113763">
        <w:t>e</w:t>
      </w:r>
      <w:r w:rsidRPr="00113763">
        <w:t>s, en particulier</w:t>
      </w:r>
      <w:r w:rsidR="0034771B" w:rsidRPr="00113763">
        <w:t xml:space="preserve"> pour</w:t>
      </w:r>
      <w:r w:rsidRPr="00113763">
        <w:t xml:space="preserve"> les stations relais ou de raccordement dans les zones mal desservies qui sont difficiles d</w:t>
      </w:r>
      <w:r w:rsidR="003C6953" w:rsidRPr="00113763">
        <w:t>'</w:t>
      </w:r>
      <w:r w:rsidRPr="00113763">
        <w:t>accès. Il convient de noter que</w:t>
      </w:r>
      <w:r w:rsidR="00AF3041" w:rsidRPr="00113763">
        <w:t xml:space="preserve"> pour</w:t>
      </w:r>
      <w:r w:rsidR="004A7B84" w:rsidRPr="00113763">
        <w:t xml:space="preserve"> </w:t>
      </w:r>
      <w:r w:rsidR="00DF0476" w:rsidRPr="00113763">
        <w:t>les réseaux</w:t>
      </w:r>
      <w:r w:rsidRPr="00113763">
        <w:t xml:space="preserve"> D2C</w:t>
      </w:r>
      <w:r w:rsidR="00AF3041" w:rsidRPr="00113763">
        <w:t>,</w:t>
      </w:r>
      <w:r w:rsidR="00DF0476" w:rsidRPr="00113763">
        <w:t xml:space="preserve"> </w:t>
      </w:r>
      <w:r w:rsidRPr="00113763">
        <w:t xml:space="preserve">des fréquences distinctes </w:t>
      </w:r>
      <w:r w:rsidR="00AF3041" w:rsidRPr="00113763">
        <w:t xml:space="preserve">sont nécessaires </w:t>
      </w:r>
      <w:r w:rsidRPr="00113763">
        <w:t xml:space="preserve">pour les liaisons descendantes normales </w:t>
      </w:r>
      <w:r w:rsidR="00DF0476" w:rsidRPr="00113763">
        <w:t>des</w:t>
      </w:r>
      <w:r w:rsidRPr="00113763">
        <w:t xml:space="preserve"> station</w:t>
      </w:r>
      <w:r w:rsidR="00DF0476" w:rsidRPr="00113763">
        <w:t>s</w:t>
      </w:r>
      <w:r w:rsidRPr="00113763">
        <w:t xml:space="preserve"> de base (station de base de Terre vers équipement d</w:t>
      </w:r>
      <w:r w:rsidR="003C6953" w:rsidRPr="00113763">
        <w:t>'</w:t>
      </w:r>
      <w:r w:rsidRPr="00113763">
        <w:t xml:space="preserve">utilisateur de Terre) et les liaisons de connexion (satellite vers station de base de Terre). En outre, toutes les activités </w:t>
      </w:r>
      <w:r w:rsidR="00136D44" w:rsidRPr="00113763">
        <w:t>en cours</w:t>
      </w:r>
      <w:r w:rsidRPr="00113763">
        <w:t xml:space="preserve"> concernant le</w:t>
      </w:r>
      <w:r w:rsidR="00DF0476" w:rsidRPr="00113763">
        <w:t>s</w:t>
      </w:r>
      <w:r w:rsidRPr="00113763">
        <w:t xml:space="preserve"> </w:t>
      </w:r>
      <w:r w:rsidR="00DF0476" w:rsidRPr="00113763">
        <w:t xml:space="preserve">réseaux </w:t>
      </w:r>
      <w:r w:rsidRPr="00113763">
        <w:t>D2D semblent</w:t>
      </w:r>
      <w:r w:rsidR="00AF3041" w:rsidRPr="00113763">
        <w:t xml:space="preserve"> être axées </w:t>
      </w:r>
      <w:r w:rsidRPr="00113763">
        <w:t xml:space="preserve">sur </w:t>
      </w:r>
      <w:r w:rsidR="00E246D2" w:rsidRPr="00113763">
        <w:t>des</w:t>
      </w:r>
      <w:r w:rsidRPr="00113763">
        <w:t xml:space="preserve"> fréquences inférieures à 5 GHz, </w:t>
      </w:r>
      <w:r w:rsidR="00AF3041" w:rsidRPr="00113763">
        <w:t xml:space="preserve">sur </w:t>
      </w:r>
      <w:r w:rsidR="00136D44" w:rsidRPr="00113763">
        <w:t>lesquelles</w:t>
      </w:r>
      <w:r w:rsidRPr="00113763">
        <w:t xml:space="preserve"> l</w:t>
      </w:r>
      <w:r w:rsidR="00AF3041" w:rsidRPr="00113763">
        <w:t xml:space="preserve">'affaiblissement </w:t>
      </w:r>
      <w:r w:rsidRPr="00113763">
        <w:t>de propagation</w:t>
      </w:r>
      <w:r w:rsidR="00AF3041" w:rsidRPr="00113763">
        <w:t xml:space="preserve"> </w:t>
      </w:r>
      <w:r w:rsidR="00E246D2" w:rsidRPr="00113763">
        <w:t>le long du</w:t>
      </w:r>
      <w:r w:rsidRPr="00113763">
        <w:t xml:space="preserve"> trajet</w:t>
      </w:r>
      <w:r w:rsidR="00AF3041" w:rsidRPr="00113763">
        <w:t xml:space="preserve"> est</w:t>
      </w:r>
      <w:r w:rsidRPr="00113763">
        <w:t xml:space="preserve"> </w:t>
      </w:r>
      <w:r w:rsidR="00AF3041" w:rsidRPr="00113763">
        <w:t>moindre</w:t>
      </w:r>
      <w:r w:rsidR="0098624A" w:rsidRPr="00113763">
        <w:t>.</w:t>
      </w:r>
    </w:p>
    <w:p w14:paraId="7DDF30E2" w14:textId="1CA3EC06" w:rsidR="00C42ECC" w:rsidRPr="00113763" w:rsidRDefault="00E246D2" w:rsidP="0098624A">
      <w:r w:rsidRPr="00113763">
        <w:t>Les réseaux IMT existants, en particulier les stations de base, ont fait l</w:t>
      </w:r>
      <w:r w:rsidR="003C6953" w:rsidRPr="00113763">
        <w:t>'</w:t>
      </w:r>
      <w:r w:rsidRPr="00113763">
        <w:t>objet d</w:t>
      </w:r>
      <w:r w:rsidR="006C5F89" w:rsidRPr="00113763">
        <w:t>'</w:t>
      </w:r>
      <w:r w:rsidRPr="00113763">
        <w:t xml:space="preserve">études </w:t>
      </w:r>
      <w:r w:rsidR="006C5F89" w:rsidRPr="00113763">
        <w:t xml:space="preserve">approfondies </w:t>
      </w:r>
      <w:r w:rsidRPr="00113763">
        <w:t xml:space="preserve">et beaucoup de travail a été consacré à </w:t>
      </w:r>
      <w:r w:rsidR="006C5F89" w:rsidRPr="00113763">
        <w:t xml:space="preserve">l'étude </w:t>
      </w:r>
      <w:r w:rsidR="00136D44" w:rsidRPr="00113763">
        <w:t xml:space="preserve">d'une grande </w:t>
      </w:r>
      <w:r w:rsidR="007F15F3" w:rsidRPr="00113763">
        <w:t xml:space="preserve">diversité </w:t>
      </w:r>
      <w:r w:rsidRPr="00113763">
        <w:t xml:space="preserve">de cas: petits et grands réseaux, déploiements </w:t>
      </w:r>
      <w:r w:rsidR="007F15F3" w:rsidRPr="00113763">
        <w:t xml:space="preserve">en zones </w:t>
      </w:r>
      <w:r w:rsidRPr="00113763">
        <w:t>urbain</w:t>
      </w:r>
      <w:r w:rsidR="007F15F3" w:rsidRPr="00113763">
        <w:t>e</w:t>
      </w:r>
      <w:r w:rsidRPr="00113763">
        <w:t xml:space="preserve">s et </w:t>
      </w:r>
      <w:r w:rsidR="007F15F3" w:rsidRPr="00113763">
        <w:t>rurales</w:t>
      </w:r>
      <w:r w:rsidRPr="00113763">
        <w:t>, systèmes d</w:t>
      </w:r>
      <w:r w:rsidR="003C6953" w:rsidRPr="00113763">
        <w:t>'</w:t>
      </w:r>
      <w:r w:rsidRPr="00113763">
        <w:t>antennes classiques ou à formation de faisceaux, scénarios dans la bande</w:t>
      </w:r>
      <w:r w:rsidR="006C5F89" w:rsidRPr="00113763">
        <w:t xml:space="preserve"> de fréquences</w:t>
      </w:r>
      <w:r w:rsidRPr="00113763">
        <w:t xml:space="preserve"> et dans le domaine des </w:t>
      </w:r>
      <w:r w:rsidR="006C5F89" w:rsidRPr="00113763">
        <w:t>rayonnements</w:t>
      </w:r>
      <w:r w:rsidRPr="00113763">
        <w:t xml:space="preserve"> non désirés, etc. Récemment, même </w:t>
      </w:r>
      <w:r w:rsidR="00D03D63" w:rsidRPr="00113763">
        <w:t>les</w:t>
      </w:r>
      <w:r w:rsidRPr="00113763">
        <w:t xml:space="preserve"> stations de base IMT à bord d</w:t>
      </w:r>
      <w:r w:rsidR="003C6953" w:rsidRPr="00113763">
        <w:t>'</w:t>
      </w:r>
      <w:r w:rsidRPr="00113763">
        <w:t xml:space="preserve">aéronefs et </w:t>
      </w:r>
      <w:r w:rsidR="007F15F3" w:rsidRPr="00113763">
        <w:t xml:space="preserve">de </w:t>
      </w:r>
      <w:r w:rsidRPr="00113763">
        <w:t xml:space="preserve">plates-formes stratosphériques à haute altitude ont </w:t>
      </w:r>
      <w:r w:rsidR="00136D44" w:rsidRPr="00113763">
        <w:t>été étudiées</w:t>
      </w:r>
      <w:r w:rsidRPr="00113763">
        <w:t xml:space="preserve">. </w:t>
      </w:r>
      <w:r w:rsidR="00D03D63" w:rsidRPr="00113763">
        <w:t>En revanche, la question de savoir comment</w:t>
      </w:r>
      <w:r w:rsidR="007F15F3" w:rsidRPr="00113763">
        <w:t xml:space="preserve"> assurer </w:t>
      </w:r>
      <w:r w:rsidR="00D03D63" w:rsidRPr="00113763">
        <w:t>la protection du SRA lorsqu</w:t>
      </w:r>
      <w:r w:rsidR="003C6953" w:rsidRPr="00113763">
        <w:t>'</w:t>
      </w:r>
      <w:r w:rsidR="00D03D63" w:rsidRPr="00113763">
        <w:t xml:space="preserve">une composante satellite est ajoutée pour </w:t>
      </w:r>
      <w:r w:rsidR="007F15F3" w:rsidRPr="00113763">
        <w:t xml:space="preserve">appuyer </w:t>
      </w:r>
      <w:r w:rsidR="00D03D63" w:rsidRPr="00113763">
        <w:t>les réseaux n'a pas du tout été étudiée</w:t>
      </w:r>
      <w:r w:rsidRPr="00113763">
        <w:t>. D</w:t>
      </w:r>
      <w:r w:rsidR="003C6953" w:rsidRPr="00113763">
        <w:t>'</w:t>
      </w:r>
      <w:r w:rsidRPr="00113763">
        <w:t>après l</w:t>
      </w:r>
      <w:r w:rsidR="003C6953" w:rsidRPr="00113763">
        <w:t>'</w:t>
      </w:r>
      <w:r w:rsidRPr="00113763">
        <w:t xml:space="preserve">expérience acquise avec les déploiements de stations de base de Terre et </w:t>
      </w:r>
      <w:r w:rsidR="00D03D63" w:rsidRPr="00113763">
        <w:t>à bord d'aéronefs</w:t>
      </w:r>
      <w:r w:rsidRPr="00113763">
        <w:t xml:space="preserve">, il est </w:t>
      </w:r>
      <w:r w:rsidR="007F15F3" w:rsidRPr="00113763">
        <w:t xml:space="preserve">fort </w:t>
      </w:r>
      <w:r w:rsidRPr="00113763">
        <w:t>probable que la taille des zones de coordination ou d</w:t>
      </w:r>
      <w:r w:rsidR="003C6953" w:rsidRPr="00113763">
        <w:t>'</w:t>
      </w:r>
      <w:r w:rsidRPr="00113763">
        <w:t>exclusion nécessaires dépasse</w:t>
      </w:r>
      <w:r w:rsidR="007F15F3" w:rsidRPr="00113763">
        <w:t xml:space="preserve"> largement</w:t>
      </w:r>
      <w:r w:rsidRPr="00113763">
        <w:t xml:space="preserve"> les valeurs actuelles.</w:t>
      </w:r>
      <w:r w:rsidR="00D03D63" w:rsidRPr="00113763">
        <w:t xml:space="preserve"> La coordination multilatérale ne peut donc pas être</w:t>
      </w:r>
      <w:r w:rsidR="007F15F3" w:rsidRPr="00113763">
        <w:t xml:space="preserve"> évitée</w:t>
      </w:r>
      <w:r w:rsidR="00D03D63" w:rsidRPr="00113763">
        <w:t xml:space="preserve">. Pourtant, plusieurs opérateurs de systèmes </w:t>
      </w:r>
      <w:r w:rsidR="00A05AB1" w:rsidRPr="00113763">
        <w:t>en projet</w:t>
      </w:r>
      <w:r w:rsidR="00D03D63" w:rsidRPr="00113763">
        <w:t xml:space="preserve"> tentent </w:t>
      </w:r>
      <w:r w:rsidR="00136D44" w:rsidRPr="00113763">
        <w:t>d'obtenir</w:t>
      </w:r>
      <w:r w:rsidR="00D03D63" w:rsidRPr="00113763">
        <w:t xml:space="preserve"> </w:t>
      </w:r>
      <w:r w:rsidR="00A05AB1" w:rsidRPr="00113763">
        <w:t>un</w:t>
      </w:r>
      <w:r w:rsidR="007F15F3" w:rsidRPr="00113763">
        <w:t xml:space="preserve">e notification </w:t>
      </w:r>
      <w:r w:rsidR="00D03D63" w:rsidRPr="00113763">
        <w:t xml:space="preserve">au titre du numéro </w:t>
      </w:r>
      <w:r w:rsidR="00D03D63" w:rsidRPr="00113763">
        <w:rPr>
          <w:b/>
          <w:bCs/>
        </w:rPr>
        <w:t>4.4</w:t>
      </w:r>
      <w:r w:rsidR="00D03D63" w:rsidRPr="00113763">
        <w:t xml:space="preserve"> de l</w:t>
      </w:r>
      <w:r w:rsidR="003C6953" w:rsidRPr="00113763">
        <w:t>'</w:t>
      </w:r>
      <w:r w:rsidR="00D03D63" w:rsidRPr="00113763">
        <w:t xml:space="preserve">Article </w:t>
      </w:r>
      <w:r w:rsidR="00D03D63" w:rsidRPr="00113763">
        <w:rPr>
          <w:b/>
          <w:bCs/>
        </w:rPr>
        <w:t>4</w:t>
      </w:r>
      <w:r w:rsidR="00D03D63" w:rsidRPr="00113763">
        <w:t xml:space="preserve"> du RR</w:t>
      </w:r>
      <w:r w:rsidR="00A05AB1" w:rsidRPr="00113763">
        <w:t xml:space="preserve"> uniquement</w:t>
      </w:r>
      <w:r w:rsidR="00D03D63" w:rsidRPr="00113763">
        <w:t>,</w:t>
      </w:r>
      <w:r w:rsidR="007F15F3" w:rsidRPr="00113763">
        <w:t xml:space="preserve"> ce qui oblige les parties prenantes locales et régionales</w:t>
      </w:r>
      <w:r w:rsidR="00D03D63" w:rsidRPr="00113763">
        <w:t xml:space="preserve"> </w:t>
      </w:r>
      <w:r w:rsidR="007F15F3" w:rsidRPr="00113763">
        <w:t xml:space="preserve">à </w:t>
      </w:r>
      <w:r w:rsidR="00D03D63" w:rsidRPr="00113763">
        <w:t>organiser et</w:t>
      </w:r>
      <w:r w:rsidR="007F15F3" w:rsidRPr="00113763">
        <w:t xml:space="preserve"> </w:t>
      </w:r>
      <w:r w:rsidR="00D03D63" w:rsidRPr="00113763">
        <w:t>coordonner la protection du SRA</w:t>
      </w:r>
      <w:r w:rsidR="00A05AB1" w:rsidRPr="00113763">
        <w:t xml:space="preserve">, </w:t>
      </w:r>
      <w:r w:rsidR="007F15F3" w:rsidRPr="00113763">
        <w:t xml:space="preserve">et à </w:t>
      </w:r>
      <w:r w:rsidR="00B27F13" w:rsidRPr="00113763">
        <w:t>entamer des procédure</w:t>
      </w:r>
      <w:r w:rsidR="007F15F3" w:rsidRPr="00113763">
        <w:t>s</w:t>
      </w:r>
      <w:r w:rsidR="00A05AB1" w:rsidRPr="00113763">
        <w:t xml:space="preserve"> redondant</w:t>
      </w:r>
      <w:r w:rsidR="00434FC0" w:rsidRPr="00113763">
        <w:t>e</w:t>
      </w:r>
      <w:r w:rsidR="00A05AB1" w:rsidRPr="00113763">
        <w:t>s</w:t>
      </w:r>
      <w:r w:rsidR="00434FC0" w:rsidRPr="00113763">
        <w:t xml:space="preserve"> et à titre individuel</w:t>
      </w:r>
      <w:r w:rsidR="00D03D63" w:rsidRPr="00113763">
        <w:t xml:space="preserve">, ce qui </w:t>
      </w:r>
      <w:r w:rsidR="00A05AB1" w:rsidRPr="00113763">
        <w:t>se révèle</w:t>
      </w:r>
      <w:r w:rsidR="00D03D63" w:rsidRPr="00113763">
        <w:t xml:space="preserve"> très inefficace.</w:t>
      </w:r>
      <w:r w:rsidR="00C94B80" w:rsidRPr="00113763">
        <w:t xml:space="preserve"> Cette pratique</w:t>
      </w:r>
      <w:r w:rsidR="00D72D08" w:rsidRPr="00113763">
        <w:t xml:space="preserve"> </w:t>
      </w:r>
      <w:r w:rsidR="00C94B80" w:rsidRPr="00113763">
        <w:t>présente aussi un risque</w:t>
      </w:r>
      <w:r w:rsidR="00434FC0" w:rsidRPr="00113763">
        <w:t xml:space="preserve">, </w:t>
      </w:r>
      <w:r w:rsidR="00C94B80" w:rsidRPr="00113763">
        <w:t>en ce que</w:t>
      </w:r>
      <w:r w:rsidR="00D03D63" w:rsidRPr="00113763">
        <w:t xml:space="preserve"> certaines administrations </w:t>
      </w:r>
      <w:r w:rsidR="00C94B80" w:rsidRPr="00113763">
        <w:t>pourraient ne pas disposer d</w:t>
      </w:r>
      <w:r w:rsidR="00D03D63" w:rsidRPr="00113763">
        <w:t xml:space="preserve">es moyens </w:t>
      </w:r>
      <w:r w:rsidR="00C94B80" w:rsidRPr="00113763">
        <w:t xml:space="preserve">suffisants pour </w:t>
      </w:r>
      <w:r w:rsidR="00D03D63" w:rsidRPr="00113763">
        <w:t>effectuer toutes les études et tous les calculs nécessaires.</w:t>
      </w:r>
    </w:p>
    <w:p w14:paraId="72F36B2B" w14:textId="398FF731" w:rsidR="00B10F8C" w:rsidRPr="00113763" w:rsidRDefault="00D72D08" w:rsidP="0098624A">
      <w:r w:rsidRPr="00113763">
        <w:t>Il est reconnu que les</w:t>
      </w:r>
      <w:r w:rsidR="00C94B80" w:rsidRPr="00113763">
        <w:t xml:space="preserve"> réseaux</w:t>
      </w:r>
      <w:r w:rsidRPr="00113763">
        <w:t xml:space="preserve"> NTN ne peuvent pas encore être mis en œuvre dans les bandes de fréquences </w:t>
      </w:r>
      <w:r w:rsidR="00434FC0" w:rsidRPr="00113763">
        <w:t xml:space="preserve">attribuées aux </w:t>
      </w:r>
      <w:r w:rsidRPr="00113763">
        <w:t xml:space="preserve">IMT dans le cadre du Règlement des radiocommunications. Néanmoins, plusieurs </w:t>
      </w:r>
      <w:r w:rsidR="00C1301F" w:rsidRPr="00113763">
        <w:t>parties prenantes du secteur privé</w:t>
      </w:r>
      <w:r w:rsidRPr="00113763">
        <w:t xml:space="preserve"> ont déjà investi massivement dans ce domaine et </w:t>
      </w:r>
      <w:r w:rsidR="00C1301F" w:rsidRPr="00113763">
        <w:t>font de rapides</w:t>
      </w:r>
      <w:r w:rsidRPr="00113763">
        <w:t xml:space="preserve"> </w:t>
      </w:r>
      <w:r w:rsidR="00C1301F" w:rsidRPr="00113763">
        <w:t xml:space="preserve">progrès </w:t>
      </w:r>
      <w:r w:rsidRPr="00113763">
        <w:t>(</w:t>
      </w:r>
      <w:r w:rsidR="00C1301F" w:rsidRPr="00113763">
        <w:t>au moyen de</w:t>
      </w:r>
      <w:r w:rsidRPr="00113763">
        <w:t xml:space="preserve"> prototypes en orbite). Comme indiqué plus haut, il est envisagé </w:t>
      </w:r>
      <w:r w:rsidR="00C1301F" w:rsidRPr="00113763">
        <w:t xml:space="preserve">de mettre en œuvre </w:t>
      </w:r>
      <w:r w:rsidRPr="00113763">
        <w:t xml:space="preserve">certains projets au titre du numéro </w:t>
      </w:r>
      <w:r w:rsidRPr="00113763">
        <w:rPr>
          <w:b/>
          <w:bCs/>
        </w:rPr>
        <w:t>4.4</w:t>
      </w:r>
      <w:r w:rsidRPr="00113763">
        <w:t xml:space="preserve"> de l</w:t>
      </w:r>
      <w:r w:rsidR="003C6953" w:rsidRPr="00113763">
        <w:t>'</w:t>
      </w:r>
      <w:r w:rsidRPr="00113763">
        <w:t xml:space="preserve">Article </w:t>
      </w:r>
      <w:r w:rsidRPr="00113763">
        <w:rPr>
          <w:b/>
          <w:bCs/>
        </w:rPr>
        <w:t>4</w:t>
      </w:r>
      <w:r w:rsidRPr="00113763">
        <w:t xml:space="preserve"> du RR. </w:t>
      </w:r>
      <w:r w:rsidR="00C94B80" w:rsidRPr="00113763">
        <w:t>C</w:t>
      </w:r>
      <w:r w:rsidRPr="00113763">
        <w:t xml:space="preserve">ette question devrait </w:t>
      </w:r>
      <w:r w:rsidR="00C94B80" w:rsidRPr="00113763">
        <w:t xml:space="preserve">par conséquent </w:t>
      </w:r>
      <w:r w:rsidRPr="00113763">
        <w:t>être examinée au titre de ce point de l</w:t>
      </w:r>
      <w:r w:rsidR="003C6953" w:rsidRPr="00113763">
        <w:t>'</w:t>
      </w:r>
      <w:r w:rsidRPr="00113763">
        <w:t>ordre du jour.</w:t>
      </w:r>
      <w:r w:rsidR="00C1301F" w:rsidRPr="00113763">
        <w:t xml:space="preserve"> </w:t>
      </w:r>
      <w:r w:rsidR="00C94B80" w:rsidRPr="00113763">
        <w:t>Toutefois</w:t>
      </w:r>
      <w:r w:rsidRPr="00113763">
        <w:t>,</w:t>
      </w:r>
      <w:r w:rsidR="00C94B80" w:rsidRPr="00113763">
        <w:t xml:space="preserve"> il conviendrait </w:t>
      </w:r>
      <w:r w:rsidR="00434FC0" w:rsidRPr="00113763">
        <w:t xml:space="preserve">en théorie </w:t>
      </w:r>
      <w:r w:rsidR="00C94B80" w:rsidRPr="00113763">
        <w:t xml:space="preserve">que </w:t>
      </w:r>
      <w:r w:rsidRPr="00113763">
        <w:t xml:space="preserve">les </w:t>
      </w:r>
      <w:r w:rsidR="00C1301F" w:rsidRPr="00113763">
        <w:t xml:space="preserve">réseaux </w:t>
      </w:r>
      <w:r w:rsidRPr="00113763">
        <w:t xml:space="preserve">NTN </w:t>
      </w:r>
      <w:r w:rsidR="00C94B80" w:rsidRPr="00113763">
        <w:t>soient</w:t>
      </w:r>
      <w:r w:rsidRPr="00113763">
        <w:t xml:space="preserve"> étudié</w:t>
      </w:r>
      <w:r w:rsidR="00C1301F" w:rsidRPr="00113763">
        <w:t xml:space="preserve">s </w:t>
      </w:r>
      <w:r w:rsidR="00C94B80" w:rsidRPr="00113763">
        <w:t xml:space="preserve">dans un premier temps </w:t>
      </w:r>
      <w:r w:rsidR="00C1301F" w:rsidRPr="00113763">
        <w:t xml:space="preserve">par </w:t>
      </w:r>
      <w:r w:rsidRPr="00113763">
        <w:t>l</w:t>
      </w:r>
      <w:r w:rsidR="003C6953" w:rsidRPr="00113763">
        <w:t>'</w:t>
      </w:r>
      <w:r w:rsidRPr="00113763">
        <w:t>UIT-R</w:t>
      </w:r>
      <w:r w:rsidR="00434FC0" w:rsidRPr="00113763">
        <w:t>, auquel</w:t>
      </w:r>
      <w:r w:rsidRPr="00113763">
        <w:t xml:space="preserve"> cas</w:t>
      </w:r>
      <w:r w:rsidR="00434FC0" w:rsidRPr="00113763">
        <w:t xml:space="preserve">, </w:t>
      </w:r>
      <w:r w:rsidRPr="00113763">
        <w:t xml:space="preserve">la protection du SRA peut et devrait être traitée </w:t>
      </w:r>
      <w:r w:rsidR="00434FC0" w:rsidRPr="00113763">
        <w:t>au titre des</w:t>
      </w:r>
      <w:r w:rsidRPr="00113763">
        <w:t xml:space="preserve"> points de l</w:t>
      </w:r>
      <w:r w:rsidR="003C6953" w:rsidRPr="00113763">
        <w:t>'</w:t>
      </w:r>
      <w:r w:rsidRPr="00113763">
        <w:t>ordre du jour associés, selon qu</w:t>
      </w:r>
      <w:r w:rsidR="003C6953" w:rsidRPr="00113763">
        <w:t>'</w:t>
      </w:r>
      <w:r w:rsidRPr="00113763">
        <w:t>il conviendra.</w:t>
      </w:r>
    </w:p>
    <w:p w14:paraId="1516FD8C" w14:textId="26A308D7" w:rsidR="0098624A" w:rsidRPr="00113763" w:rsidRDefault="0098624A" w:rsidP="0098624A">
      <w:pPr>
        <w:pStyle w:val="Headingb"/>
      </w:pPr>
      <w:r w:rsidRPr="00113763">
        <w:t>Propositions</w:t>
      </w:r>
    </w:p>
    <w:p w14:paraId="70B4BA86" w14:textId="2CC1ECB8" w:rsidR="00D72D08" w:rsidRPr="00113763" w:rsidRDefault="0015203F" w:rsidP="0098624A">
      <w:pPr>
        <w:pStyle w:val="Headingb"/>
      </w:pPr>
      <w:r w:rsidRPr="00113763">
        <w:br w:type="page"/>
      </w:r>
    </w:p>
    <w:p w14:paraId="388CD23C" w14:textId="77777777" w:rsidR="00BD5CC8" w:rsidRPr="00113763" w:rsidRDefault="007C2CDE" w:rsidP="0098624A">
      <w:pPr>
        <w:pStyle w:val="Proposal"/>
      </w:pPr>
      <w:r w:rsidRPr="00113763">
        <w:lastRenderedPageBreak/>
        <w:t>ADD</w:t>
      </w:r>
      <w:r w:rsidRPr="00113763">
        <w:tab/>
        <w:t>EUR/65A27A3/1</w:t>
      </w:r>
    </w:p>
    <w:p w14:paraId="0D6A2CE1" w14:textId="5F335527" w:rsidR="00BD5CC8" w:rsidRPr="00113763" w:rsidRDefault="007C2CDE" w:rsidP="0098624A">
      <w:pPr>
        <w:pStyle w:val="ResNo"/>
      </w:pPr>
      <w:r w:rsidRPr="00113763">
        <w:t>Projet de nouvelle Résolution [EUR-</w:t>
      </w:r>
      <w:r w:rsidR="00C42ECC" w:rsidRPr="00113763">
        <w:t>a10-1.</w:t>
      </w:r>
      <w:r w:rsidR="00C42ECC" w:rsidRPr="00113763">
        <w:rPr>
          <w:highlight w:val="yellow"/>
        </w:rPr>
        <w:t>13</w:t>
      </w:r>
      <w:r w:rsidR="00C42ECC" w:rsidRPr="00113763">
        <w:t>-ras-ngso</w:t>
      </w:r>
      <w:r w:rsidRPr="00113763">
        <w:t>]</w:t>
      </w:r>
      <w:r w:rsidR="00C42ECC" w:rsidRPr="00113763">
        <w:t xml:space="preserve"> (cmr-23)</w:t>
      </w:r>
    </w:p>
    <w:p w14:paraId="3D48687D" w14:textId="1FCC6520" w:rsidR="00BD5CC8" w:rsidRPr="00113763" w:rsidRDefault="00CC36AC" w:rsidP="0098624A">
      <w:pPr>
        <w:pStyle w:val="Restitle"/>
      </w:pPr>
      <w:r w:rsidRPr="00113763">
        <w:t xml:space="preserve">Études relatives aux </w:t>
      </w:r>
      <w:r w:rsidR="00374C57" w:rsidRPr="00113763">
        <w:t>effets cumulatifs</w:t>
      </w:r>
      <w:r w:rsidRPr="00113763">
        <w:t xml:space="preserve"> des satellites non géostationnaires sur</w:t>
      </w:r>
      <w:r w:rsidR="004D361C" w:rsidRPr="00113763">
        <w:br/>
      </w:r>
      <w:r w:rsidRPr="00113763">
        <w:t>le</w:t>
      </w:r>
      <w:r w:rsidR="004D361C" w:rsidRPr="00113763">
        <w:t xml:space="preserve"> </w:t>
      </w:r>
      <w:r w:rsidRPr="00113763">
        <w:t xml:space="preserve">service de radioastronomie et </w:t>
      </w:r>
      <w:r w:rsidR="00374C57" w:rsidRPr="00113763">
        <w:t>aux</w:t>
      </w:r>
      <w:r w:rsidRPr="00113763">
        <w:t xml:space="preserve"> mesures appropriées </w:t>
      </w:r>
      <w:r w:rsidR="00196455" w:rsidRPr="00113763">
        <w:t xml:space="preserve">à prendre </w:t>
      </w:r>
      <w:r w:rsidR="006523E4" w:rsidRPr="00113763">
        <w:t>pour</w:t>
      </w:r>
      <w:r w:rsidR="004D361C" w:rsidRPr="00113763">
        <w:br/>
      </w:r>
      <w:r w:rsidR="006523E4" w:rsidRPr="00113763">
        <w:t>assurer</w:t>
      </w:r>
      <w:r w:rsidRPr="00113763">
        <w:t xml:space="preserve"> la protection de ce service contre les brouillages</w:t>
      </w:r>
      <w:r w:rsidR="004D361C" w:rsidRPr="00113763">
        <w:t xml:space="preserve"> </w:t>
      </w:r>
      <w:r w:rsidRPr="00113763">
        <w:t>préjudiciables</w:t>
      </w:r>
      <w:r w:rsidR="004D361C" w:rsidRPr="00113763">
        <w:br/>
      </w:r>
      <w:r w:rsidRPr="00113763">
        <w:t>causés par les grandes constellations de satellites</w:t>
      </w:r>
    </w:p>
    <w:p w14:paraId="60B9FF4D" w14:textId="6BC2A8C5" w:rsidR="00C42ECC" w:rsidRPr="00113763" w:rsidRDefault="00C42ECC" w:rsidP="0098624A">
      <w:pPr>
        <w:pStyle w:val="Normalaftertitle"/>
      </w:pPr>
      <w:r w:rsidRPr="00113763">
        <w:t>La Conférence mondiale des radiocommunications (Dubaï, 2023),</w:t>
      </w:r>
    </w:p>
    <w:p w14:paraId="1DDD5875" w14:textId="7B694DDB" w:rsidR="00BD5CC8" w:rsidRPr="00113763" w:rsidRDefault="00905777" w:rsidP="0098624A">
      <w:pPr>
        <w:pStyle w:val="Call"/>
      </w:pPr>
      <w:r w:rsidRPr="00113763">
        <w:t>considérant</w:t>
      </w:r>
    </w:p>
    <w:p w14:paraId="2A12D269" w14:textId="44CA8AAA" w:rsidR="00905777" w:rsidRPr="00113763" w:rsidRDefault="00905777" w:rsidP="0098624A">
      <w:r w:rsidRPr="00113763">
        <w:rPr>
          <w:i/>
          <w:iCs/>
        </w:rPr>
        <w:t>a)</w:t>
      </w:r>
      <w:r w:rsidRPr="00113763">
        <w:tab/>
      </w:r>
      <w:r w:rsidR="00FE2898" w:rsidRPr="00113763">
        <w:t>qu'</w:t>
      </w:r>
      <w:r w:rsidR="00196455" w:rsidRPr="00113763">
        <w:t xml:space="preserve">il est prévu de lancer </w:t>
      </w:r>
      <w:r w:rsidR="00FE2898" w:rsidRPr="00113763">
        <w:t>un nombre croissant de satellites non géostationnaires (non</w:t>
      </w:r>
      <w:r w:rsidR="004D361C" w:rsidRPr="00113763">
        <w:t> </w:t>
      </w:r>
      <w:r w:rsidR="00FE2898" w:rsidRPr="00113763">
        <w:t>OSG) au cours de</w:t>
      </w:r>
      <w:r w:rsidR="00196455" w:rsidRPr="00113763">
        <w:t>s dix</w:t>
      </w:r>
      <w:r w:rsidR="00FE2898" w:rsidRPr="00113763">
        <w:t xml:space="preserve"> prochaine</w:t>
      </w:r>
      <w:r w:rsidR="00196455" w:rsidRPr="00113763">
        <w:t>s années</w:t>
      </w:r>
      <w:r w:rsidRPr="00113763">
        <w:t>;</w:t>
      </w:r>
    </w:p>
    <w:p w14:paraId="56E86CE2" w14:textId="505B949F" w:rsidR="00905777" w:rsidRPr="00113763" w:rsidRDefault="00905777" w:rsidP="0098624A">
      <w:r w:rsidRPr="00113763">
        <w:rPr>
          <w:i/>
          <w:iCs/>
        </w:rPr>
        <w:t>b)</w:t>
      </w:r>
      <w:r w:rsidRPr="00113763">
        <w:tab/>
      </w:r>
      <w:r w:rsidR="00FE2898" w:rsidRPr="00113763">
        <w:t xml:space="preserve">que certaines constellations de satellites non OSG peuvent </w:t>
      </w:r>
      <w:r w:rsidR="00196455" w:rsidRPr="00113763">
        <w:t>comprendre</w:t>
      </w:r>
      <w:r w:rsidR="00FE2898" w:rsidRPr="00113763">
        <w:t xml:space="preserve"> de milliers de satellites</w:t>
      </w:r>
      <w:r w:rsidRPr="00113763">
        <w:t>;</w:t>
      </w:r>
    </w:p>
    <w:p w14:paraId="068F5D20" w14:textId="381F5900" w:rsidR="00905777" w:rsidRPr="00113763" w:rsidRDefault="00905777" w:rsidP="0098624A">
      <w:r w:rsidRPr="00113763">
        <w:rPr>
          <w:i/>
          <w:iCs/>
        </w:rPr>
        <w:t>c)</w:t>
      </w:r>
      <w:r w:rsidRPr="00113763">
        <w:tab/>
      </w:r>
      <w:r w:rsidR="00196455" w:rsidRPr="00113763">
        <w:t>que</w:t>
      </w:r>
      <w:r w:rsidR="00FE2898" w:rsidRPr="00113763">
        <w:t xml:space="preserve"> plusieurs grandes</w:t>
      </w:r>
      <w:r w:rsidR="00F47AC1" w:rsidRPr="00113763">
        <w:rPr>
          <w:rStyle w:val="FootnoteReference"/>
        </w:rPr>
        <w:footnoteReference w:customMarkFollows="1" w:id="2"/>
        <w:t>1</w:t>
      </w:r>
      <w:r w:rsidR="00FE2898" w:rsidRPr="00113763">
        <w:t xml:space="preserve"> constellations de satellites non OSG </w:t>
      </w:r>
      <w:r w:rsidR="00196455" w:rsidRPr="00113763">
        <w:t xml:space="preserve">sont </w:t>
      </w:r>
      <w:r w:rsidR="00FE2898" w:rsidRPr="00113763">
        <w:t>exploitées</w:t>
      </w:r>
      <w:r w:rsidR="004364F7" w:rsidRPr="00113763">
        <w:t>,</w:t>
      </w:r>
      <w:r w:rsidR="00FE2898" w:rsidRPr="00113763">
        <w:t xml:space="preserve"> </w:t>
      </w:r>
      <w:r w:rsidR="00523797" w:rsidRPr="00113763">
        <w:t>ou</w:t>
      </w:r>
      <w:r w:rsidR="00196455" w:rsidRPr="00113763">
        <w:t xml:space="preserve"> qu'il est prévu de les exploiter</w:t>
      </w:r>
      <w:r w:rsidR="004364F7" w:rsidRPr="00113763">
        <w:t>,</w:t>
      </w:r>
      <w:r w:rsidR="00523797" w:rsidRPr="00113763">
        <w:t xml:space="preserve"> </w:t>
      </w:r>
      <w:r w:rsidR="00FE2898" w:rsidRPr="00113763">
        <w:t>dans les mêmes bandes de fréquences</w:t>
      </w:r>
      <w:r w:rsidRPr="00113763">
        <w:t>;</w:t>
      </w:r>
    </w:p>
    <w:p w14:paraId="56A31939" w14:textId="786DEA6C" w:rsidR="00905777" w:rsidRPr="00113763" w:rsidRDefault="00905777" w:rsidP="0098624A">
      <w:r w:rsidRPr="00113763">
        <w:rPr>
          <w:i/>
          <w:iCs/>
        </w:rPr>
        <w:t>d)</w:t>
      </w:r>
      <w:r w:rsidRPr="00113763">
        <w:tab/>
      </w:r>
      <w:r w:rsidR="00523797" w:rsidRPr="00113763">
        <w:t xml:space="preserve">que les grandes constellations visées aux points </w:t>
      </w:r>
      <w:r w:rsidR="00523797" w:rsidRPr="00113763">
        <w:rPr>
          <w:i/>
          <w:iCs/>
        </w:rPr>
        <w:t>b)</w:t>
      </w:r>
      <w:r w:rsidR="00523797" w:rsidRPr="00113763">
        <w:t xml:space="preserve"> et </w:t>
      </w:r>
      <w:r w:rsidR="00523797" w:rsidRPr="00113763">
        <w:rPr>
          <w:i/>
          <w:iCs/>
        </w:rPr>
        <w:t>c)</w:t>
      </w:r>
      <w:r w:rsidR="00523797" w:rsidRPr="00113763">
        <w:t xml:space="preserve"> du </w:t>
      </w:r>
      <w:r w:rsidR="00523797" w:rsidRPr="00113763">
        <w:rPr>
          <w:i/>
          <w:iCs/>
        </w:rPr>
        <w:t>considérant</w:t>
      </w:r>
      <w:r w:rsidR="00523797" w:rsidRPr="00113763">
        <w:t xml:space="preserve"> peuvent </w:t>
      </w:r>
      <w:r w:rsidR="004364F7" w:rsidRPr="00113763">
        <w:t>fonctionner</w:t>
      </w:r>
      <w:r w:rsidR="00523797" w:rsidRPr="00113763">
        <w:t xml:space="preserve"> dans des bandes de fréquences adjacentes ou voisines des bandes de fréquences attribuées au service de radioastronomie (SRA)</w:t>
      </w:r>
      <w:r w:rsidRPr="00113763">
        <w:t>;</w:t>
      </w:r>
    </w:p>
    <w:p w14:paraId="71CD6D8E" w14:textId="25A623FA" w:rsidR="00905777" w:rsidRPr="00113763" w:rsidRDefault="00905777" w:rsidP="0098624A">
      <w:r w:rsidRPr="00113763">
        <w:rPr>
          <w:i/>
          <w:iCs/>
        </w:rPr>
        <w:t>e)</w:t>
      </w:r>
      <w:r w:rsidRPr="00113763">
        <w:tab/>
      </w:r>
      <w:r w:rsidR="00523797" w:rsidRPr="00113763">
        <w:t>que, dans certains cas, aucune limite n'est définie dans le Règlement des radiocommunications pour les émissions hors bande</w:t>
      </w:r>
      <w:r w:rsidR="00196455" w:rsidRPr="00113763">
        <w:t xml:space="preserve"> produites par les </w:t>
      </w:r>
      <w:r w:rsidR="00523797" w:rsidRPr="00113763">
        <w:t>grandes constellations de satellites, qui peu</w:t>
      </w:r>
      <w:r w:rsidR="004364F7" w:rsidRPr="00113763">
        <w:t xml:space="preserve">vent </w:t>
      </w:r>
      <w:r w:rsidR="00523797" w:rsidRPr="00113763">
        <w:t xml:space="preserve">causer des brouillages préjudiciables au </w:t>
      </w:r>
      <w:r w:rsidR="00196455" w:rsidRPr="00113763">
        <w:t>SRA</w:t>
      </w:r>
      <w:r w:rsidRPr="00113763">
        <w:t>;</w:t>
      </w:r>
    </w:p>
    <w:p w14:paraId="35DFCFA5" w14:textId="00CB7A04" w:rsidR="00905777" w:rsidRPr="00113763" w:rsidRDefault="00905777" w:rsidP="0098624A">
      <w:r w:rsidRPr="00113763">
        <w:rPr>
          <w:i/>
          <w:iCs/>
        </w:rPr>
        <w:t>f)</w:t>
      </w:r>
      <w:r w:rsidRPr="00113763">
        <w:tab/>
      </w:r>
      <w:r w:rsidR="00523797" w:rsidRPr="00113763">
        <w:t xml:space="preserve">que les limites </w:t>
      </w:r>
      <w:r w:rsidR="00ED5A50" w:rsidRPr="00113763">
        <w:t xml:space="preserve">des </w:t>
      </w:r>
      <w:r w:rsidR="00523797" w:rsidRPr="00113763">
        <w:t>émission</w:t>
      </w:r>
      <w:r w:rsidR="00ED5A50" w:rsidRPr="00113763">
        <w:t>s</w:t>
      </w:r>
      <w:r w:rsidR="00523797" w:rsidRPr="00113763">
        <w:t xml:space="preserve"> hors bande seules ne suffisent pas nécessairement à protéger le SRA, étant donné que la puissance cumulative produite au niveau d'une station du SRA par un système à satellites dépend du nombre de satellites</w:t>
      </w:r>
      <w:r w:rsidR="00ED5A50" w:rsidRPr="00113763">
        <w:t xml:space="preserve"> dans </w:t>
      </w:r>
      <w:r w:rsidR="004364F7" w:rsidRPr="00113763">
        <w:t xml:space="preserve">la </w:t>
      </w:r>
      <w:r w:rsidR="00523797" w:rsidRPr="00113763">
        <w:t xml:space="preserve">constellation </w:t>
      </w:r>
      <w:r w:rsidR="006E3744" w:rsidRPr="00113763">
        <w:t>ainsi que</w:t>
      </w:r>
      <w:r w:rsidR="00523797" w:rsidRPr="00113763">
        <w:t xml:space="preserve"> d</w:t>
      </w:r>
      <w:r w:rsidR="003C6953" w:rsidRPr="00113763">
        <w:t>'</w:t>
      </w:r>
      <w:r w:rsidR="00523797" w:rsidRPr="00113763">
        <w:t>autres paramètres opérationnels</w:t>
      </w:r>
      <w:r w:rsidR="00ED5A50" w:rsidRPr="00113763">
        <w:t>,</w:t>
      </w:r>
      <w:r w:rsidR="00523797" w:rsidRPr="00113763">
        <w:t xml:space="preserve"> tels que le diagramme </w:t>
      </w:r>
      <w:r w:rsidR="006E3744" w:rsidRPr="00113763">
        <w:t xml:space="preserve">d'antenne de l'émetteur </w:t>
      </w:r>
      <w:r w:rsidR="00523797" w:rsidRPr="00113763">
        <w:t xml:space="preserve">et </w:t>
      </w:r>
      <w:r w:rsidR="00ED5A50" w:rsidRPr="00113763">
        <w:t>le</w:t>
      </w:r>
      <w:r w:rsidR="006E3744" w:rsidRPr="00113763">
        <w:t xml:space="preserve"> pointage</w:t>
      </w:r>
      <w:r w:rsidR="00523797" w:rsidRPr="00113763">
        <w:t>, ou</w:t>
      </w:r>
      <w:r w:rsidR="004364F7" w:rsidRPr="00113763">
        <w:t xml:space="preserve"> encore</w:t>
      </w:r>
      <w:r w:rsidR="00523797" w:rsidRPr="00113763">
        <w:t xml:space="preserve"> l</w:t>
      </w:r>
      <w:r w:rsidR="006E3744" w:rsidRPr="00113763">
        <w:t xml:space="preserve">'altitude </w:t>
      </w:r>
      <w:r w:rsidR="00523797" w:rsidRPr="00113763">
        <w:t>et l</w:t>
      </w:r>
      <w:r w:rsidR="003C6953" w:rsidRPr="00113763">
        <w:t>'</w:t>
      </w:r>
      <w:r w:rsidR="00523797" w:rsidRPr="00113763">
        <w:t xml:space="preserve">inclinaison </w:t>
      </w:r>
      <w:r w:rsidR="00ED5A50" w:rsidRPr="00113763">
        <w:t>de l'orbite</w:t>
      </w:r>
      <w:r w:rsidRPr="00113763">
        <w:t>;</w:t>
      </w:r>
    </w:p>
    <w:p w14:paraId="40DBAF37" w14:textId="45AF12D1" w:rsidR="00905777" w:rsidRPr="00113763" w:rsidRDefault="00905777" w:rsidP="0098624A">
      <w:r w:rsidRPr="00113763">
        <w:rPr>
          <w:i/>
          <w:iCs/>
        </w:rPr>
        <w:t>g)</w:t>
      </w:r>
      <w:r w:rsidRPr="00113763">
        <w:tab/>
      </w:r>
      <w:r w:rsidR="004364F7" w:rsidRPr="00113763">
        <w:t>qu'en présence d'un</w:t>
      </w:r>
      <w:r w:rsidR="006E3744" w:rsidRPr="00113763">
        <w:t xml:space="preserve"> grand nombre de satellites</w:t>
      </w:r>
      <w:r w:rsidR="00BD4C58" w:rsidRPr="00113763">
        <w:t xml:space="preserve">, il est plus probable </w:t>
      </w:r>
      <w:r w:rsidR="006E3744" w:rsidRPr="00113763">
        <w:t xml:space="preserve">que des satellites </w:t>
      </w:r>
      <w:r w:rsidR="00ED5A50" w:rsidRPr="00113763">
        <w:t>re</w:t>
      </w:r>
      <w:r w:rsidR="006E3744" w:rsidRPr="00113763">
        <w:t xml:space="preserve">coupent le faisceau principal d'un télescope de radioastronomie, </w:t>
      </w:r>
      <w:r w:rsidR="00ED5A50" w:rsidRPr="00113763">
        <w:t>lorsque le</w:t>
      </w:r>
      <w:r w:rsidR="006E3744" w:rsidRPr="00113763">
        <w:t xml:space="preserve"> gain d</w:t>
      </w:r>
      <w:r w:rsidR="003C6953" w:rsidRPr="00113763">
        <w:t>'</w:t>
      </w:r>
      <w:r w:rsidR="006E3744" w:rsidRPr="00113763">
        <w:t xml:space="preserve">antenne </w:t>
      </w:r>
      <w:r w:rsidR="00ED5A50" w:rsidRPr="00113763">
        <w:t xml:space="preserve">est </w:t>
      </w:r>
      <w:r w:rsidR="006E3744" w:rsidRPr="00113763">
        <w:t>nettement supérieur à 0 dBi</w:t>
      </w:r>
      <w:r w:rsidRPr="00113763">
        <w:t>;</w:t>
      </w:r>
    </w:p>
    <w:p w14:paraId="051FF42F" w14:textId="6E2D1833" w:rsidR="00905777" w:rsidRPr="00113763" w:rsidRDefault="00905777" w:rsidP="0098624A">
      <w:r w:rsidRPr="00113763">
        <w:rPr>
          <w:i/>
          <w:iCs/>
        </w:rPr>
        <w:t>h)</w:t>
      </w:r>
      <w:r w:rsidRPr="00113763">
        <w:tab/>
      </w:r>
      <w:r w:rsidR="00BD4C58" w:rsidRPr="00113763">
        <w:t xml:space="preserve">que les </w:t>
      </w:r>
      <w:r w:rsidR="00ED5A50" w:rsidRPr="00113763">
        <w:t xml:space="preserve">effets cumulatifs des </w:t>
      </w:r>
      <w:r w:rsidR="00BD4C58" w:rsidRPr="00113763">
        <w:t>émissions hors bande</w:t>
      </w:r>
      <w:r w:rsidR="00ED5A50" w:rsidRPr="00113763">
        <w:t xml:space="preserve"> </w:t>
      </w:r>
      <w:r w:rsidR="00BD4C58" w:rsidRPr="00113763">
        <w:t>provenant d</w:t>
      </w:r>
      <w:r w:rsidR="003C6953" w:rsidRPr="00113763">
        <w:t>'</w:t>
      </w:r>
      <w:r w:rsidR="00BD4C58" w:rsidRPr="00113763">
        <w:t xml:space="preserve">une ou de plusieurs grandes constellations de satellites </w:t>
      </w:r>
      <w:r w:rsidR="00ED5A50" w:rsidRPr="00113763">
        <w:t xml:space="preserve">risquent de </w:t>
      </w:r>
      <w:r w:rsidR="00BD4C58" w:rsidRPr="00113763">
        <w:t xml:space="preserve">causer des brouillages préjudiciables au SRA, même </w:t>
      </w:r>
      <w:r w:rsidR="00ED5A50" w:rsidRPr="00113763">
        <w:t xml:space="preserve">sur les </w:t>
      </w:r>
      <w:r w:rsidR="00BD4C58" w:rsidRPr="00113763">
        <w:t>sites éloignés</w:t>
      </w:r>
      <w:r w:rsidRPr="00113763">
        <w:t>;</w:t>
      </w:r>
    </w:p>
    <w:p w14:paraId="4C7C2424" w14:textId="0ADCD365" w:rsidR="00905777" w:rsidRPr="00113763" w:rsidRDefault="00905777" w:rsidP="0098624A">
      <w:r w:rsidRPr="00113763">
        <w:rPr>
          <w:i/>
          <w:iCs/>
        </w:rPr>
        <w:t>i)</w:t>
      </w:r>
      <w:r w:rsidRPr="00113763">
        <w:tab/>
      </w:r>
      <w:r w:rsidR="00BD4C58" w:rsidRPr="00113763">
        <w:t>que des systèmes à satellites non OSG peuvent</w:t>
      </w:r>
      <w:r w:rsidRPr="00113763">
        <w:t xml:space="preserve"> être </w:t>
      </w:r>
      <w:r w:rsidR="00ED5A50" w:rsidRPr="00113763">
        <w:t xml:space="preserve">utilisés dans le cadre de </w:t>
      </w:r>
      <w:r w:rsidRPr="00113763">
        <w:t>réseaux IMT pour</w:t>
      </w:r>
      <w:r w:rsidR="00ED5A50" w:rsidRPr="00113763">
        <w:t xml:space="preserve"> fournir </w:t>
      </w:r>
      <w:r w:rsidRPr="00113763">
        <w:t xml:space="preserve">une connectivité mobile </w:t>
      </w:r>
      <w:r w:rsidR="00ED5A50" w:rsidRPr="00113763">
        <w:t>aux</w:t>
      </w:r>
      <w:r w:rsidRPr="00113763">
        <w:t xml:space="preserve"> communautés mal desservies ainsi </w:t>
      </w:r>
      <w:r w:rsidR="00BD4C58" w:rsidRPr="00113763">
        <w:t xml:space="preserve">que dans </w:t>
      </w:r>
      <w:r w:rsidR="0037673A" w:rsidRPr="00113763">
        <w:t xml:space="preserve">les </w:t>
      </w:r>
      <w:r w:rsidRPr="00113763">
        <w:t>zones rurales et isolées,</w:t>
      </w:r>
    </w:p>
    <w:p w14:paraId="6FD20014" w14:textId="57F16930" w:rsidR="00905777" w:rsidRPr="00113763" w:rsidRDefault="00E32C19" w:rsidP="0098624A">
      <w:pPr>
        <w:pStyle w:val="Call"/>
      </w:pPr>
      <w:r w:rsidRPr="00113763">
        <w:lastRenderedPageBreak/>
        <w:t>notant</w:t>
      </w:r>
    </w:p>
    <w:p w14:paraId="635D2B54" w14:textId="2981DC8C" w:rsidR="00E32C19" w:rsidRPr="00113763" w:rsidRDefault="00E32C19" w:rsidP="0098624A">
      <w:r w:rsidRPr="00113763">
        <w:rPr>
          <w:i/>
          <w:iCs/>
        </w:rPr>
        <w:t>a)</w:t>
      </w:r>
      <w:r w:rsidRPr="00113763">
        <w:tab/>
      </w:r>
      <w:r w:rsidR="00BD4C58" w:rsidRPr="00113763">
        <w:t>que la Recommandation UIT-R RA.769 établit des seuils pour les brouillage</w:t>
      </w:r>
      <w:r w:rsidR="005F4E7E" w:rsidRPr="00113763">
        <w:t>s</w:t>
      </w:r>
      <w:r w:rsidR="00BD4C58" w:rsidRPr="00113763">
        <w:t xml:space="preserve"> causé</w:t>
      </w:r>
      <w:r w:rsidR="005F4E7E" w:rsidRPr="00113763">
        <w:t>s</w:t>
      </w:r>
      <w:r w:rsidR="00BD4C58" w:rsidRPr="00113763">
        <w:t xml:space="preserve"> par un satellite non OSG dans les lobes latéraux</w:t>
      </w:r>
      <w:r w:rsidR="0037673A" w:rsidRPr="00113763">
        <w:t xml:space="preserve"> éloignés</w:t>
      </w:r>
      <w:r w:rsidR="00BD4C58" w:rsidRPr="00113763">
        <w:t xml:space="preserve"> des télescopes de radioastronomie, dans l</w:t>
      </w:r>
      <w:r w:rsidR="003C6953" w:rsidRPr="00113763">
        <w:t>'</w:t>
      </w:r>
      <w:r w:rsidR="00BD4C58" w:rsidRPr="00113763">
        <w:t>hypothèse d</w:t>
      </w:r>
      <w:r w:rsidR="003C6953" w:rsidRPr="00113763">
        <w:t>'</w:t>
      </w:r>
      <w:r w:rsidR="00BD4C58" w:rsidRPr="00113763">
        <w:t>un modèle d</w:t>
      </w:r>
      <w:r w:rsidR="003C6953" w:rsidRPr="00113763">
        <w:t>'</w:t>
      </w:r>
      <w:r w:rsidR="00BD4C58" w:rsidRPr="00113763">
        <w:t>antenne simplifié avec un gain représentatif de 0 dBi</w:t>
      </w:r>
      <w:r w:rsidRPr="00113763">
        <w:t>;</w:t>
      </w:r>
    </w:p>
    <w:p w14:paraId="04AFE4FD" w14:textId="58D52C21" w:rsidR="00E32C19" w:rsidRPr="00113763" w:rsidRDefault="00E32C19" w:rsidP="0098624A">
      <w:r w:rsidRPr="00113763">
        <w:rPr>
          <w:i/>
          <w:iCs/>
        </w:rPr>
        <w:t>b)</w:t>
      </w:r>
      <w:r w:rsidRPr="00113763">
        <w:tab/>
      </w:r>
      <w:r w:rsidR="005F4E7E" w:rsidRPr="00113763">
        <w:t xml:space="preserve">que les dispositions et </w:t>
      </w:r>
      <w:r w:rsidR="0037673A" w:rsidRPr="00113763">
        <w:t xml:space="preserve">les </w:t>
      </w:r>
      <w:r w:rsidR="005F4E7E" w:rsidRPr="00113763">
        <w:t xml:space="preserve">procédures réglementaires </w:t>
      </w:r>
      <w:r w:rsidR="0037673A" w:rsidRPr="00113763">
        <w:t>actuellement en vigueur ne seront peut-être pas suffisantes</w:t>
      </w:r>
      <w:r w:rsidR="00685C97" w:rsidRPr="00113763">
        <w:t xml:space="preserve"> pour</w:t>
      </w:r>
      <w:r w:rsidR="005F4E7E" w:rsidRPr="00113763">
        <w:t xml:space="preserve"> assurer la protection du SRA contre les brouillages préjudiciables </w:t>
      </w:r>
      <w:r w:rsidR="00961299" w:rsidRPr="00113763">
        <w:t>engendrés</w:t>
      </w:r>
      <w:r w:rsidR="005F4E7E" w:rsidRPr="00113763">
        <w:t xml:space="preserve"> par le nombre croissant de </w:t>
      </w:r>
      <w:r w:rsidR="00685C97" w:rsidRPr="00113763">
        <w:t xml:space="preserve">grandes </w:t>
      </w:r>
      <w:r w:rsidR="005F4E7E" w:rsidRPr="00113763">
        <w:t>constellations de satellites non OSG</w:t>
      </w:r>
      <w:r w:rsidRPr="00113763">
        <w:t>;</w:t>
      </w:r>
    </w:p>
    <w:p w14:paraId="4C112A94" w14:textId="0F283D52" w:rsidR="00E32C19" w:rsidRPr="00113763" w:rsidRDefault="00E32C19" w:rsidP="0098624A">
      <w:r w:rsidRPr="00113763">
        <w:rPr>
          <w:i/>
          <w:iCs/>
        </w:rPr>
        <w:t>c)</w:t>
      </w:r>
      <w:r w:rsidRPr="00113763">
        <w:tab/>
      </w:r>
      <w:r w:rsidR="00685C97" w:rsidRPr="00113763">
        <w:t>qu'il n'existe pas de classification concernant les grands réseaux à satellite dans le Règlement des radiocommunications</w:t>
      </w:r>
      <w:r w:rsidRPr="00113763">
        <w:t>;</w:t>
      </w:r>
    </w:p>
    <w:p w14:paraId="5B5A61FE" w14:textId="21785496" w:rsidR="00E32C19" w:rsidRPr="00113763" w:rsidRDefault="00E32C19" w:rsidP="0098624A">
      <w:r w:rsidRPr="00113763">
        <w:rPr>
          <w:i/>
          <w:iCs/>
        </w:rPr>
        <w:t>d)</w:t>
      </w:r>
      <w:r w:rsidRPr="00113763">
        <w:tab/>
      </w:r>
      <w:r w:rsidR="00965662" w:rsidRPr="00113763">
        <w:t>que plusieurs bandes de fréquences attribuées aux liaisons descendantes des satellites ne sont ni adjacentes</w:t>
      </w:r>
      <w:r w:rsidR="0037673A" w:rsidRPr="00113763">
        <w:t xml:space="preserve"> aux</w:t>
      </w:r>
      <w:r w:rsidR="00965662" w:rsidRPr="00113763">
        <w:t xml:space="preserve"> bandes de fréquences attribuées au SRA</w:t>
      </w:r>
      <w:r w:rsidR="0037673A" w:rsidRPr="00113763">
        <w:t>, ni voisines de ces bandes de fréquences</w:t>
      </w:r>
      <w:r w:rsidRPr="00113763">
        <w:t>;</w:t>
      </w:r>
    </w:p>
    <w:p w14:paraId="0BD08E57" w14:textId="1EACF443" w:rsidR="00E32C19" w:rsidRPr="00113763" w:rsidRDefault="00E32C19" w:rsidP="0098624A">
      <w:r w:rsidRPr="00113763">
        <w:rPr>
          <w:i/>
          <w:iCs/>
        </w:rPr>
        <w:t>e)</w:t>
      </w:r>
      <w:r w:rsidRPr="00113763">
        <w:tab/>
      </w:r>
      <w:r w:rsidR="00961299" w:rsidRPr="00113763">
        <w:t>qu</w:t>
      </w:r>
      <w:r w:rsidR="0037673A" w:rsidRPr="00113763">
        <w:t xml:space="preserve">e le Bureau ne procède actuellement à aucun </w:t>
      </w:r>
      <w:r w:rsidR="00965662" w:rsidRPr="00113763">
        <w:t xml:space="preserve">examen en ce qui concerne la protection du SRA vis-à-vis des grandes constellations de satellites au titre </w:t>
      </w:r>
      <w:r w:rsidR="0037673A" w:rsidRPr="00113763">
        <w:t xml:space="preserve">de l'Article </w:t>
      </w:r>
      <w:r w:rsidR="00965662" w:rsidRPr="00113763">
        <w:rPr>
          <w:b/>
          <w:bCs/>
        </w:rPr>
        <w:t>9</w:t>
      </w:r>
      <w:r w:rsidR="00965662" w:rsidRPr="00113763">
        <w:t xml:space="preserve"> ou </w:t>
      </w:r>
      <w:r w:rsidR="00965662" w:rsidRPr="00113763">
        <w:rPr>
          <w:b/>
          <w:bCs/>
        </w:rPr>
        <w:t>11</w:t>
      </w:r>
      <w:r w:rsidRPr="00113763">
        <w:t>;</w:t>
      </w:r>
    </w:p>
    <w:p w14:paraId="65735E32" w14:textId="2B5B2876" w:rsidR="00E32C19" w:rsidRPr="00113763" w:rsidRDefault="00E32C19" w:rsidP="0098624A">
      <w:r w:rsidRPr="00113763">
        <w:rPr>
          <w:i/>
          <w:iCs/>
        </w:rPr>
        <w:t>f)</w:t>
      </w:r>
      <w:r w:rsidRPr="00113763">
        <w:rPr>
          <w:i/>
          <w:iCs/>
        </w:rPr>
        <w:tab/>
      </w:r>
      <w:r w:rsidR="000A2D66" w:rsidRPr="00113763">
        <w:t xml:space="preserve">que la Recommandation UIT-R RA.1513 </w:t>
      </w:r>
      <w:r w:rsidR="0037673A" w:rsidRPr="00113763">
        <w:t xml:space="preserve">indique </w:t>
      </w:r>
      <w:r w:rsidR="000A2D66" w:rsidRPr="00113763">
        <w:t xml:space="preserve">les niveaux acceptables de perte de données pour les observations de radioastronomie et les critères de pourcentage de temps découlant </w:t>
      </w:r>
      <w:r w:rsidR="0037673A" w:rsidRPr="00113763">
        <w:t>de la dégradation due aux</w:t>
      </w:r>
      <w:r w:rsidR="000A2D66" w:rsidRPr="00113763">
        <w:t xml:space="preserve"> brouillages</w:t>
      </w:r>
      <w:r w:rsidR="0037673A" w:rsidRPr="00113763">
        <w:t xml:space="preserve"> pour les</w:t>
      </w:r>
      <w:r w:rsidR="000A2D66" w:rsidRPr="00113763">
        <w:t xml:space="preserve"> bandes de fréquences attribuées à titre primaire au</w:t>
      </w:r>
      <w:r w:rsidR="004D361C" w:rsidRPr="00113763">
        <w:t> </w:t>
      </w:r>
      <w:r w:rsidR="000A2D66" w:rsidRPr="00113763">
        <w:t>SRA</w:t>
      </w:r>
      <w:r w:rsidRPr="00113763">
        <w:t>,</w:t>
      </w:r>
    </w:p>
    <w:p w14:paraId="0F29A25D" w14:textId="61A418D5" w:rsidR="00E32C19" w:rsidRPr="00113763" w:rsidRDefault="00E32C19" w:rsidP="0098624A">
      <w:pPr>
        <w:pStyle w:val="Call"/>
      </w:pPr>
      <w:r w:rsidRPr="00113763">
        <w:t>reconnaissant</w:t>
      </w:r>
    </w:p>
    <w:p w14:paraId="6F598023" w14:textId="1659C40E" w:rsidR="00E32C19" w:rsidRPr="00113763" w:rsidRDefault="00E32C19" w:rsidP="0098624A">
      <w:r w:rsidRPr="00113763">
        <w:rPr>
          <w:i/>
          <w:iCs/>
        </w:rPr>
        <w:t>a)</w:t>
      </w:r>
      <w:r w:rsidRPr="00113763">
        <w:tab/>
      </w:r>
      <w:r w:rsidR="000A2D66" w:rsidRPr="00113763">
        <w:t xml:space="preserve">que, pour résoudre les problèmes de compatibilité entre le SRA et les grands systèmes non OSG, </w:t>
      </w:r>
      <w:r w:rsidR="0037673A" w:rsidRPr="00113763">
        <w:t xml:space="preserve">il faudra peut-être prendre </w:t>
      </w:r>
      <w:r w:rsidR="000A2D66" w:rsidRPr="00113763">
        <w:t>des mesures techniques d</w:t>
      </w:r>
      <w:r w:rsidR="003C6953" w:rsidRPr="00113763">
        <w:t>'</w:t>
      </w:r>
      <w:r w:rsidR="000A2D66" w:rsidRPr="00113763">
        <w:t xml:space="preserve">atténuation </w:t>
      </w:r>
      <w:r w:rsidR="0037673A" w:rsidRPr="00113763">
        <w:t xml:space="preserve">des brouillages </w:t>
      </w:r>
      <w:r w:rsidR="000A2D66" w:rsidRPr="00113763">
        <w:t>que les satellites soient lancés et</w:t>
      </w:r>
      <w:r w:rsidR="0037673A" w:rsidRPr="00113763">
        <w:t xml:space="preserve"> </w:t>
      </w:r>
      <w:r w:rsidR="000A2D66" w:rsidRPr="00113763">
        <w:t>en service;</w:t>
      </w:r>
    </w:p>
    <w:p w14:paraId="362FE042" w14:textId="53A1466F" w:rsidR="00E32C19" w:rsidRPr="00113763" w:rsidRDefault="00E32C19" w:rsidP="0098624A">
      <w:r w:rsidRPr="00113763">
        <w:rPr>
          <w:i/>
          <w:iCs/>
        </w:rPr>
        <w:t>b)</w:t>
      </w:r>
      <w:r w:rsidRPr="00113763">
        <w:tab/>
      </w:r>
      <w:r w:rsidR="009A537D" w:rsidRPr="00113763">
        <w:t xml:space="preserve">que, pour faciliter les études, il est nécessaire de classer les réseaux non OSG, par exemple en fonction de la taille </w:t>
      </w:r>
      <w:r w:rsidR="0037673A" w:rsidRPr="00113763">
        <w:t>de l'ensemble</w:t>
      </w:r>
      <w:r w:rsidR="004A7B84" w:rsidRPr="00113763">
        <w:t xml:space="preserve"> </w:t>
      </w:r>
      <w:r w:rsidR="009A537D" w:rsidRPr="00113763">
        <w:t xml:space="preserve">des constellations, de leur répartition dans le ciel </w:t>
      </w:r>
      <w:r w:rsidR="00123F78" w:rsidRPr="00113763">
        <w:t>ainsi que</w:t>
      </w:r>
      <w:r w:rsidR="009A537D" w:rsidRPr="00113763">
        <w:t xml:space="preserve"> d</w:t>
      </w:r>
      <w:r w:rsidR="003C6953" w:rsidRPr="00113763">
        <w:t>'</w:t>
      </w:r>
      <w:r w:rsidR="009A537D" w:rsidRPr="00113763">
        <w:t>autres paramètres importants, afin de pouvoir étudier correctement leurs incidences sur le</w:t>
      </w:r>
      <w:r w:rsidR="004D361C" w:rsidRPr="00113763">
        <w:t> </w:t>
      </w:r>
      <w:r w:rsidR="009A537D" w:rsidRPr="00113763">
        <w:t>SRA</w:t>
      </w:r>
      <w:r w:rsidRPr="00113763">
        <w:t>;</w:t>
      </w:r>
    </w:p>
    <w:p w14:paraId="76FF8ED6" w14:textId="0751CE1E" w:rsidR="00E32C19" w:rsidRPr="00113763" w:rsidRDefault="00E32C19" w:rsidP="0098624A">
      <w:r w:rsidRPr="00113763">
        <w:rPr>
          <w:i/>
          <w:iCs/>
        </w:rPr>
        <w:t>c)</w:t>
      </w:r>
      <w:r w:rsidRPr="00113763">
        <w:tab/>
      </w:r>
      <w:r w:rsidR="00123F78" w:rsidRPr="00113763">
        <w:t>qu'il faudra peut-être établir des</w:t>
      </w:r>
      <w:r w:rsidR="009A537D" w:rsidRPr="00113763">
        <w:t xml:space="preserve"> procédures de coordination </w:t>
      </w:r>
      <w:r w:rsidR="00123F78" w:rsidRPr="00113763">
        <w:t>pour protéger le</w:t>
      </w:r>
      <w:r w:rsidR="009A537D" w:rsidRPr="00113763">
        <w:t xml:space="preserve"> SRA contre les brouillages préjudiciables causés par de grandes constellations de satellites non OSG </w:t>
      </w:r>
      <w:r w:rsidR="00F75028" w:rsidRPr="00113763">
        <w:t>dans le cadre</w:t>
      </w:r>
      <w:r w:rsidR="009A537D" w:rsidRPr="00113763">
        <w:t xml:space="preserve"> de </w:t>
      </w:r>
      <w:r w:rsidR="00F75028" w:rsidRPr="00113763">
        <w:t xml:space="preserve">la </w:t>
      </w:r>
      <w:r w:rsidR="009A537D" w:rsidRPr="00113763">
        <w:t>notification des satellites;</w:t>
      </w:r>
    </w:p>
    <w:p w14:paraId="5F45E505" w14:textId="22456D75" w:rsidR="00E32C19" w:rsidRPr="00113763" w:rsidRDefault="00E32C19" w:rsidP="0098624A">
      <w:r w:rsidRPr="00113763">
        <w:rPr>
          <w:i/>
          <w:iCs/>
        </w:rPr>
        <w:t>d)</w:t>
      </w:r>
      <w:r w:rsidRPr="00113763">
        <w:tab/>
      </w:r>
      <w:r w:rsidR="009A537D" w:rsidRPr="00113763">
        <w:t>que, pour les (grands) systèmes à satellites, la méthode de la puissance surfacique équivalente (epfd), exposée dans la Recommandation UIT-R M.1583, fournit une estimation suffisamment précise de la puissance totale</w:t>
      </w:r>
      <w:r w:rsidR="00F75028" w:rsidRPr="00113763">
        <w:t xml:space="preserve"> fournie </w:t>
      </w:r>
      <w:r w:rsidR="009A537D" w:rsidRPr="00113763">
        <w:t>aux récepteurs du SRA et peut être utilisée pour tenir compte des effets d</w:t>
      </w:r>
      <w:r w:rsidR="003C6953" w:rsidRPr="00113763">
        <w:t>'</w:t>
      </w:r>
      <w:r w:rsidR="009A537D" w:rsidRPr="00113763">
        <w:t>autres paramètres techniques</w:t>
      </w:r>
      <w:r w:rsidR="00F75028" w:rsidRPr="00113763">
        <w:t xml:space="preserve"> visés </w:t>
      </w:r>
      <w:r w:rsidR="009A537D" w:rsidRPr="00113763">
        <w:t xml:space="preserve">au point </w:t>
      </w:r>
      <w:r w:rsidR="009A537D" w:rsidRPr="00113763">
        <w:rPr>
          <w:i/>
          <w:iCs/>
        </w:rPr>
        <w:t>h)</w:t>
      </w:r>
      <w:r w:rsidR="009A537D" w:rsidRPr="00113763">
        <w:t xml:space="preserve"> du </w:t>
      </w:r>
      <w:r w:rsidR="009A537D" w:rsidRPr="00113763">
        <w:rPr>
          <w:i/>
          <w:iCs/>
        </w:rPr>
        <w:t>considérant</w:t>
      </w:r>
      <w:r w:rsidRPr="00113763">
        <w:t>;</w:t>
      </w:r>
    </w:p>
    <w:p w14:paraId="7B10E8D2" w14:textId="2811B4E6" w:rsidR="00E32C19" w:rsidRPr="00113763" w:rsidRDefault="00E32C19" w:rsidP="0098624A">
      <w:r w:rsidRPr="00113763">
        <w:rPr>
          <w:i/>
          <w:iCs/>
        </w:rPr>
        <w:t>e)</w:t>
      </w:r>
      <w:r w:rsidRPr="00113763">
        <w:tab/>
      </w:r>
      <w:r w:rsidR="009A537D" w:rsidRPr="00113763">
        <w:t xml:space="preserve">que les rayonnements électromagnétiques provenant des composants électriques et électroniques embarqués, en particulier </w:t>
      </w:r>
      <w:r w:rsidR="00B64CD7" w:rsidRPr="00113763">
        <w:t>dans les basses</w:t>
      </w:r>
      <w:r w:rsidR="009A537D" w:rsidRPr="00113763">
        <w:t xml:space="preserve"> fréquences, peuvent </w:t>
      </w:r>
      <w:r w:rsidR="00B64CD7" w:rsidRPr="00113763">
        <w:t>être à l'origine de fuites</w:t>
      </w:r>
      <w:r w:rsidR="009A537D" w:rsidRPr="00113763">
        <w:t xml:space="preserve"> dans </w:t>
      </w:r>
      <w:r w:rsidR="00F75028" w:rsidRPr="00113763">
        <w:t xml:space="preserve">les </w:t>
      </w:r>
      <w:r w:rsidR="009A537D" w:rsidRPr="00113763">
        <w:t xml:space="preserve">bandes </w:t>
      </w:r>
      <w:r w:rsidR="00B64CD7" w:rsidRPr="00113763">
        <w:t xml:space="preserve">de fréquences </w:t>
      </w:r>
      <w:r w:rsidR="009A537D" w:rsidRPr="00113763">
        <w:t>attribuées au SRA</w:t>
      </w:r>
      <w:r w:rsidR="004D361C" w:rsidRPr="00113763">
        <w:t>,</w:t>
      </w:r>
    </w:p>
    <w:p w14:paraId="1FECAE57" w14:textId="69F9C3E2" w:rsidR="00E32C19" w:rsidRPr="00113763" w:rsidRDefault="005376BA" w:rsidP="0098624A">
      <w:pPr>
        <w:pStyle w:val="Call"/>
      </w:pPr>
      <w:r w:rsidRPr="00113763">
        <w:t>décide d'inviter le Secteur des radiocommunications de l'UIT à achev</w:t>
      </w:r>
      <w:r w:rsidR="00F75028" w:rsidRPr="00113763">
        <w:t>e</w:t>
      </w:r>
      <w:r w:rsidRPr="00113763">
        <w:t>r</w:t>
      </w:r>
      <w:r w:rsidR="00F75028" w:rsidRPr="00113763">
        <w:t>,</w:t>
      </w:r>
      <w:r w:rsidRPr="00113763">
        <w:t xml:space="preserve"> à temps pour la</w:t>
      </w:r>
      <w:r w:rsidR="00113763" w:rsidRPr="00113763">
        <w:t> </w:t>
      </w:r>
      <w:r w:rsidRPr="00113763">
        <w:t>CMR-27</w:t>
      </w:r>
    </w:p>
    <w:p w14:paraId="439FF91B" w14:textId="71505F73" w:rsidR="00E32C19" w:rsidRPr="00113763" w:rsidRDefault="00E32C19" w:rsidP="0098624A">
      <w:r w:rsidRPr="00113763">
        <w:t>1</w:t>
      </w:r>
      <w:r w:rsidRPr="00113763">
        <w:tab/>
      </w:r>
      <w:r w:rsidR="005376BA" w:rsidRPr="00113763">
        <w:t xml:space="preserve">la </w:t>
      </w:r>
      <w:r w:rsidR="00F75028" w:rsidRPr="00113763">
        <w:t>définition</w:t>
      </w:r>
      <w:r w:rsidR="005376BA" w:rsidRPr="00113763">
        <w:t xml:space="preserve"> d</w:t>
      </w:r>
      <w:r w:rsidR="003C6953" w:rsidRPr="00113763">
        <w:t>'</w:t>
      </w:r>
      <w:r w:rsidR="005376BA" w:rsidRPr="00113763">
        <w:t xml:space="preserve">une classification des grands réseaux à satellite </w:t>
      </w:r>
      <w:r w:rsidR="00F75028" w:rsidRPr="00113763">
        <w:t>sur la base</w:t>
      </w:r>
      <w:r w:rsidR="005376BA" w:rsidRPr="00113763">
        <w:t xml:space="preserve"> de la taille des constellations (à partir de 200 satellites), de leur répartition dans le ciel par rapport aux stations de radioastronomie existantes ou en projet, </w:t>
      </w:r>
      <w:r w:rsidR="00123F78" w:rsidRPr="00113763">
        <w:t>ainsi que</w:t>
      </w:r>
      <w:r w:rsidR="005376BA" w:rsidRPr="00113763">
        <w:t xml:space="preserve"> d</w:t>
      </w:r>
      <w:r w:rsidR="003C6953" w:rsidRPr="00113763">
        <w:t>'</w:t>
      </w:r>
      <w:r w:rsidR="005376BA" w:rsidRPr="00113763">
        <w:t>autres paramètres techniques ou opérationnels</w:t>
      </w:r>
      <w:r w:rsidRPr="00113763">
        <w:t>;</w:t>
      </w:r>
    </w:p>
    <w:p w14:paraId="49DBD08C" w14:textId="2155B31F" w:rsidR="00E32C19" w:rsidRPr="00113763" w:rsidRDefault="00E32C19" w:rsidP="00113763">
      <w:pPr>
        <w:keepLines/>
      </w:pPr>
      <w:r w:rsidRPr="00113763">
        <w:lastRenderedPageBreak/>
        <w:t>2</w:t>
      </w:r>
      <w:r w:rsidRPr="00113763">
        <w:tab/>
      </w:r>
      <w:r w:rsidR="005376BA" w:rsidRPr="00113763">
        <w:t xml:space="preserve">des études </w:t>
      </w:r>
      <w:r w:rsidR="00F726F6" w:rsidRPr="00113763">
        <w:t xml:space="preserve">sur les </w:t>
      </w:r>
      <w:r w:rsidR="005376BA" w:rsidRPr="00113763">
        <w:t xml:space="preserve">scénarios de brouillage </w:t>
      </w:r>
      <w:r w:rsidR="00F726F6" w:rsidRPr="00113763">
        <w:t>relatifs aux</w:t>
      </w:r>
      <w:r w:rsidR="005376BA" w:rsidRPr="00113763">
        <w:t xml:space="preserve"> stations de radioastronomie</w:t>
      </w:r>
      <w:r w:rsidR="00F75028" w:rsidRPr="00113763">
        <w:t xml:space="preserve"> </w:t>
      </w:r>
      <w:r w:rsidR="00F726F6" w:rsidRPr="00113763">
        <w:t>pouvant</w:t>
      </w:r>
      <w:r w:rsidR="005376BA" w:rsidRPr="00113763">
        <w:t xml:space="preserve"> résulter de l</w:t>
      </w:r>
      <w:r w:rsidR="003C6953" w:rsidRPr="00113763">
        <w:t>'</w:t>
      </w:r>
      <w:r w:rsidR="005376BA" w:rsidRPr="00113763">
        <w:t xml:space="preserve">augmentation </w:t>
      </w:r>
      <w:r w:rsidR="000B5B0A" w:rsidRPr="00113763">
        <w:t xml:space="preserve">du nombre et </w:t>
      </w:r>
      <w:r w:rsidR="005376BA" w:rsidRPr="00113763">
        <w:t xml:space="preserve">de la taille des grandes constellations de satellites non OSG fonctionnant dans des bandes de fréquences adjacentes </w:t>
      </w:r>
      <w:r w:rsidR="00F75028" w:rsidRPr="00113763">
        <w:t xml:space="preserve">aux </w:t>
      </w:r>
      <w:r w:rsidR="00F726F6" w:rsidRPr="00113763">
        <w:t>bandes de fréquences du</w:t>
      </w:r>
      <w:r w:rsidR="005376BA" w:rsidRPr="00113763">
        <w:t xml:space="preserve"> SRA</w:t>
      </w:r>
      <w:r w:rsidR="00F75028" w:rsidRPr="00113763">
        <w:t xml:space="preserve"> ou voisines de ces bandes de fréquences</w:t>
      </w:r>
      <w:r w:rsidRPr="00113763">
        <w:t>;</w:t>
      </w:r>
    </w:p>
    <w:p w14:paraId="5D6AA6BE" w14:textId="53D68AF1" w:rsidR="00E32C19" w:rsidRPr="00113763" w:rsidRDefault="00E32C19" w:rsidP="0098624A">
      <w:r w:rsidRPr="00113763">
        <w:t>3</w:t>
      </w:r>
      <w:r w:rsidRPr="00113763">
        <w:tab/>
      </w:r>
      <w:r w:rsidR="005376BA" w:rsidRPr="00113763">
        <w:t>des études sur la manière dont le</w:t>
      </w:r>
      <w:r w:rsidR="00720CAB" w:rsidRPr="00113763">
        <w:t>s</w:t>
      </w:r>
      <w:r w:rsidR="005376BA" w:rsidRPr="00113763">
        <w:t xml:space="preserve"> brouillage</w:t>
      </w:r>
      <w:r w:rsidR="00720CAB" w:rsidRPr="00113763">
        <w:t>s</w:t>
      </w:r>
      <w:r w:rsidR="005376BA" w:rsidRPr="00113763">
        <w:t xml:space="preserve"> cumulatif</w:t>
      </w:r>
      <w:r w:rsidR="00720CAB" w:rsidRPr="00113763">
        <w:t>s</w:t>
      </w:r>
      <w:r w:rsidR="005376BA" w:rsidRPr="00113763">
        <w:t xml:space="preserve"> </w:t>
      </w:r>
      <w:r w:rsidR="00F75028" w:rsidRPr="00113763">
        <w:t xml:space="preserve">occasionnés </w:t>
      </w:r>
      <w:r w:rsidR="005376BA" w:rsidRPr="00113763">
        <w:t>par les rayonnements non désirés d</w:t>
      </w:r>
      <w:r w:rsidR="003C6953" w:rsidRPr="00113763">
        <w:t>'</w:t>
      </w:r>
      <w:r w:rsidR="005376BA" w:rsidRPr="00113763">
        <w:t xml:space="preserve">un ou de plusieurs grands systèmes à satellites non OSG fonctionnant dans des bandes de fréquences adjacentes ou voisines </w:t>
      </w:r>
      <w:r w:rsidR="00F75028" w:rsidRPr="00113763">
        <w:t xml:space="preserve">influent sur </w:t>
      </w:r>
      <w:r w:rsidR="005376BA" w:rsidRPr="00113763">
        <w:t>le fonctionnement des stations du</w:t>
      </w:r>
      <w:r w:rsidR="00113763" w:rsidRPr="00113763">
        <w:t> </w:t>
      </w:r>
      <w:r w:rsidR="005376BA" w:rsidRPr="00113763">
        <w:t>SRA</w:t>
      </w:r>
      <w:r w:rsidRPr="00113763">
        <w:t>;</w:t>
      </w:r>
    </w:p>
    <w:p w14:paraId="25A2D4A7" w14:textId="4C5DD247" w:rsidR="00E32C19" w:rsidRPr="00113763" w:rsidRDefault="00E32C19" w:rsidP="0098624A">
      <w:r w:rsidRPr="00113763">
        <w:t>4</w:t>
      </w:r>
      <w:r w:rsidRPr="00113763">
        <w:tab/>
      </w:r>
      <w:bookmarkStart w:id="6" w:name="_Hlk150764108"/>
      <w:r w:rsidR="00720CAB" w:rsidRPr="00113763">
        <w:t>l</w:t>
      </w:r>
      <w:r w:rsidR="003C6953" w:rsidRPr="00113763">
        <w:t>'</w:t>
      </w:r>
      <w:r w:rsidR="00720CAB" w:rsidRPr="00113763">
        <w:t xml:space="preserve">élaboration de procédures réglementaires appropriées pour limiter les brouillages cumulatifs </w:t>
      </w:r>
      <w:r w:rsidR="000B5B0A" w:rsidRPr="00113763">
        <w:t>causés</w:t>
      </w:r>
      <w:r w:rsidR="00720CAB" w:rsidRPr="00113763">
        <w:t xml:space="preserve"> par les rayonnements non désirés </w:t>
      </w:r>
      <w:r w:rsidR="00F75028" w:rsidRPr="00113763">
        <w:t xml:space="preserve">provenant </w:t>
      </w:r>
      <w:r w:rsidR="00720CAB" w:rsidRPr="00113763">
        <w:t>d</w:t>
      </w:r>
      <w:r w:rsidR="003C6953" w:rsidRPr="00113763">
        <w:t>'</w:t>
      </w:r>
      <w:r w:rsidR="00720CAB" w:rsidRPr="00113763">
        <w:t xml:space="preserve">un ou de plusieurs grands systèmes non OSG fonctionnant dans des bandes de fréquences adjacentes </w:t>
      </w:r>
      <w:r w:rsidR="000B5B0A" w:rsidRPr="00113763">
        <w:t xml:space="preserve">aux </w:t>
      </w:r>
      <w:r w:rsidR="00720CAB" w:rsidRPr="00113763">
        <w:t>stations du SRA</w:t>
      </w:r>
      <w:r w:rsidR="00F75028" w:rsidRPr="00113763">
        <w:t xml:space="preserve"> ou voisines de ces stations</w:t>
      </w:r>
      <w:r w:rsidR="00720CAB" w:rsidRPr="00113763">
        <w:t>, en tenant compte d'un maximum de six des plus grands systèmes non OSG</w:t>
      </w:r>
      <w:r w:rsidRPr="00113763">
        <w:t>,</w:t>
      </w:r>
      <w:bookmarkEnd w:id="6"/>
    </w:p>
    <w:p w14:paraId="10C61A07" w14:textId="675605B2" w:rsidR="00E32C19" w:rsidRPr="00113763" w:rsidRDefault="00720CAB" w:rsidP="0098624A">
      <w:pPr>
        <w:pStyle w:val="Call"/>
      </w:pPr>
      <w:r w:rsidRPr="00113763">
        <w:t>invite les administrations</w:t>
      </w:r>
    </w:p>
    <w:p w14:paraId="49082FED" w14:textId="1CFF78EF" w:rsidR="00E32C19" w:rsidRPr="00113763" w:rsidRDefault="00720CAB" w:rsidP="0098624A">
      <w:r w:rsidRPr="00113763">
        <w:t>à participer activement aux études et à fournir les caractéristiques techniques et opérationnelles des systèmes concernés ainsi que d'autres renseignements nécessaire</w:t>
      </w:r>
      <w:r w:rsidR="00374C57" w:rsidRPr="00113763">
        <w:t>s</w:t>
      </w:r>
      <w:r w:rsidRPr="00113763">
        <w:t xml:space="preserve"> pour les études</w:t>
      </w:r>
      <w:r w:rsidR="00374C57" w:rsidRPr="00113763">
        <w:t>,</w:t>
      </w:r>
      <w:r w:rsidRPr="00113763">
        <w:t xml:space="preserve"> en soumettant des contributions à l'UIT-R</w:t>
      </w:r>
      <w:r w:rsidR="00E32C19" w:rsidRPr="00113763">
        <w:t>,</w:t>
      </w:r>
    </w:p>
    <w:p w14:paraId="5EB1B3CE" w14:textId="7C64DA6A" w:rsidR="00E32C19" w:rsidRPr="00113763" w:rsidRDefault="00374C57" w:rsidP="0098624A">
      <w:pPr>
        <w:pStyle w:val="Call"/>
      </w:pPr>
      <w:r w:rsidRPr="00113763">
        <w:t>décide d'inviter la CMR-27</w:t>
      </w:r>
    </w:p>
    <w:p w14:paraId="36391EC5" w14:textId="3B72752B" w:rsidR="00E32C19" w:rsidRPr="00113763" w:rsidRDefault="00374C57" w:rsidP="0098624A">
      <w:r w:rsidRPr="00113763">
        <w:t xml:space="preserve">à déterminer et à mettre en œuvre, sur la base des résultats des études, des mesures appropriées pour protéger le SRA contre les brouillages préjudiciables causés par </w:t>
      </w:r>
      <w:r w:rsidR="00811A60" w:rsidRPr="00113763">
        <w:t xml:space="preserve">les </w:t>
      </w:r>
      <w:r w:rsidRPr="00113763">
        <w:t>grandes constellations de satellites</w:t>
      </w:r>
      <w:r w:rsidR="00E32C19" w:rsidRPr="00113763">
        <w:t>,</w:t>
      </w:r>
    </w:p>
    <w:p w14:paraId="32FCE179" w14:textId="4977FD00" w:rsidR="00E32C19" w:rsidRPr="00113763" w:rsidRDefault="009B459E" w:rsidP="0098624A">
      <w:pPr>
        <w:pStyle w:val="Call"/>
      </w:pPr>
      <w:r w:rsidRPr="00113763">
        <w:t>charge le Secrétaire général</w:t>
      </w:r>
    </w:p>
    <w:p w14:paraId="12D2965C" w14:textId="27737117" w:rsidR="009B459E" w:rsidRPr="00113763" w:rsidRDefault="009B459E" w:rsidP="0098624A">
      <w:r w:rsidRPr="00113763">
        <w:t xml:space="preserve">de porter la présente Résolution à l'attention du Comité </w:t>
      </w:r>
      <w:r w:rsidR="00374C57" w:rsidRPr="00113763">
        <w:t xml:space="preserve">des Nations Unies </w:t>
      </w:r>
      <w:r w:rsidRPr="00113763">
        <w:t>des utilisations pacifiques de l'espace extra-atmosphérique ainsi que des autres organisations internationales ou régionales concernées.</w:t>
      </w:r>
    </w:p>
    <w:p w14:paraId="796757B5" w14:textId="655F3C5D" w:rsidR="009B459E" w:rsidRPr="00113763" w:rsidRDefault="009B459E" w:rsidP="0098624A">
      <w:pPr>
        <w:pStyle w:val="Reasons"/>
      </w:pPr>
    </w:p>
    <w:p w14:paraId="119B9EC5" w14:textId="3FC2DCB7" w:rsidR="009B459E" w:rsidRPr="00113763" w:rsidRDefault="009B459E" w:rsidP="006D3BE6">
      <w:pPr>
        <w:tabs>
          <w:tab w:val="clear" w:pos="1134"/>
          <w:tab w:val="clear" w:pos="1871"/>
          <w:tab w:val="clear" w:pos="2268"/>
        </w:tabs>
        <w:overflowPunct/>
        <w:autoSpaceDE/>
        <w:autoSpaceDN/>
        <w:adjustRightInd/>
        <w:spacing w:before="0" w:line="360" w:lineRule="auto"/>
        <w:textAlignment w:val="auto"/>
      </w:pPr>
      <w:r w:rsidRPr="00113763">
        <w:br w:type="page"/>
      </w:r>
    </w:p>
    <w:p w14:paraId="319A37B7" w14:textId="7CF30053" w:rsidR="009B459E" w:rsidRPr="00113763" w:rsidRDefault="009B459E" w:rsidP="00146F02">
      <w:pPr>
        <w:pStyle w:val="Annextitle"/>
      </w:pPr>
      <w:r w:rsidRPr="00113763">
        <w:lastRenderedPageBreak/>
        <w:t>Proposition de point de l'ordre du jour de la CMR-27</w:t>
      </w:r>
    </w:p>
    <w:tbl>
      <w:tblPr>
        <w:tblW w:w="9630" w:type="dxa"/>
        <w:tblInd w:w="135" w:type="dxa"/>
        <w:tblLayout w:type="fixed"/>
        <w:tblLook w:val="04A0" w:firstRow="1" w:lastRow="0" w:firstColumn="1" w:lastColumn="0" w:noHBand="0" w:noVBand="1"/>
      </w:tblPr>
      <w:tblGrid>
        <w:gridCol w:w="4685"/>
        <w:gridCol w:w="4945"/>
      </w:tblGrid>
      <w:tr w:rsidR="009B459E" w:rsidRPr="00113763" w14:paraId="36F2D00D" w14:textId="77777777" w:rsidTr="004635DB">
        <w:trPr>
          <w:trHeight w:val="300"/>
        </w:trPr>
        <w:tc>
          <w:tcPr>
            <w:tcW w:w="9630" w:type="dxa"/>
            <w:gridSpan w:val="2"/>
            <w:tcMar>
              <w:left w:w="108" w:type="dxa"/>
              <w:right w:w="108" w:type="dxa"/>
            </w:tcMar>
          </w:tcPr>
          <w:p w14:paraId="4FD1994C" w14:textId="201A4A41" w:rsidR="009B459E" w:rsidRPr="00113763" w:rsidRDefault="009B459E" w:rsidP="00146F02">
            <w:pPr>
              <w:rPr>
                <w:szCs w:val="24"/>
              </w:rPr>
            </w:pPr>
            <w:r w:rsidRPr="00113763">
              <w:rPr>
                <w:b/>
                <w:bCs/>
                <w:szCs w:val="24"/>
              </w:rPr>
              <w:t>Objet:</w:t>
            </w:r>
            <w:r w:rsidR="00A82D66" w:rsidRPr="00113763">
              <w:rPr>
                <w:b/>
                <w:bCs/>
                <w:szCs w:val="24"/>
              </w:rPr>
              <w:t xml:space="preserve"> </w:t>
            </w:r>
            <w:r w:rsidR="00A82D66" w:rsidRPr="00113763">
              <w:rPr>
                <w:szCs w:val="24"/>
              </w:rPr>
              <w:t xml:space="preserve">Études relatives aux mesures appropriées </w:t>
            </w:r>
            <w:r w:rsidR="00811A60" w:rsidRPr="00113763">
              <w:rPr>
                <w:szCs w:val="24"/>
              </w:rPr>
              <w:t xml:space="preserve">à prendre </w:t>
            </w:r>
            <w:r w:rsidR="00A82D66" w:rsidRPr="00113763">
              <w:rPr>
                <w:szCs w:val="24"/>
              </w:rPr>
              <w:t xml:space="preserve">pour assurer la protection du </w:t>
            </w:r>
            <w:r w:rsidR="003C69C0" w:rsidRPr="00113763">
              <w:rPr>
                <w:szCs w:val="24"/>
              </w:rPr>
              <w:t xml:space="preserve">service de radioastronomie </w:t>
            </w:r>
            <w:r w:rsidR="00811A60" w:rsidRPr="00113763">
              <w:rPr>
                <w:szCs w:val="24"/>
              </w:rPr>
              <w:t xml:space="preserve">(SRA) </w:t>
            </w:r>
            <w:r w:rsidR="00A82D66" w:rsidRPr="00113763">
              <w:rPr>
                <w:szCs w:val="24"/>
              </w:rPr>
              <w:t>contre les brouillages préjudiciables causés par les grandes constellations de satellites</w:t>
            </w:r>
            <w:r w:rsidRPr="00113763">
              <w:rPr>
                <w:szCs w:val="24"/>
              </w:rPr>
              <w:t>.</w:t>
            </w:r>
          </w:p>
        </w:tc>
      </w:tr>
      <w:tr w:rsidR="009B459E" w:rsidRPr="00113763" w14:paraId="39DA73AB" w14:textId="77777777" w:rsidTr="004635DB">
        <w:trPr>
          <w:trHeight w:val="300"/>
        </w:trPr>
        <w:tc>
          <w:tcPr>
            <w:tcW w:w="9630" w:type="dxa"/>
            <w:gridSpan w:val="2"/>
            <w:tcBorders>
              <w:left w:val="nil"/>
              <w:bottom w:val="single" w:sz="4" w:space="0" w:color="auto"/>
              <w:right w:val="nil"/>
            </w:tcBorders>
            <w:tcMar>
              <w:left w:w="108" w:type="dxa"/>
              <w:right w:w="108" w:type="dxa"/>
            </w:tcMar>
          </w:tcPr>
          <w:p w14:paraId="1C245B97" w14:textId="14DE8CFF" w:rsidR="009B459E" w:rsidRPr="00113763" w:rsidRDefault="009B459E" w:rsidP="00146F02">
            <w:r w:rsidRPr="00113763">
              <w:rPr>
                <w:b/>
                <w:bCs/>
              </w:rPr>
              <w:t>Origine:</w:t>
            </w:r>
            <w:r w:rsidRPr="00113763">
              <w:t xml:space="preserve"> </w:t>
            </w:r>
            <w:r w:rsidR="00A82D66" w:rsidRPr="00113763">
              <w:t>CEPT</w:t>
            </w:r>
          </w:p>
        </w:tc>
      </w:tr>
      <w:tr w:rsidR="009B459E" w:rsidRPr="00113763" w14:paraId="3F16E077" w14:textId="77777777" w:rsidTr="004635DB">
        <w:trPr>
          <w:trHeight w:val="300"/>
        </w:trPr>
        <w:tc>
          <w:tcPr>
            <w:tcW w:w="9630" w:type="dxa"/>
            <w:gridSpan w:val="2"/>
            <w:tcBorders>
              <w:top w:val="single" w:sz="4" w:space="0" w:color="auto"/>
              <w:left w:val="nil"/>
              <w:bottom w:val="single" w:sz="4" w:space="0" w:color="auto"/>
              <w:right w:val="nil"/>
            </w:tcBorders>
            <w:tcMar>
              <w:left w:w="108" w:type="dxa"/>
              <w:right w:w="108" w:type="dxa"/>
            </w:tcMar>
          </w:tcPr>
          <w:p w14:paraId="2B0377C7" w14:textId="6681A4E5" w:rsidR="009B459E" w:rsidRPr="00113763" w:rsidRDefault="009B459E" w:rsidP="001D4130">
            <w:r w:rsidRPr="00113763">
              <w:rPr>
                <w:b/>
                <w:bCs/>
                <w:i/>
                <w:iCs/>
              </w:rPr>
              <w:t>Proposition</w:t>
            </w:r>
            <w:r w:rsidRPr="00113763">
              <w:rPr>
                <w:b/>
                <w:bCs/>
              </w:rPr>
              <w:t>:</w:t>
            </w:r>
            <w:r w:rsidR="00A82D66" w:rsidRPr="00113763">
              <w:rPr>
                <w:b/>
                <w:bCs/>
              </w:rPr>
              <w:t xml:space="preserve"> </w:t>
            </w:r>
            <w:r w:rsidR="00A82D66" w:rsidRPr="00113763">
              <w:t xml:space="preserve">Études relatives aux mesures appropriées </w:t>
            </w:r>
            <w:r w:rsidR="00811A60" w:rsidRPr="00113763">
              <w:rPr>
                <w:szCs w:val="24"/>
              </w:rPr>
              <w:t xml:space="preserve">à prendre </w:t>
            </w:r>
            <w:r w:rsidR="00A82D66" w:rsidRPr="00113763">
              <w:t>pour assurer la protection du</w:t>
            </w:r>
            <w:r w:rsidR="00811A60" w:rsidRPr="00113763">
              <w:t xml:space="preserve"> </w:t>
            </w:r>
            <w:r w:rsidR="003C69C0" w:rsidRPr="00113763">
              <w:t>SRA</w:t>
            </w:r>
            <w:r w:rsidR="00811A60" w:rsidRPr="00113763">
              <w:t xml:space="preserve"> </w:t>
            </w:r>
            <w:r w:rsidR="00A82D66" w:rsidRPr="00113763">
              <w:t xml:space="preserve">contre les brouillages préjudiciables causés par les grandes constellations de satellites, conformément à la Résolution </w:t>
            </w:r>
            <w:r w:rsidR="00B10F8C" w:rsidRPr="00113763">
              <w:rPr>
                <w:b/>
                <w:bCs/>
              </w:rPr>
              <w:t>[EUR-A10-1.</w:t>
            </w:r>
            <w:r w:rsidR="00B10F8C" w:rsidRPr="00113763">
              <w:rPr>
                <w:b/>
                <w:bCs/>
                <w:highlight w:val="yellow"/>
              </w:rPr>
              <w:t>13</w:t>
            </w:r>
            <w:r w:rsidR="00B10F8C" w:rsidRPr="00113763">
              <w:rPr>
                <w:b/>
                <w:bCs/>
              </w:rPr>
              <w:t>-RAS-NGSO]</w:t>
            </w:r>
            <w:r w:rsidR="00A82D66" w:rsidRPr="00113763">
              <w:rPr>
                <w:b/>
                <w:bCs/>
              </w:rPr>
              <w:t xml:space="preserve"> </w:t>
            </w:r>
            <w:r w:rsidR="00B10F8C" w:rsidRPr="00113763">
              <w:rPr>
                <w:b/>
                <w:bCs/>
              </w:rPr>
              <w:t>(CMR-23)</w:t>
            </w:r>
            <w:r w:rsidR="00A82D66" w:rsidRPr="00113763">
              <w:t>.</w:t>
            </w:r>
          </w:p>
        </w:tc>
      </w:tr>
      <w:tr w:rsidR="009B459E" w:rsidRPr="00113763" w14:paraId="305ACF9E" w14:textId="77777777" w:rsidTr="004635DB">
        <w:trPr>
          <w:trHeight w:val="300"/>
        </w:trPr>
        <w:tc>
          <w:tcPr>
            <w:tcW w:w="9630" w:type="dxa"/>
            <w:gridSpan w:val="2"/>
            <w:tcBorders>
              <w:top w:val="single" w:sz="4" w:space="0" w:color="auto"/>
              <w:left w:val="nil"/>
              <w:bottom w:val="single" w:sz="4" w:space="0" w:color="auto"/>
              <w:right w:val="nil"/>
            </w:tcBorders>
            <w:tcMar>
              <w:left w:w="108" w:type="dxa"/>
              <w:right w:w="108" w:type="dxa"/>
            </w:tcMar>
          </w:tcPr>
          <w:p w14:paraId="6BAE0088" w14:textId="77777777" w:rsidR="009B459E" w:rsidRPr="00113763" w:rsidRDefault="009B459E" w:rsidP="00146F02">
            <w:pPr>
              <w:rPr>
                <w:b/>
                <w:color w:val="000000" w:themeColor="text1"/>
                <w:szCs w:val="24"/>
              </w:rPr>
            </w:pPr>
            <w:r w:rsidRPr="00113763">
              <w:rPr>
                <w:b/>
                <w:i/>
                <w:iCs/>
                <w:color w:val="000000" w:themeColor="text1"/>
                <w:szCs w:val="24"/>
              </w:rPr>
              <w:t>Contexte/motif</w:t>
            </w:r>
            <w:r w:rsidRPr="00113763">
              <w:rPr>
                <w:b/>
                <w:color w:val="000000" w:themeColor="text1"/>
                <w:szCs w:val="24"/>
              </w:rPr>
              <w:t>:</w:t>
            </w:r>
          </w:p>
          <w:p w14:paraId="70D8A230" w14:textId="275473AD" w:rsidR="00A82D66" w:rsidRPr="00113763" w:rsidRDefault="00A82D66" w:rsidP="00146F02">
            <w:r w:rsidRPr="00113763">
              <w:t xml:space="preserve">Ces dernières années, le nombre de satellites en orbite terrestre, en particulier en orbite terrestre basse (LEO), a </w:t>
            </w:r>
            <w:r w:rsidR="00811A60" w:rsidRPr="00113763">
              <w:t>considérablement augmenté.</w:t>
            </w:r>
            <w:r w:rsidRPr="00113763">
              <w:t xml:space="preserve"> La pléthore de nouvelles applications et de nouveaux services présente </w:t>
            </w:r>
            <w:r w:rsidR="00811A60" w:rsidRPr="00113763">
              <w:t xml:space="preserve">incontestablement </w:t>
            </w:r>
            <w:r w:rsidRPr="00113763">
              <w:t>des avantages pour</w:t>
            </w:r>
            <w:r w:rsidR="00811A60" w:rsidRPr="00113763">
              <w:t xml:space="preserve"> les utilisateurs, </w:t>
            </w:r>
            <w:r w:rsidRPr="00113763">
              <w:t>mais elle soulève aussi des préoccupations. À titre d</w:t>
            </w:r>
            <w:r w:rsidR="003C6953" w:rsidRPr="00113763">
              <w:t>'</w:t>
            </w:r>
            <w:r w:rsidRPr="00113763">
              <w:t xml:space="preserve">exemple, des astronomes professionnels signalent que </w:t>
            </w:r>
            <w:r w:rsidR="00811A60" w:rsidRPr="00113763">
              <w:t xml:space="preserve">les rayonnements solaires réfléchis </w:t>
            </w:r>
            <w:r w:rsidRPr="00113763">
              <w:t>par les satellites produi</w:t>
            </w:r>
            <w:r w:rsidR="00811A60" w:rsidRPr="00113763">
              <w:t>sen</w:t>
            </w:r>
            <w:r w:rsidRPr="00113763">
              <w:t xml:space="preserve">t des </w:t>
            </w:r>
            <w:r w:rsidR="00811A60" w:rsidRPr="00113763">
              <w:t>défauts (artefacts)</w:t>
            </w:r>
            <w:r w:rsidRPr="00113763">
              <w:t xml:space="preserve"> dans les données optiques et infrarouges, qui ne peuvent pas être entièrement corrigés par logiciel en raison de l</w:t>
            </w:r>
            <w:r w:rsidR="003C6953" w:rsidRPr="00113763">
              <w:t>'</w:t>
            </w:r>
            <w:r w:rsidRPr="00113763">
              <w:t xml:space="preserve">augmentation significative du nombre d'occurrences. Cela peut également avoir des conséquences sur les projets des agences spatiales </w:t>
            </w:r>
            <w:r w:rsidR="00811A60" w:rsidRPr="00113763">
              <w:t xml:space="preserve">consistant à </w:t>
            </w:r>
            <w:r w:rsidRPr="00113763">
              <w:t>observer le ciel nocturne en</w:t>
            </w:r>
            <w:r w:rsidR="00811A60" w:rsidRPr="00113763">
              <w:t xml:space="preserve"> permanence, </w:t>
            </w:r>
            <w:r w:rsidRPr="00113763">
              <w:t xml:space="preserve">afin de détecter rapidement </w:t>
            </w:r>
            <w:r w:rsidR="00811A60" w:rsidRPr="00113763">
              <w:t xml:space="preserve">des </w:t>
            </w:r>
            <w:r w:rsidRPr="00113763">
              <w:t xml:space="preserve">objets </w:t>
            </w:r>
            <w:r w:rsidR="00811A60" w:rsidRPr="00113763">
              <w:t xml:space="preserve">qui peuvent être </w:t>
            </w:r>
            <w:r w:rsidRPr="00113763">
              <w:t xml:space="preserve">dangereux (astéroïdes) </w:t>
            </w:r>
            <w:r w:rsidR="00811A60" w:rsidRPr="00113763">
              <w:t xml:space="preserve">et </w:t>
            </w:r>
            <w:r w:rsidRPr="00113763">
              <w:t>pourraient entrer en collision avec la Terre. Malheureusement, il n</w:t>
            </w:r>
            <w:r w:rsidR="003C6953" w:rsidRPr="00113763">
              <w:t>'</w:t>
            </w:r>
            <w:r w:rsidRPr="00113763">
              <w:t>existe aucune réglementation concernant l</w:t>
            </w:r>
            <w:r w:rsidR="003C6953" w:rsidRPr="00113763">
              <w:t>'</w:t>
            </w:r>
            <w:r w:rsidRPr="00113763">
              <w:t>influence des satellites sur l</w:t>
            </w:r>
            <w:r w:rsidR="003C6953" w:rsidRPr="00113763">
              <w:t>'</w:t>
            </w:r>
            <w:r w:rsidRPr="00113763">
              <w:t>astronomie optique/infrarouge, ou même sur le ciel nocturne dans son ensemble, qui revêt une importance considérable pour de nombreuses personnes ainsi que pour un grand nombre de cultures et de sociétés.</w:t>
            </w:r>
          </w:p>
          <w:p w14:paraId="69B06D37" w14:textId="639CCB82" w:rsidR="009B459E" w:rsidRPr="00113763" w:rsidRDefault="00811A60" w:rsidP="00146F02">
            <w:r w:rsidRPr="00113763">
              <w:t>La radioastronomie est également de plus en plus touchée, bien qu</w:t>
            </w:r>
            <w:r w:rsidR="003C6953" w:rsidRPr="00113763">
              <w:t>'</w:t>
            </w:r>
            <w:r w:rsidRPr="00113763">
              <w:t>elle soit prise en compte dans le Règlement des radiocommunications ainsi que dans d</w:t>
            </w:r>
            <w:r w:rsidR="003C6953" w:rsidRPr="00113763">
              <w:t>'</w:t>
            </w:r>
            <w:r w:rsidRPr="00113763">
              <w:t>autres documents de l</w:t>
            </w:r>
            <w:r w:rsidR="003C6953" w:rsidRPr="00113763">
              <w:t>'</w:t>
            </w:r>
            <w:r w:rsidRPr="00113763">
              <w:t>UIT-R. Cela tient au fait qu'à l'heure actuelle, certaines questions fondamentales, par exemple la répartition (lorsque plusieurs constellations produisent des rayonnements non désirés dans les bandes de fréquences attribuées au service de radioastronomie) ou la prise en compte limitée de la protection du SRA dans les procédures de notification des satellites de l</w:t>
            </w:r>
            <w:r w:rsidR="003C6953" w:rsidRPr="00113763">
              <w:t>'</w:t>
            </w:r>
            <w:r w:rsidRPr="00113763">
              <w:t>UIT-R, ne sont pas traitées comme il se doit. En outre, certains aspects ne sont actuellement pas du tout examinés. Tel est le cas par exemple de la façon dont les zones de silence radioélectrique nationales peuvent être protégées vis-à-vis des émissions de systèmes spatioportés, des méthodes permettant de protéger les récepteurs du SRA contre la saturation, qui crée des produits d</w:t>
            </w:r>
            <w:r w:rsidR="003C6953" w:rsidRPr="00113763">
              <w:t>'</w:t>
            </w:r>
            <w:r w:rsidRPr="00113763">
              <w:t>intermodulation ou des harmoniques lorsque des systèmes extrêmement sensibles reçoivent des signaux trop puissants, ou encore de</w:t>
            </w:r>
            <w:r w:rsidR="00081C65" w:rsidRPr="00113763">
              <w:t xml:space="preserve"> </w:t>
            </w:r>
            <w:r w:rsidRPr="00113763">
              <w:t>l</w:t>
            </w:r>
            <w:r w:rsidR="003C6953" w:rsidRPr="00113763">
              <w:t>'</w:t>
            </w:r>
            <w:r w:rsidRPr="00113763">
              <w:t>absence de réglementation sur la compatibilité électromagnétique (comme tout autre dispositif électronique ou électrique, les satellites peuvent aussi produire des fuites de rayonnements).</w:t>
            </w:r>
          </w:p>
        </w:tc>
      </w:tr>
      <w:tr w:rsidR="009B459E" w:rsidRPr="00113763" w14:paraId="02B1830B" w14:textId="77777777" w:rsidTr="004635DB">
        <w:trPr>
          <w:trHeight w:val="300"/>
        </w:trPr>
        <w:tc>
          <w:tcPr>
            <w:tcW w:w="9630" w:type="dxa"/>
            <w:gridSpan w:val="2"/>
            <w:tcBorders>
              <w:top w:val="single" w:sz="4" w:space="0" w:color="auto"/>
              <w:left w:val="nil"/>
              <w:bottom w:val="single" w:sz="8" w:space="0" w:color="auto"/>
              <w:right w:val="nil"/>
            </w:tcBorders>
            <w:tcMar>
              <w:left w:w="108" w:type="dxa"/>
              <w:right w:w="108" w:type="dxa"/>
            </w:tcMar>
          </w:tcPr>
          <w:p w14:paraId="26DBA4CF" w14:textId="77777777" w:rsidR="009B459E" w:rsidRPr="00113763" w:rsidRDefault="009B459E" w:rsidP="00146F02">
            <w:pPr>
              <w:jc w:val="both"/>
              <w:rPr>
                <w:b/>
                <w:bCs/>
              </w:rPr>
            </w:pPr>
            <w:r w:rsidRPr="00113763">
              <w:rPr>
                <w:b/>
                <w:bCs/>
                <w:i/>
                <w:iCs/>
              </w:rPr>
              <w:t>Services de radiocommunication concernés</w:t>
            </w:r>
            <w:r w:rsidRPr="00113763">
              <w:rPr>
                <w:b/>
                <w:bCs/>
              </w:rPr>
              <w:t>:</w:t>
            </w:r>
          </w:p>
          <w:p w14:paraId="534E6CD1" w14:textId="35ACE4BA" w:rsidR="009B459E" w:rsidRPr="00113763" w:rsidRDefault="00A82D66" w:rsidP="00146F02">
            <w:r w:rsidRPr="00113763">
              <w:t>Tous les services par satellite (en particulier le s</w:t>
            </w:r>
            <w:r w:rsidR="009B459E" w:rsidRPr="00113763">
              <w:t>ervice mobile par satellite</w:t>
            </w:r>
            <w:r w:rsidRPr="00113763">
              <w:t xml:space="preserve"> et le service fixe par satellite), le service mobile (IMT), le service de radioastronomie</w:t>
            </w:r>
            <w:r w:rsidR="00113763" w:rsidRPr="00113763">
              <w:t>.</w:t>
            </w:r>
          </w:p>
        </w:tc>
      </w:tr>
      <w:tr w:rsidR="009B459E" w:rsidRPr="00113763" w14:paraId="5F5CB1D1" w14:textId="77777777" w:rsidTr="009B459E">
        <w:trPr>
          <w:trHeight w:val="300"/>
        </w:trPr>
        <w:tc>
          <w:tcPr>
            <w:tcW w:w="9630" w:type="dxa"/>
            <w:gridSpan w:val="2"/>
            <w:tcBorders>
              <w:top w:val="single" w:sz="4" w:space="0" w:color="auto"/>
              <w:left w:val="nil"/>
              <w:bottom w:val="single" w:sz="8" w:space="0" w:color="auto"/>
              <w:right w:val="nil"/>
            </w:tcBorders>
            <w:tcMar>
              <w:left w:w="108" w:type="dxa"/>
              <w:right w:w="108" w:type="dxa"/>
            </w:tcMar>
          </w:tcPr>
          <w:p w14:paraId="59C4769A" w14:textId="77777777" w:rsidR="009B459E" w:rsidRPr="00113763" w:rsidRDefault="009B459E" w:rsidP="00146F02">
            <w:pPr>
              <w:jc w:val="both"/>
              <w:rPr>
                <w:b/>
                <w:bCs/>
              </w:rPr>
            </w:pPr>
            <w:r w:rsidRPr="00113763">
              <w:rPr>
                <w:b/>
                <w:bCs/>
                <w:i/>
                <w:iCs/>
              </w:rPr>
              <w:t>Indication des difficultés éventuelles</w:t>
            </w:r>
            <w:r w:rsidRPr="00113763">
              <w:rPr>
                <w:b/>
                <w:bCs/>
              </w:rPr>
              <w:t>:</w:t>
            </w:r>
          </w:p>
          <w:p w14:paraId="6106DD17" w14:textId="61D377C8" w:rsidR="009B459E" w:rsidRPr="00113763" w:rsidRDefault="00A82D66" w:rsidP="00146F02">
            <w:pPr>
              <w:jc w:val="both"/>
            </w:pPr>
            <w:r w:rsidRPr="00113763">
              <w:t>Aucune difficulté n'a été identifiée</w:t>
            </w:r>
            <w:r w:rsidR="003C69C0" w:rsidRPr="00113763">
              <w:t>.</w:t>
            </w:r>
          </w:p>
        </w:tc>
      </w:tr>
      <w:tr w:rsidR="009B459E" w:rsidRPr="00113763" w14:paraId="43A0E309" w14:textId="77777777" w:rsidTr="009B459E">
        <w:trPr>
          <w:trHeight w:val="300"/>
        </w:trPr>
        <w:tc>
          <w:tcPr>
            <w:tcW w:w="9630" w:type="dxa"/>
            <w:gridSpan w:val="2"/>
            <w:tcBorders>
              <w:top w:val="single" w:sz="4" w:space="0" w:color="auto"/>
              <w:left w:val="nil"/>
              <w:bottom w:val="single" w:sz="8" w:space="0" w:color="auto"/>
              <w:right w:val="nil"/>
            </w:tcBorders>
            <w:tcMar>
              <w:left w:w="108" w:type="dxa"/>
              <w:right w:w="108" w:type="dxa"/>
            </w:tcMar>
          </w:tcPr>
          <w:p w14:paraId="021E7F70" w14:textId="77777777" w:rsidR="009B459E" w:rsidRPr="00113763" w:rsidRDefault="009B459E" w:rsidP="00146F02">
            <w:pPr>
              <w:jc w:val="both"/>
              <w:rPr>
                <w:b/>
                <w:bCs/>
              </w:rPr>
            </w:pPr>
            <w:r w:rsidRPr="00113763">
              <w:rPr>
                <w:b/>
                <w:bCs/>
                <w:i/>
                <w:iCs/>
              </w:rPr>
              <w:t>Études précédentes ou en cours sur la question</w:t>
            </w:r>
            <w:r w:rsidRPr="00113763">
              <w:rPr>
                <w:b/>
                <w:bCs/>
              </w:rPr>
              <w:t>:</w:t>
            </w:r>
          </w:p>
          <w:p w14:paraId="670B9D5D" w14:textId="778F07A3" w:rsidR="009B459E" w:rsidRPr="00113763" w:rsidRDefault="00A82D66" w:rsidP="00146F02">
            <w:pPr>
              <w:jc w:val="both"/>
            </w:pPr>
            <w:r w:rsidRPr="00113763">
              <w:t>Aucune</w:t>
            </w:r>
          </w:p>
        </w:tc>
      </w:tr>
      <w:tr w:rsidR="009B459E" w:rsidRPr="00113763" w14:paraId="7777F190" w14:textId="77777777" w:rsidTr="004635DB">
        <w:trPr>
          <w:trHeight w:val="300"/>
        </w:trPr>
        <w:tc>
          <w:tcPr>
            <w:tcW w:w="4685" w:type="dxa"/>
            <w:tcBorders>
              <w:top w:val="single" w:sz="4" w:space="0" w:color="auto"/>
              <w:left w:val="nil"/>
              <w:bottom w:val="single" w:sz="4" w:space="0" w:color="auto"/>
              <w:right w:val="single" w:sz="4" w:space="0" w:color="auto"/>
            </w:tcBorders>
            <w:tcMar>
              <w:left w:w="108" w:type="dxa"/>
              <w:right w:w="108" w:type="dxa"/>
            </w:tcMar>
          </w:tcPr>
          <w:p w14:paraId="3757E73D" w14:textId="4A4373CC" w:rsidR="009B459E" w:rsidRPr="00113763" w:rsidRDefault="009B459E" w:rsidP="00146F02">
            <w:r w:rsidRPr="00113763">
              <w:rPr>
                <w:b/>
                <w:bCs/>
                <w:i/>
                <w:iCs/>
              </w:rPr>
              <w:lastRenderedPageBreak/>
              <w:t>Études devant être réalisées par</w:t>
            </w:r>
            <w:r w:rsidRPr="00113763">
              <w:rPr>
                <w:b/>
                <w:bCs/>
              </w:rPr>
              <w:t>:</w:t>
            </w:r>
          </w:p>
          <w:p w14:paraId="0E32B07B" w14:textId="74865B32" w:rsidR="00A82D66" w:rsidRPr="00113763" w:rsidRDefault="00A82D66" w:rsidP="00146F02">
            <w:r w:rsidRPr="00113763">
              <w:t>CE 7</w:t>
            </w:r>
          </w:p>
        </w:tc>
        <w:tc>
          <w:tcPr>
            <w:tcW w:w="4945" w:type="dxa"/>
            <w:tcBorders>
              <w:top w:val="single" w:sz="4" w:space="0" w:color="auto"/>
              <w:left w:val="single" w:sz="4" w:space="0" w:color="auto"/>
              <w:bottom w:val="single" w:sz="4" w:space="0" w:color="auto"/>
              <w:right w:val="nil"/>
            </w:tcBorders>
            <w:tcMar>
              <w:left w:w="108" w:type="dxa"/>
              <w:right w:w="108" w:type="dxa"/>
            </w:tcMar>
          </w:tcPr>
          <w:p w14:paraId="49A91ADA" w14:textId="77777777" w:rsidR="009B459E" w:rsidRPr="00113763" w:rsidRDefault="009B459E" w:rsidP="00146F02">
            <w:pPr>
              <w:rPr>
                <w:color w:val="000000" w:themeColor="text1"/>
                <w:szCs w:val="24"/>
              </w:rPr>
            </w:pPr>
            <w:r w:rsidRPr="00113763">
              <w:rPr>
                <w:b/>
                <w:bCs/>
                <w:i/>
                <w:iCs/>
              </w:rPr>
              <w:t>avec la participation de</w:t>
            </w:r>
            <w:r w:rsidRPr="00113763">
              <w:rPr>
                <w:b/>
                <w:bCs/>
              </w:rPr>
              <w:t>:</w:t>
            </w:r>
            <w:r w:rsidRPr="00113763">
              <w:t xml:space="preserve"> </w:t>
            </w:r>
            <w:r w:rsidRPr="00113763">
              <w:rPr>
                <w:color w:val="000000" w:themeColor="text1"/>
                <w:szCs w:val="24"/>
              </w:rPr>
              <w:t>Administrations et Membres du Secteur de l'UIT-R</w:t>
            </w:r>
          </w:p>
        </w:tc>
      </w:tr>
      <w:tr w:rsidR="009B459E" w:rsidRPr="00113763" w14:paraId="7C2F17D7" w14:textId="77777777" w:rsidTr="004635DB">
        <w:trPr>
          <w:trHeight w:val="300"/>
        </w:trPr>
        <w:tc>
          <w:tcPr>
            <w:tcW w:w="9630" w:type="dxa"/>
            <w:gridSpan w:val="2"/>
            <w:tcBorders>
              <w:top w:val="single" w:sz="4" w:space="0" w:color="auto"/>
              <w:left w:val="nil"/>
              <w:bottom w:val="single" w:sz="4" w:space="0" w:color="auto"/>
              <w:right w:val="nil"/>
            </w:tcBorders>
            <w:tcMar>
              <w:left w:w="108" w:type="dxa"/>
              <w:right w:w="108" w:type="dxa"/>
            </w:tcMar>
          </w:tcPr>
          <w:p w14:paraId="4F7B0F62" w14:textId="77777777" w:rsidR="009B459E" w:rsidRPr="00113763" w:rsidRDefault="009B459E" w:rsidP="00146F02">
            <w:pPr>
              <w:rPr>
                <w:b/>
                <w:bCs/>
              </w:rPr>
            </w:pPr>
            <w:r w:rsidRPr="00113763">
              <w:rPr>
                <w:b/>
                <w:bCs/>
                <w:i/>
                <w:iCs/>
              </w:rPr>
              <w:t>Commissions d'études de l'UIT-R concernées</w:t>
            </w:r>
            <w:r w:rsidRPr="00113763">
              <w:rPr>
                <w:b/>
                <w:bCs/>
              </w:rPr>
              <w:t>:</w:t>
            </w:r>
          </w:p>
          <w:p w14:paraId="3F09F5FF" w14:textId="49BBA426" w:rsidR="009B459E" w:rsidRPr="00113763" w:rsidRDefault="003C69C0" w:rsidP="00146F02">
            <w:r w:rsidRPr="00113763">
              <w:t>CE 4, 5 et 7</w:t>
            </w:r>
          </w:p>
        </w:tc>
      </w:tr>
      <w:tr w:rsidR="009B459E" w:rsidRPr="00113763" w14:paraId="40A76417" w14:textId="77777777" w:rsidTr="004635DB">
        <w:trPr>
          <w:trHeight w:val="300"/>
        </w:trPr>
        <w:tc>
          <w:tcPr>
            <w:tcW w:w="9630" w:type="dxa"/>
            <w:gridSpan w:val="2"/>
            <w:tcBorders>
              <w:top w:val="single" w:sz="4" w:space="0" w:color="auto"/>
              <w:left w:val="nil"/>
              <w:bottom w:val="single" w:sz="4" w:space="0" w:color="auto"/>
              <w:right w:val="nil"/>
            </w:tcBorders>
            <w:tcMar>
              <w:left w:w="108" w:type="dxa"/>
              <w:right w:w="108" w:type="dxa"/>
            </w:tcMar>
          </w:tcPr>
          <w:p w14:paraId="35B29C00" w14:textId="77777777" w:rsidR="009B459E" w:rsidRPr="00113763" w:rsidRDefault="009B459E" w:rsidP="00146F02">
            <w:pPr>
              <w:rPr>
                <w:b/>
                <w:bCs/>
                <w:i/>
                <w:iCs/>
                <w:szCs w:val="24"/>
              </w:rPr>
            </w:pPr>
            <w:r w:rsidRPr="00113763">
              <w:rPr>
                <w:b/>
                <w:bCs/>
                <w:i/>
                <w:iCs/>
                <w:szCs w:val="24"/>
              </w:rPr>
              <w:t>Répercussions au niveau des ressources de l'UIT, y compris incidences financières (voir le numéro 126 de la Convention)</w:t>
            </w:r>
            <w:r w:rsidRPr="00113763">
              <w:rPr>
                <w:b/>
                <w:bCs/>
                <w:szCs w:val="24"/>
              </w:rPr>
              <w:t>:</w:t>
            </w:r>
          </w:p>
          <w:p w14:paraId="20178072" w14:textId="4987DFC4" w:rsidR="009B459E" w:rsidRPr="00113763" w:rsidRDefault="009B459E" w:rsidP="00146F02">
            <w:pPr>
              <w:rPr>
                <w:b/>
                <w:bCs/>
                <w:szCs w:val="24"/>
              </w:rPr>
            </w:pPr>
            <w:r w:rsidRPr="00113763">
              <w:rPr>
                <w:rFonts w:eastAsia="SimSun"/>
                <w:kern w:val="2"/>
                <w:lang w:eastAsia="zh-CN"/>
              </w:rPr>
              <w:t>Ce point de l'ordre du jour proposé sera étudié dans le cadre des procédures normales et du budget prévu de l'UIT-R.</w:t>
            </w:r>
            <w:r w:rsidR="003C69C0" w:rsidRPr="00113763">
              <w:rPr>
                <w:rFonts w:eastAsia="SimSun"/>
                <w:kern w:val="2"/>
                <w:lang w:eastAsia="zh-CN"/>
              </w:rPr>
              <w:t xml:space="preserve"> Aucun surcoût n'est prévu.</w:t>
            </w:r>
          </w:p>
        </w:tc>
      </w:tr>
      <w:tr w:rsidR="009B459E" w:rsidRPr="00113763" w14:paraId="0BCBEFCA" w14:textId="77777777" w:rsidTr="004635DB">
        <w:trPr>
          <w:trHeight w:val="300"/>
        </w:trPr>
        <w:tc>
          <w:tcPr>
            <w:tcW w:w="4685" w:type="dxa"/>
            <w:tcBorders>
              <w:top w:val="single" w:sz="4" w:space="0" w:color="auto"/>
              <w:left w:val="nil"/>
              <w:bottom w:val="single" w:sz="4" w:space="0" w:color="auto"/>
              <w:right w:val="nil"/>
            </w:tcBorders>
            <w:tcMar>
              <w:left w:w="108" w:type="dxa"/>
              <w:right w:w="108" w:type="dxa"/>
            </w:tcMar>
          </w:tcPr>
          <w:p w14:paraId="70B7958D" w14:textId="77777777" w:rsidR="009B459E" w:rsidRPr="00113763" w:rsidRDefault="009B459E" w:rsidP="00146F02">
            <w:pPr>
              <w:rPr>
                <w:b/>
                <w:bCs/>
                <w:i/>
                <w:iCs/>
              </w:rPr>
            </w:pPr>
            <w:r w:rsidRPr="00113763">
              <w:rPr>
                <w:b/>
                <w:bCs/>
                <w:i/>
                <w:iCs/>
              </w:rPr>
              <w:t>Proposition régionale commune</w:t>
            </w:r>
            <w:r w:rsidRPr="00113763">
              <w:rPr>
                <w:b/>
                <w:bCs/>
              </w:rPr>
              <w:t>:</w:t>
            </w:r>
            <w:r w:rsidRPr="00113763">
              <w:t xml:space="preserve"> Oui</w:t>
            </w:r>
          </w:p>
        </w:tc>
        <w:tc>
          <w:tcPr>
            <w:tcW w:w="4945" w:type="dxa"/>
            <w:tcBorders>
              <w:top w:val="single" w:sz="4" w:space="0" w:color="auto"/>
              <w:left w:val="nil"/>
              <w:bottom w:val="single" w:sz="4" w:space="0" w:color="auto"/>
              <w:right w:val="nil"/>
            </w:tcBorders>
            <w:tcMar>
              <w:left w:w="108" w:type="dxa"/>
              <w:right w:w="108" w:type="dxa"/>
            </w:tcMar>
          </w:tcPr>
          <w:p w14:paraId="4DF14233" w14:textId="77777777" w:rsidR="009B459E" w:rsidRPr="00113763" w:rsidRDefault="009B459E" w:rsidP="00146F02">
            <w:r w:rsidRPr="00113763">
              <w:rPr>
                <w:b/>
                <w:bCs/>
                <w:i/>
                <w:iCs/>
              </w:rPr>
              <w:t>Proposition soumise par plusieurs pays</w:t>
            </w:r>
            <w:r w:rsidRPr="00113763">
              <w:rPr>
                <w:b/>
                <w:bCs/>
              </w:rPr>
              <w:t>:</w:t>
            </w:r>
            <w:r w:rsidRPr="00113763">
              <w:t xml:space="preserve"> Non</w:t>
            </w:r>
          </w:p>
          <w:p w14:paraId="3B8581A8" w14:textId="77777777" w:rsidR="009B459E" w:rsidRPr="00113763" w:rsidRDefault="009B459E" w:rsidP="00146F02">
            <w:pPr>
              <w:spacing w:after="240"/>
              <w:jc w:val="both"/>
              <w:rPr>
                <w:b/>
                <w:bCs/>
              </w:rPr>
            </w:pPr>
            <w:r w:rsidRPr="00113763">
              <w:rPr>
                <w:b/>
                <w:bCs/>
                <w:i/>
                <w:iCs/>
              </w:rPr>
              <w:t>Nombre de pays</w:t>
            </w:r>
            <w:r w:rsidRPr="00113763">
              <w:rPr>
                <w:b/>
                <w:bCs/>
              </w:rPr>
              <w:t>:</w:t>
            </w:r>
          </w:p>
        </w:tc>
      </w:tr>
      <w:tr w:rsidR="009B459E" w:rsidRPr="00113763" w14:paraId="2C61B732" w14:textId="77777777" w:rsidTr="004635DB">
        <w:trPr>
          <w:trHeight w:val="300"/>
        </w:trPr>
        <w:tc>
          <w:tcPr>
            <w:tcW w:w="9630" w:type="dxa"/>
            <w:gridSpan w:val="2"/>
            <w:tcBorders>
              <w:top w:val="single" w:sz="4" w:space="0" w:color="auto"/>
              <w:left w:val="nil"/>
              <w:bottom w:val="nil"/>
              <w:right w:val="nil"/>
            </w:tcBorders>
            <w:tcMar>
              <w:left w:w="108" w:type="dxa"/>
              <w:right w:w="108" w:type="dxa"/>
            </w:tcMar>
          </w:tcPr>
          <w:p w14:paraId="29BABF1F" w14:textId="77777777" w:rsidR="009B459E" w:rsidRPr="00113763" w:rsidRDefault="009B459E" w:rsidP="00146F02">
            <w:pPr>
              <w:rPr>
                <w:b/>
                <w:bCs/>
                <w:i/>
                <w:iCs/>
              </w:rPr>
            </w:pPr>
            <w:r w:rsidRPr="00113763">
              <w:rPr>
                <w:b/>
                <w:bCs/>
                <w:i/>
                <w:iCs/>
              </w:rPr>
              <w:t>Observations</w:t>
            </w:r>
          </w:p>
          <w:p w14:paraId="7C42DE93" w14:textId="77777777" w:rsidR="009B459E" w:rsidRPr="00113763" w:rsidRDefault="009B459E" w:rsidP="00146F02">
            <w:pPr>
              <w:rPr>
                <w:b/>
                <w:bCs/>
                <w:i/>
                <w:iCs/>
                <w:szCs w:val="24"/>
              </w:rPr>
            </w:pPr>
          </w:p>
        </w:tc>
      </w:tr>
    </w:tbl>
    <w:p w14:paraId="31F99601" w14:textId="77777777" w:rsidR="007C2CDE" w:rsidRPr="00113763" w:rsidRDefault="007C2CDE" w:rsidP="006D3BE6">
      <w:pPr>
        <w:spacing w:line="360" w:lineRule="auto"/>
        <w:jc w:val="center"/>
      </w:pPr>
      <w:r w:rsidRPr="00113763">
        <w:t>______________</w:t>
      </w:r>
    </w:p>
    <w:sectPr w:rsidR="007C2CDE" w:rsidRPr="00113763">
      <w:headerReference w:type="default" r:id="rId14"/>
      <w:footerReference w:type="even" r:id="rId15"/>
      <w:footerReference w:type="default" r:id="rId16"/>
      <w:footerReference w:type="first" r:id="rId17"/>
      <w:footnotePr>
        <w:numRestart w:val="eachSect"/>
      </w:footnotePr>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CB960" w14:textId="77777777" w:rsidR="00CB685A" w:rsidRDefault="00CB685A">
      <w:r>
        <w:separator/>
      </w:r>
    </w:p>
  </w:endnote>
  <w:endnote w:type="continuationSeparator" w:id="0">
    <w:p w14:paraId="0A6D789F"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836AC" w14:textId="67237E59" w:rsidR="00936D25" w:rsidRDefault="00936D25">
    <w:pPr>
      <w:rPr>
        <w:lang w:val="en-US"/>
      </w:rPr>
    </w:pPr>
    <w:r>
      <w:fldChar w:fldCharType="begin"/>
    </w:r>
    <w:r>
      <w:rPr>
        <w:lang w:val="en-US"/>
      </w:rPr>
      <w:instrText xml:space="preserve"> FILENAME \p  \* MERGEFORMAT </w:instrText>
    </w:r>
    <w:r>
      <w:fldChar w:fldCharType="separate"/>
    </w:r>
    <w:r w:rsidR="009B459E">
      <w:rPr>
        <w:noProof/>
        <w:lang w:val="en-US"/>
      </w:rPr>
      <w:t>P:\TRAD\F\ITU-R\CONF-R\CMR23\000\065ADD27ADD03FMontage.docx</w:t>
    </w:r>
    <w:r>
      <w:fldChar w:fldCharType="end"/>
    </w:r>
    <w:r>
      <w:rPr>
        <w:lang w:val="en-US"/>
      </w:rPr>
      <w:tab/>
    </w:r>
    <w:r>
      <w:fldChar w:fldCharType="begin"/>
    </w:r>
    <w:r>
      <w:instrText xml:space="preserve"> SAVEDATE \@ DD.MM.YY </w:instrText>
    </w:r>
    <w:r>
      <w:fldChar w:fldCharType="separate"/>
    </w:r>
    <w:r w:rsidR="00711473">
      <w:rPr>
        <w:noProof/>
      </w:rPr>
      <w:t>19.11.23</w:t>
    </w:r>
    <w:r>
      <w:fldChar w:fldCharType="end"/>
    </w:r>
    <w:r>
      <w:rPr>
        <w:lang w:val="en-US"/>
      </w:rPr>
      <w:tab/>
    </w:r>
    <w:r>
      <w:fldChar w:fldCharType="begin"/>
    </w:r>
    <w:r>
      <w:instrText xml:space="preserve"> PRINTDATE \@ DD.MM.YY </w:instrText>
    </w:r>
    <w:r>
      <w:fldChar w:fldCharType="separate"/>
    </w:r>
    <w:r w:rsidR="009B459E">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4961" w14:textId="6A0E1B91"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3C6953">
      <w:rPr>
        <w:lang w:val="en-US"/>
      </w:rPr>
      <w:t>P:\FRA\ITU-R\CONF-R\CMR23\000\065ADD27ADD03F.docx</w:t>
    </w:r>
    <w:r>
      <w:fldChar w:fldCharType="end"/>
    </w:r>
    <w:r w:rsidR="00C42ECC" w:rsidRPr="006D3BE6">
      <w:rPr>
        <w:lang w:val="en-GB"/>
      </w:rPr>
      <w:t xml:space="preserve"> (530594)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288CA" w14:textId="384555B1"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98624A">
      <w:rPr>
        <w:lang w:val="en-US"/>
      </w:rPr>
      <w:t>P:\FRA\ITU-R\CONF-R\CMR23\000\065ADD27ADD03F.docx</w:t>
    </w:r>
    <w:r>
      <w:fldChar w:fldCharType="end"/>
    </w:r>
    <w:r w:rsidR="0098624A">
      <w:t xml:space="preserve"> (530594)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45894" w14:textId="77777777" w:rsidR="00CB685A" w:rsidRDefault="00CB685A">
      <w:r>
        <w:rPr>
          <w:b/>
        </w:rPr>
        <w:t>_______________</w:t>
      </w:r>
    </w:p>
  </w:footnote>
  <w:footnote w:type="continuationSeparator" w:id="0">
    <w:p w14:paraId="6D5FBE7F" w14:textId="77777777" w:rsidR="00CB685A" w:rsidRDefault="00CB685A">
      <w:r>
        <w:continuationSeparator/>
      </w:r>
    </w:p>
  </w:footnote>
  <w:footnote w:id="1">
    <w:p w14:paraId="049EA010" w14:textId="74BD7827" w:rsidR="0057101E" w:rsidRPr="0057101E" w:rsidRDefault="0057101E">
      <w:pPr>
        <w:pStyle w:val="FootnoteText"/>
        <w:rPr>
          <w:lang w:val="fr-CH"/>
        </w:rPr>
      </w:pPr>
      <w:r>
        <w:rPr>
          <w:rStyle w:val="FootnoteReference"/>
        </w:rPr>
        <w:footnoteRef/>
      </w:r>
      <w:r w:rsidR="00537F39">
        <w:tab/>
      </w:r>
      <w:r w:rsidR="0058703D">
        <w:rPr>
          <w:lang w:val="fr-CH"/>
        </w:rPr>
        <w:t xml:space="preserve">Le SKAO, qui exploite le plus grand radiotélescope du monde, reçoit des fonds importants de nombreuses administrations (actuellement l'Australie, le Canada, la Chine, la France, l'Allemagne, l'Inde, l'Italie, le Japon, les Pays-Bas, le Portugal, </w:t>
      </w:r>
      <w:r w:rsidR="002C1597">
        <w:rPr>
          <w:lang w:val="fr-CH"/>
        </w:rPr>
        <w:t>la République sudafricaine</w:t>
      </w:r>
      <w:r w:rsidR="0058703D">
        <w:rPr>
          <w:lang w:val="fr-CH"/>
        </w:rPr>
        <w:t>, la Corée du Sud, l'Espagne, la Suède, la Suisse et le Royaume-Uni).</w:t>
      </w:r>
    </w:p>
  </w:footnote>
  <w:footnote w:id="2">
    <w:p w14:paraId="257262DD" w14:textId="15471CEC" w:rsidR="00F47AC1" w:rsidRDefault="00F47AC1">
      <w:pPr>
        <w:pStyle w:val="FootnoteText"/>
      </w:pPr>
      <w:r>
        <w:rPr>
          <w:rStyle w:val="FootnoteReference"/>
        </w:rPr>
        <w:t>1</w:t>
      </w:r>
      <w:r>
        <w:tab/>
        <w:t>Aux fins de la présente Résolution, et pour définir un point de départ pour les études associées, les termes «grandes constellations de satellites» désignent les réseaux à satellite non OSG composés de plusieurs centaines de satellites au moins (au minimum 200 satellites).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BC2B7"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7FC9D811" w14:textId="77777777" w:rsidR="004F1F8E" w:rsidRDefault="00225CF2" w:rsidP="00FD7AA3">
    <w:pPr>
      <w:pStyle w:val="Header"/>
    </w:pPr>
    <w:r>
      <w:t>WRC</w:t>
    </w:r>
    <w:r w:rsidR="00D3426F">
      <w:t>23</w:t>
    </w:r>
    <w:r w:rsidR="004F1F8E">
      <w:t>/</w:t>
    </w:r>
    <w:r w:rsidR="006A4B45">
      <w:t>65(Add.27)(Add.3)-</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820774176">
    <w:abstractNumId w:val="0"/>
  </w:num>
  <w:num w:numId="2" w16cid:durableId="124618800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662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23C38"/>
    <w:rsid w:val="0003522F"/>
    <w:rsid w:val="00063A1F"/>
    <w:rsid w:val="00080E2C"/>
    <w:rsid w:val="00080F08"/>
    <w:rsid w:val="00081366"/>
    <w:rsid w:val="00081C65"/>
    <w:rsid w:val="000863B3"/>
    <w:rsid w:val="000A2D66"/>
    <w:rsid w:val="000A4755"/>
    <w:rsid w:val="000A55AE"/>
    <w:rsid w:val="000B2E0C"/>
    <w:rsid w:val="000B3D0C"/>
    <w:rsid w:val="000B5B0A"/>
    <w:rsid w:val="0010587A"/>
    <w:rsid w:val="00113763"/>
    <w:rsid w:val="001167B9"/>
    <w:rsid w:val="00123F78"/>
    <w:rsid w:val="001267A0"/>
    <w:rsid w:val="00136D44"/>
    <w:rsid w:val="00146F02"/>
    <w:rsid w:val="0015203F"/>
    <w:rsid w:val="00160C64"/>
    <w:rsid w:val="0018169B"/>
    <w:rsid w:val="0019352B"/>
    <w:rsid w:val="001960D0"/>
    <w:rsid w:val="00196455"/>
    <w:rsid w:val="001A11F6"/>
    <w:rsid w:val="001C2773"/>
    <w:rsid w:val="001D4130"/>
    <w:rsid w:val="001F17E8"/>
    <w:rsid w:val="00204306"/>
    <w:rsid w:val="00225CF2"/>
    <w:rsid w:val="002278CC"/>
    <w:rsid w:val="00232FD2"/>
    <w:rsid w:val="0026554E"/>
    <w:rsid w:val="002766A2"/>
    <w:rsid w:val="002A4622"/>
    <w:rsid w:val="002A6F8F"/>
    <w:rsid w:val="002B17E5"/>
    <w:rsid w:val="002C0EBF"/>
    <w:rsid w:val="002C1597"/>
    <w:rsid w:val="002C28A4"/>
    <w:rsid w:val="002C6CAA"/>
    <w:rsid w:val="002D7E0A"/>
    <w:rsid w:val="00315AFE"/>
    <w:rsid w:val="003411F6"/>
    <w:rsid w:val="0034771B"/>
    <w:rsid w:val="003606A6"/>
    <w:rsid w:val="0036650C"/>
    <w:rsid w:val="00374C57"/>
    <w:rsid w:val="0037673A"/>
    <w:rsid w:val="00393ACD"/>
    <w:rsid w:val="003965C3"/>
    <w:rsid w:val="003A583E"/>
    <w:rsid w:val="003B5D8F"/>
    <w:rsid w:val="003C6953"/>
    <w:rsid w:val="003C69C0"/>
    <w:rsid w:val="003E112B"/>
    <w:rsid w:val="003E1D1C"/>
    <w:rsid w:val="003E7B05"/>
    <w:rsid w:val="003F3719"/>
    <w:rsid w:val="003F6F2D"/>
    <w:rsid w:val="0041045D"/>
    <w:rsid w:val="00434FC0"/>
    <w:rsid w:val="004364F7"/>
    <w:rsid w:val="00466211"/>
    <w:rsid w:val="00483196"/>
    <w:rsid w:val="004834A9"/>
    <w:rsid w:val="004A7B84"/>
    <w:rsid w:val="004D01FC"/>
    <w:rsid w:val="004D361C"/>
    <w:rsid w:val="004E28C3"/>
    <w:rsid w:val="004E73B7"/>
    <w:rsid w:val="004F1F8E"/>
    <w:rsid w:val="00512A32"/>
    <w:rsid w:val="00514062"/>
    <w:rsid w:val="00523797"/>
    <w:rsid w:val="005343DA"/>
    <w:rsid w:val="005376BA"/>
    <w:rsid w:val="00537F39"/>
    <w:rsid w:val="00560874"/>
    <w:rsid w:val="00567EAD"/>
    <w:rsid w:val="0057101E"/>
    <w:rsid w:val="00586CF2"/>
    <w:rsid w:val="0058703D"/>
    <w:rsid w:val="005A7C75"/>
    <w:rsid w:val="005C0FAD"/>
    <w:rsid w:val="005C3768"/>
    <w:rsid w:val="005C6C3F"/>
    <w:rsid w:val="005F4E7E"/>
    <w:rsid w:val="00613635"/>
    <w:rsid w:val="0062093D"/>
    <w:rsid w:val="00637ECF"/>
    <w:rsid w:val="00647B59"/>
    <w:rsid w:val="006523E4"/>
    <w:rsid w:val="00670198"/>
    <w:rsid w:val="00685C97"/>
    <w:rsid w:val="00690C7B"/>
    <w:rsid w:val="006A4B45"/>
    <w:rsid w:val="006C5F89"/>
    <w:rsid w:val="006D3BE6"/>
    <w:rsid w:val="006D4724"/>
    <w:rsid w:val="006E3744"/>
    <w:rsid w:val="006E69FD"/>
    <w:rsid w:val="006F2694"/>
    <w:rsid w:val="006F5FA2"/>
    <w:rsid w:val="0070076C"/>
    <w:rsid w:val="00701BAE"/>
    <w:rsid w:val="00711473"/>
    <w:rsid w:val="00720CAB"/>
    <w:rsid w:val="00721F04"/>
    <w:rsid w:val="00730E95"/>
    <w:rsid w:val="00737C27"/>
    <w:rsid w:val="007426B9"/>
    <w:rsid w:val="00753E40"/>
    <w:rsid w:val="00764342"/>
    <w:rsid w:val="00774362"/>
    <w:rsid w:val="00786598"/>
    <w:rsid w:val="00790C74"/>
    <w:rsid w:val="007A04E8"/>
    <w:rsid w:val="007B2C34"/>
    <w:rsid w:val="007C2CDE"/>
    <w:rsid w:val="007F15F3"/>
    <w:rsid w:val="007F22C2"/>
    <w:rsid w:val="007F248F"/>
    <w:rsid w:val="007F282B"/>
    <w:rsid w:val="00811A60"/>
    <w:rsid w:val="00830086"/>
    <w:rsid w:val="00851625"/>
    <w:rsid w:val="00863C0A"/>
    <w:rsid w:val="008A3120"/>
    <w:rsid w:val="008A4B97"/>
    <w:rsid w:val="008A5921"/>
    <w:rsid w:val="008C5B8E"/>
    <w:rsid w:val="008C5DD5"/>
    <w:rsid w:val="008C7123"/>
    <w:rsid w:val="008D41BE"/>
    <w:rsid w:val="008D58D3"/>
    <w:rsid w:val="008E3BC9"/>
    <w:rsid w:val="00905777"/>
    <w:rsid w:val="00923064"/>
    <w:rsid w:val="00930FFD"/>
    <w:rsid w:val="00936D25"/>
    <w:rsid w:val="00941EA5"/>
    <w:rsid w:val="00961299"/>
    <w:rsid w:val="00964700"/>
    <w:rsid w:val="00965662"/>
    <w:rsid w:val="00966C16"/>
    <w:rsid w:val="0098624A"/>
    <w:rsid w:val="0098732F"/>
    <w:rsid w:val="009A045F"/>
    <w:rsid w:val="009A537D"/>
    <w:rsid w:val="009A6A2B"/>
    <w:rsid w:val="009B459E"/>
    <w:rsid w:val="009C7E7C"/>
    <w:rsid w:val="009D34AF"/>
    <w:rsid w:val="00A00473"/>
    <w:rsid w:val="00A03C9B"/>
    <w:rsid w:val="00A05AB1"/>
    <w:rsid w:val="00A21AC1"/>
    <w:rsid w:val="00A37105"/>
    <w:rsid w:val="00A46D3F"/>
    <w:rsid w:val="00A606C3"/>
    <w:rsid w:val="00A82D66"/>
    <w:rsid w:val="00A83B09"/>
    <w:rsid w:val="00A84541"/>
    <w:rsid w:val="00AB086B"/>
    <w:rsid w:val="00AE1F49"/>
    <w:rsid w:val="00AE36A0"/>
    <w:rsid w:val="00AF3041"/>
    <w:rsid w:val="00B00294"/>
    <w:rsid w:val="00B10F8C"/>
    <w:rsid w:val="00B27F13"/>
    <w:rsid w:val="00B3749C"/>
    <w:rsid w:val="00B64CD7"/>
    <w:rsid w:val="00B64FD0"/>
    <w:rsid w:val="00BA5BD0"/>
    <w:rsid w:val="00BB1D82"/>
    <w:rsid w:val="00BC217E"/>
    <w:rsid w:val="00BD4C58"/>
    <w:rsid w:val="00BD51C5"/>
    <w:rsid w:val="00BD5CC8"/>
    <w:rsid w:val="00BF26E7"/>
    <w:rsid w:val="00C1301F"/>
    <w:rsid w:val="00C1305F"/>
    <w:rsid w:val="00C37F15"/>
    <w:rsid w:val="00C42ECC"/>
    <w:rsid w:val="00C53FCA"/>
    <w:rsid w:val="00C540DB"/>
    <w:rsid w:val="00C71DEB"/>
    <w:rsid w:val="00C752A1"/>
    <w:rsid w:val="00C76BAF"/>
    <w:rsid w:val="00C814B9"/>
    <w:rsid w:val="00C94B80"/>
    <w:rsid w:val="00CB685A"/>
    <w:rsid w:val="00CC36AC"/>
    <w:rsid w:val="00CD516F"/>
    <w:rsid w:val="00CE0A82"/>
    <w:rsid w:val="00D03D63"/>
    <w:rsid w:val="00D119A7"/>
    <w:rsid w:val="00D25FBA"/>
    <w:rsid w:val="00D32B28"/>
    <w:rsid w:val="00D3426F"/>
    <w:rsid w:val="00D42954"/>
    <w:rsid w:val="00D66EAC"/>
    <w:rsid w:val="00D72D08"/>
    <w:rsid w:val="00D730DF"/>
    <w:rsid w:val="00D772F0"/>
    <w:rsid w:val="00D77BDC"/>
    <w:rsid w:val="00DC402B"/>
    <w:rsid w:val="00DD59F3"/>
    <w:rsid w:val="00DE0932"/>
    <w:rsid w:val="00DF0476"/>
    <w:rsid w:val="00DF087F"/>
    <w:rsid w:val="00DF15E8"/>
    <w:rsid w:val="00E03A27"/>
    <w:rsid w:val="00E049F1"/>
    <w:rsid w:val="00E246D2"/>
    <w:rsid w:val="00E31C5F"/>
    <w:rsid w:val="00E32C19"/>
    <w:rsid w:val="00E37A25"/>
    <w:rsid w:val="00E537FF"/>
    <w:rsid w:val="00E60CB2"/>
    <w:rsid w:val="00E6539B"/>
    <w:rsid w:val="00E679AD"/>
    <w:rsid w:val="00E70A31"/>
    <w:rsid w:val="00E723A7"/>
    <w:rsid w:val="00EA3F38"/>
    <w:rsid w:val="00EA5AB6"/>
    <w:rsid w:val="00EC7615"/>
    <w:rsid w:val="00ED16AA"/>
    <w:rsid w:val="00ED4AB0"/>
    <w:rsid w:val="00ED5A50"/>
    <w:rsid w:val="00ED6B8D"/>
    <w:rsid w:val="00EE3D7B"/>
    <w:rsid w:val="00EF662E"/>
    <w:rsid w:val="00F10064"/>
    <w:rsid w:val="00F148F1"/>
    <w:rsid w:val="00F415B8"/>
    <w:rsid w:val="00F47AC1"/>
    <w:rsid w:val="00F711A7"/>
    <w:rsid w:val="00F726F6"/>
    <w:rsid w:val="00F75028"/>
    <w:rsid w:val="00FA3BBF"/>
    <w:rsid w:val="00FC41F8"/>
    <w:rsid w:val="00FD7AA3"/>
    <w:rsid w:val="00FE289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4A2CC24"/>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styleId="Hyperlink">
    <w:name w:val="Hyperlink"/>
    <w:basedOn w:val="DefaultParagraphFont"/>
    <w:uiPriority w:val="99"/>
    <w:semiHidden/>
    <w:unhideWhenUsed/>
    <w:rPr>
      <w:color w:val="0000FF" w:themeColor="hyperlink"/>
      <w:u w:val="single"/>
    </w:rPr>
  </w:style>
  <w:style w:type="paragraph" w:customStyle="1" w:styleId="Re">
    <w:name w:val="Re"/>
    <w:basedOn w:val="Normal"/>
    <w:rsid w:val="009B459E"/>
    <w:pPr>
      <w:spacing w:line="480" w:lineRule="auto"/>
    </w:pPr>
  </w:style>
  <w:style w:type="paragraph" w:styleId="Revision">
    <w:name w:val="Revision"/>
    <w:hidden/>
    <w:uiPriority w:val="99"/>
    <w:semiHidden/>
    <w:rsid w:val="006D3BE6"/>
    <w:rPr>
      <w:rFonts w:ascii="Times New Roman" w:hAnsi="Times New Roman"/>
      <w:sz w:val="24"/>
      <w:lang w:val="fr-FR" w:eastAsia="en-US"/>
    </w:rPr>
  </w:style>
  <w:style w:type="character" w:styleId="CommentReference">
    <w:name w:val="annotation reference"/>
    <w:basedOn w:val="DefaultParagraphFont"/>
    <w:semiHidden/>
    <w:unhideWhenUsed/>
    <w:rsid w:val="00ED5A50"/>
    <w:rPr>
      <w:sz w:val="16"/>
      <w:szCs w:val="16"/>
    </w:rPr>
  </w:style>
  <w:style w:type="paragraph" w:styleId="CommentText">
    <w:name w:val="annotation text"/>
    <w:basedOn w:val="Normal"/>
    <w:link w:val="CommentTextChar"/>
    <w:unhideWhenUsed/>
    <w:rsid w:val="00ED5A50"/>
    <w:rPr>
      <w:sz w:val="20"/>
    </w:rPr>
  </w:style>
  <w:style w:type="character" w:customStyle="1" w:styleId="CommentTextChar">
    <w:name w:val="Comment Text Char"/>
    <w:basedOn w:val="DefaultParagraphFont"/>
    <w:link w:val="CommentText"/>
    <w:rsid w:val="00ED5A50"/>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ED5A50"/>
    <w:rPr>
      <w:b/>
      <w:bCs/>
    </w:rPr>
  </w:style>
  <w:style w:type="character" w:customStyle="1" w:styleId="CommentSubjectChar">
    <w:name w:val="Comment Subject Char"/>
    <w:basedOn w:val="CommentTextChar"/>
    <w:link w:val="CommentSubject"/>
    <w:semiHidden/>
    <w:rsid w:val="00ED5A50"/>
    <w:rPr>
      <w:rFonts w:ascii="Times New Roman" w:hAnsi="Times New Roman"/>
      <w:b/>
      <w:bCs/>
      <w:lang w:val="fr-FR" w:eastAsia="en-US"/>
    </w:rPr>
  </w:style>
  <w:style w:type="paragraph" w:styleId="EndnoteText">
    <w:name w:val="endnote text"/>
    <w:basedOn w:val="Normal"/>
    <w:link w:val="EndnoteTextChar"/>
    <w:semiHidden/>
    <w:unhideWhenUsed/>
    <w:rsid w:val="00F47AC1"/>
    <w:pPr>
      <w:spacing w:before="0"/>
    </w:pPr>
    <w:rPr>
      <w:sz w:val="20"/>
    </w:rPr>
  </w:style>
  <w:style w:type="character" w:customStyle="1" w:styleId="EndnoteTextChar">
    <w:name w:val="Endnote Text Char"/>
    <w:basedOn w:val="DefaultParagraphFont"/>
    <w:link w:val="EndnoteText"/>
    <w:semiHidden/>
    <w:rsid w:val="00F47AC1"/>
    <w:rPr>
      <w:rFonts w:ascii="Times New Roman" w:hAnsi="Times New Roman"/>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R23-WRC23-C-0065!A27-A3!MSW-F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33A82F-DA56-44FF-ABC8-48DC1DDE65B2}">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DEE44F5E-6643-46CA-8C07-6B5230B96E56}">
  <ds:schemaRefs>
    <ds:schemaRef ds:uri="http://schemas.microsoft.com/sharepoint/events"/>
  </ds:schemaRefs>
</ds:datastoreItem>
</file>

<file path=customXml/itemProps3.xml><?xml version="1.0" encoding="utf-8"?>
<ds:datastoreItem xmlns:ds="http://schemas.openxmlformats.org/officeDocument/2006/customXml" ds:itemID="{C8541586-43E3-47BC-A615-09A68FA89E26}">
  <ds:schemaRefs>
    <ds:schemaRef ds:uri="http://schemas.openxmlformats.org/officeDocument/2006/bibliography"/>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5.xml><?xml version="1.0" encoding="utf-8"?>
<ds:datastoreItem xmlns:ds="http://schemas.openxmlformats.org/officeDocument/2006/customXml" ds:itemID="{0399F63C-962E-43AF-8BF7-41FF062B5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4094</Words>
  <Characters>23718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R23-WRC23-C-0065!A27-A3!MSW-F</vt:lpstr>
    </vt:vector>
  </TitlesOfParts>
  <Manager>Secrétariat général - Pool</Manager>
  <Company>Union internationale des télécommunications (UIT)</Company>
  <LinksUpToDate>false</LinksUpToDate>
  <CharactersWithSpaces>27757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R23-WRC23-C-0065!A27-A3!MSW-F</dc:title>
  <dc:subject>Conférence mondiale des radiocommunications - 2019</dc:subject>
  <dc:creator>Documents Proposals Manager (DPM)</dc:creator>
  <cp:keywords>DPM_v2023.8.1.1_prod</cp:keywords>
  <dc:description/>
  <cp:lastModifiedBy>French</cp:lastModifiedBy>
  <cp:revision>15</cp:revision>
  <cp:lastPrinted>2003-06-05T19:34:00Z</cp:lastPrinted>
  <dcterms:created xsi:type="dcterms:W3CDTF">2023-11-16T09:34:00Z</dcterms:created>
  <dcterms:modified xsi:type="dcterms:W3CDTF">2023-11-19T11:47:00Z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