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D41A8" w14:paraId="60D325C4" w14:textId="77777777" w:rsidTr="00F320AA">
        <w:trPr>
          <w:cantSplit/>
        </w:trPr>
        <w:tc>
          <w:tcPr>
            <w:tcW w:w="1418" w:type="dxa"/>
            <w:vAlign w:val="center"/>
          </w:tcPr>
          <w:p w14:paraId="3200F32D" w14:textId="77777777" w:rsidR="00F320AA" w:rsidRPr="009D41A8" w:rsidRDefault="00F320AA" w:rsidP="00F320AA">
            <w:pPr>
              <w:spacing w:before="0"/>
              <w:rPr>
                <w:rFonts w:ascii="Verdana" w:hAnsi="Verdana"/>
                <w:position w:val="6"/>
              </w:rPr>
            </w:pPr>
            <w:r w:rsidRPr="009D41A8">
              <w:drawing>
                <wp:inline distT="0" distB="0" distL="0" distR="0" wp14:anchorId="30042204" wp14:editId="2999BD0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97DE328" w14:textId="77777777" w:rsidR="00F320AA" w:rsidRPr="009D41A8" w:rsidRDefault="00F320AA" w:rsidP="00F320AA">
            <w:pPr>
              <w:spacing w:before="400" w:after="48" w:line="240" w:lineRule="atLeast"/>
              <w:rPr>
                <w:rFonts w:ascii="Verdana" w:hAnsi="Verdana"/>
                <w:position w:val="6"/>
              </w:rPr>
            </w:pPr>
            <w:r w:rsidRPr="009D41A8">
              <w:rPr>
                <w:rFonts w:ascii="Verdana" w:hAnsi="Verdana" w:cs="Times"/>
                <w:b/>
                <w:position w:val="6"/>
                <w:sz w:val="22"/>
                <w:szCs w:val="22"/>
              </w:rPr>
              <w:t>World Radiocommunication Conference (WRC-23)</w:t>
            </w:r>
            <w:r w:rsidRPr="009D41A8">
              <w:rPr>
                <w:rFonts w:ascii="Verdana" w:hAnsi="Verdana" w:cs="Times"/>
                <w:b/>
                <w:position w:val="6"/>
                <w:sz w:val="26"/>
                <w:szCs w:val="26"/>
              </w:rPr>
              <w:br/>
            </w:r>
            <w:r w:rsidRPr="009D41A8">
              <w:rPr>
                <w:rFonts w:ascii="Verdana" w:hAnsi="Verdana"/>
                <w:b/>
                <w:bCs/>
                <w:position w:val="6"/>
                <w:sz w:val="18"/>
                <w:szCs w:val="18"/>
              </w:rPr>
              <w:t>Dubai, 20 November - 15 December 2023</w:t>
            </w:r>
          </w:p>
        </w:tc>
        <w:tc>
          <w:tcPr>
            <w:tcW w:w="1951" w:type="dxa"/>
            <w:vAlign w:val="center"/>
          </w:tcPr>
          <w:p w14:paraId="1D805F42" w14:textId="77777777" w:rsidR="00F320AA" w:rsidRPr="009D41A8" w:rsidRDefault="00EB0812" w:rsidP="00F320AA">
            <w:pPr>
              <w:spacing w:before="0" w:line="240" w:lineRule="atLeast"/>
            </w:pPr>
            <w:r w:rsidRPr="009D41A8">
              <w:drawing>
                <wp:inline distT="0" distB="0" distL="0" distR="0" wp14:anchorId="09F5C3FC" wp14:editId="346C597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D41A8" w14:paraId="5696AE7C" w14:textId="77777777">
        <w:trPr>
          <w:cantSplit/>
        </w:trPr>
        <w:tc>
          <w:tcPr>
            <w:tcW w:w="6911" w:type="dxa"/>
            <w:gridSpan w:val="2"/>
            <w:tcBorders>
              <w:bottom w:val="single" w:sz="12" w:space="0" w:color="auto"/>
            </w:tcBorders>
          </w:tcPr>
          <w:p w14:paraId="1F5CB249" w14:textId="77777777" w:rsidR="00A066F1" w:rsidRPr="009D41A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2306B71" w14:textId="77777777" w:rsidR="00A066F1" w:rsidRPr="009D41A8" w:rsidRDefault="00A066F1" w:rsidP="00A066F1">
            <w:pPr>
              <w:spacing w:before="0" w:line="240" w:lineRule="atLeast"/>
              <w:rPr>
                <w:rFonts w:ascii="Verdana" w:hAnsi="Verdana"/>
                <w:szCs w:val="24"/>
              </w:rPr>
            </w:pPr>
          </w:p>
        </w:tc>
      </w:tr>
      <w:tr w:rsidR="00A066F1" w:rsidRPr="009D41A8" w14:paraId="6D7034F8" w14:textId="77777777">
        <w:trPr>
          <w:cantSplit/>
        </w:trPr>
        <w:tc>
          <w:tcPr>
            <w:tcW w:w="6911" w:type="dxa"/>
            <w:gridSpan w:val="2"/>
            <w:tcBorders>
              <w:top w:val="single" w:sz="12" w:space="0" w:color="auto"/>
            </w:tcBorders>
          </w:tcPr>
          <w:p w14:paraId="6DB09C1E" w14:textId="77777777" w:rsidR="00A066F1" w:rsidRPr="009D41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B621945" w14:textId="77777777" w:rsidR="00A066F1" w:rsidRPr="009D41A8" w:rsidRDefault="00A066F1" w:rsidP="00A066F1">
            <w:pPr>
              <w:spacing w:before="0" w:line="240" w:lineRule="atLeast"/>
              <w:rPr>
                <w:rFonts w:ascii="Verdana" w:hAnsi="Verdana"/>
                <w:sz w:val="20"/>
              </w:rPr>
            </w:pPr>
          </w:p>
        </w:tc>
      </w:tr>
      <w:tr w:rsidR="00A066F1" w:rsidRPr="009D41A8" w14:paraId="44D50B4E" w14:textId="77777777">
        <w:trPr>
          <w:cantSplit/>
          <w:trHeight w:val="23"/>
        </w:trPr>
        <w:tc>
          <w:tcPr>
            <w:tcW w:w="6911" w:type="dxa"/>
            <w:gridSpan w:val="2"/>
            <w:shd w:val="clear" w:color="auto" w:fill="auto"/>
          </w:tcPr>
          <w:p w14:paraId="04AD042F" w14:textId="77777777" w:rsidR="00A066F1" w:rsidRPr="009D41A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D41A8">
              <w:rPr>
                <w:rFonts w:ascii="Verdana" w:hAnsi="Verdana"/>
                <w:sz w:val="20"/>
                <w:szCs w:val="20"/>
              </w:rPr>
              <w:t>PLENARY MEETING</w:t>
            </w:r>
          </w:p>
        </w:tc>
        <w:tc>
          <w:tcPr>
            <w:tcW w:w="3120" w:type="dxa"/>
            <w:gridSpan w:val="2"/>
          </w:tcPr>
          <w:p w14:paraId="7C863CBD" w14:textId="77777777" w:rsidR="00A066F1" w:rsidRPr="009D41A8" w:rsidRDefault="00E55816" w:rsidP="00AA666F">
            <w:pPr>
              <w:tabs>
                <w:tab w:val="left" w:pos="851"/>
              </w:tabs>
              <w:spacing w:before="0" w:line="240" w:lineRule="atLeast"/>
              <w:rPr>
                <w:rFonts w:ascii="Verdana" w:hAnsi="Verdana"/>
                <w:sz w:val="20"/>
              </w:rPr>
            </w:pPr>
            <w:r w:rsidRPr="009D41A8">
              <w:rPr>
                <w:rFonts w:ascii="Verdana" w:hAnsi="Verdana"/>
                <w:b/>
                <w:sz w:val="20"/>
              </w:rPr>
              <w:t>Addendum 5 to</w:t>
            </w:r>
            <w:r w:rsidRPr="009D41A8">
              <w:rPr>
                <w:rFonts w:ascii="Verdana" w:hAnsi="Verdana"/>
                <w:b/>
                <w:sz w:val="20"/>
              </w:rPr>
              <w:br/>
              <w:t>Document 65(Add.25)</w:t>
            </w:r>
            <w:r w:rsidR="00A066F1" w:rsidRPr="009D41A8">
              <w:rPr>
                <w:rFonts w:ascii="Verdana" w:hAnsi="Verdana"/>
                <w:b/>
                <w:sz w:val="20"/>
              </w:rPr>
              <w:t>-</w:t>
            </w:r>
            <w:r w:rsidR="005E10C9" w:rsidRPr="009D41A8">
              <w:rPr>
                <w:rFonts w:ascii="Verdana" w:hAnsi="Verdana"/>
                <w:b/>
                <w:sz w:val="20"/>
              </w:rPr>
              <w:t>E</w:t>
            </w:r>
          </w:p>
        </w:tc>
      </w:tr>
      <w:tr w:rsidR="00A066F1" w:rsidRPr="009D41A8" w14:paraId="7A598CC6" w14:textId="77777777">
        <w:trPr>
          <w:cantSplit/>
          <w:trHeight w:val="23"/>
        </w:trPr>
        <w:tc>
          <w:tcPr>
            <w:tcW w:w="6911" w:type="dxa"/>
            <w:gridSpan w:val="2"/>
            <w:shd w:val="clear" w:color="auto" w:fill="auto"/>
          </w:tcPr>
          <w:p w14:paraId="3C1F97DD" w14:textId="77777777" w:rsidR="00A066F1" w:rsidRPr="009D41A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311BBAC" w14:textId="77777777" w:rsidR="00A066F1" w:rsidRPr="009D41A8" w:rsidRDefault="00420873" w:rsidP="00A066F1">
            <w:pPr>
              <w:tabs>
                <w:tab w:val="left" w:pos="993"/>
              </w:tabs>
              <w:spacing w:before="0"/>
              <w:rPr>
                <w:rFonts w:ascii="Verdana" w:hAnsi="Verdana"/>
                <w:sz w:val="20"/>
              </w:rPr>
            </w:pPr>
            <w:r w:rsidRPr="009D41A8">
              <w:rPr>
                <w:rFonts w:ascii="Verdana" w:hAnsi="Verdana"/>
                <w:b/>
                <w:sz w:val="20"/>
              </w:rPr>
              <w:t>31 October 2023</w:t>
            </w:r>
          </w:p>
        </w:tc>
      </w:tr>
      <w:tr w:rsidR="00A066F1" w:rsidRPr="009D41A8" w14:paraId="472C3954" w14:textId="77777777">
        <w:trPr>
          <w:cantSplit/>
          <w:trHeight w:val="23"/>
        </w:trPr>
        <w:tc>
          <w:tcPr>
            <w:tcW w:w="6911" w:type="dxa"/>
            <w:gridSpan w:val="2"/>
            <w:shd w:val="clear" w:color="auto" w:fill="auto"/>
          </w:tcPr>
          <w:p w14:paraId="587A7938" w14:textId="77777777" w:rsidR="00A066F1" w:rsidRPr="009D41A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D894BC2" w14:textId="77777777" w:rsidR="00A066F1" w:rsidRPr="009D41A8" w:rsidRDefault="00E55816" w:rsidP="00A066F1">
            <w:pPr>
              <w:tabs>
                <w:tab w:val="left" w:pos="993"/>
              </w:tabs>
              <w:spacing w:before="0"/>
              <w:rPr>
                <w:rFonts w:ascii="Verdana" w:hAnsi="Verdana"/>
                <w:b/>
                <w:sz w:val="20"/>
              </w:rPr>
            </w:pPr>
            <w:r w:rsidRPr="009D41A8">
              <w:rPr>
                <w:rFonts w:ascii="Verdana" w:hAnsi="Verdana"/>
                <w:b/>
                <w:sz w:val="20"/>
              </w:rPr>
              <w:t>Original: English</w:t>
            </w:r>
          </w:p>
        </w:tc>
      </w:tr>
      <w:tr w:rsidR="00A066F1" w:rsidRPr="009D41A8" w14:paraId="476175C4" w14:textId="77777777" w:rsidTr="00025864">
        <w:trPr>
          <w:cantSplit/>
          <w:trHeight w:val="23"/>
        </w:trPr>
        <w:tc>
          <w:tcPr>
            <w:tcW w:w="10031" w:type="dxa"/>
            <w:gridSpan w:val="4"/>
            <w:shd w:val="clear" w:color="auto" w:fill="auto"/>
          </w:tcPr>
          <w:p w14:paraId="06A01C11" w14:textId="77777777" w:rsidR="00A066F1" w:rsidRPr="009D41A8" w:rsidRDefault="00A066F1" w:rsidP="00A066F1">
            <w:pPr>
              <w:tabs>
                <w:tab w:val="left" w:pos="993"/>
              </w:tabs>
              <w:spacing w:before="0"/>
              <w:rPr>
                <w:rFonts w:ascii="Verdana" w:hAnsi="Verdana"/>
                <w:b/>
                <w:sz w:val="20"/>
              </w:rPr>
            </w:pPr>
          </w:p>
        </w:tc>
      </w:tr>
      <w:tr w:rsidR="00E55816" w:rsidRPr="009D41A8" w14:paraId="0987353D" w14:textId="77777777" w:rsidTr="00025864">
        <w:trPr>
          <w:cantSplit/>
          <w:trHeight w:val="23"/>
        </w:trPr>
        <w:tc>
          <w:tcPr>
            <w:tcW w:w="10031" w:type="dxa"/>
            <w:gridSpan w:val="4"/>
            <w:shd w:val="clear" w:color="auto" w:fill="auto"/>
          </w:tcPr>
          <w:p w14:paraId="00EFC5E3" w14:textId="77777777" w:rsidR="00E55816" w:rsidRPr="009D41A8" w:rsidRDefault="00884D60" w:rsidP="00E55816">
            <w:pPr>
              <w:pStyle w:val="Source"/>
            </w:pPr>
            <w:r w:rsidRPr="009D41A8">
              <w:t>European Common Proposals</w:t>
            </w:r>
          </w:p>
        </w:tc>
      </w:tr>
      <w:tr w:rsidR="00E55816" w:rsidRPr="009D41A8" w14:paraId="085F015B" w14:textId="77777777" w:rsidTr="00025864">
        <w:trPr>
          <w:cantSplit/>
          <w:trHeight w:val="23"/>
        </w:trPr>
        <w:tc>
          <w:tcPr>
            <w:tcW w:w="10031" w:type="dxa"/>
            <w:gridSpan w:val="4"/>
            <w:shd w:val="clear" w:color="auto" w:fill="auto"/>
          </w:tcPr>
          <w:p w14:paraId="2312193D" w14:textId="77777777" w:rsidR="00E55816" w:rsidRPr="009D41A8" w:rsidRDefault="007D5320" w:rsidP="00E55816">
            <w:pPr>
              <w:pStyle w:val="Title1"/>
            </w:pPr>
            <w:r w:rsidRPr="009D41A8">
              <w:t>PROPOSALS FOR THE WORK OF THE CONFERENCE</w:t>
            </w:r>
          </w:p>
        </w:tc>
      </w:tr>
      <w:tr w:rsidR="00E55816" w:rsidRPr="009D41A8" w14:paraId="54BB0E9F" w14:textId="77777777" w:rsidTr="00025864">
        <w:trPr>
          <w:cantSplit/>
          <w:trHeight w:val="23"/>
        </w:trPr>
        <w:tc>
          <w:tcPr>
            <w:tcW w:w="10031" w:type="dxa"/>
            <w:gridSpan w:val="4"/>
            <w:shd w:val="clear" w:color="auto" w:fill="auto"/>
          </w:tcPr>
          <w:p w14:paraId="3FC3C721" w14:textId="77777777" w:rsidR="00E55816" w:rsidRPr="009D41A8" w:rsidRDefault="00E55816" w:rsidP="00E55816">
            <w:pPr>
              <w:pStyle w:val="Title2"/>
            </w:pPr>
          </w:p>
        </w:tc>
      </w:tr>
      <w:tr w:rsidR="00A538A6" w:rsidRPr="009D41A8" w14:paraId="7DA0425C" w14:textId="77777777" w:rsidTr="00025864">
        <w:trPr>
          <w:cantSplit/>
          <w:trHeight w:val="23"/>
        </w:trPr>
        <w:tc>
          <w:tcPr>
            <w:tcW w:w="10031" w:type="dxa"/>
            <w:gridSpan w:val="4"/>
            <w:shd w:val="clear" w:color="auto" w:fill="auto"/>
          </w:tcPr>
          <w:p w14:paraId="272CD2D0" w14:textId="77777777" w:rsidR="00A538A6" w:rsidRPr="009D41A8" w:rsidRDefault="004B13CB" w:rsidP="004B13CB">
            <w:pPr>
              <w:pStyle w:val="Agendaitem"/>
              <w:rPr>
                <w:lang w:val="en-GB"/>
              </w:rPr>
            </w:pPr>
            <w:r w:rsidRPr="009D41A8">
              <w:rPr>
                <w:lang w:val="en-GB"/>
              </w:rPr>
              <w:t>Agenda item 9.2</w:t>
            </w:r>
          </w:p>
        </w:tc>
      </w:tr>
    </w:tbl>
    <w:bookmarkEnd w:id="5"/>
    <w:bookmarkEnd w:id="6"/>
    <w:p w14:paraId="081ECA99" w14:textId="77777777" w:rsidR="00187BD9" w:rsidRPr="009D41A8" w:rsidRDefault="00294468" w:rsidP="006965F8">
      <w:r w:rsidRPr="009D41A8">
        <w:t>9</w:t>
      </w:r>
      <w:r w:rsidRPr="009D41A8">
        <w:tab/>
        <w:t>to consider and approve the Report of the Director of the Radiocommunication Bureau, in accordance with Article 7 of the ITU Convention</w:t>
      </w:r>
      <w:r w:rsidRPr="009D41A8">
        <w:rPr>
          <w:bCs/>
        </w:rPr>
        <w:t>;</w:t>
      </w:r>
    </w:p>
    <w:p w14:paraId="204EF6C6" w14:textId="77777777" w:rsidR="00187BD9" w:rsidRPr="009D41A8" w:rsidRDefault="00294468" w:rsidP="00A115F1">
      <w:r w:rsidRPr="009D41A8">
        <w:t>9.2</w:t>
      </w:r>
      <w:r w:rsidRPr="009D41A8">
        <w:tab/>
        <w:t>on any difficulties or inconsistencies encountered in the application of the Radio Regulations;</w:t>
      </w:r>
      <w:r w:rsidRPr="009D41A8">
        <w:rPr>
          <w:rStyle w:val="FootnoteReference"/>
        </w:rPr>
        <w:footnoteReference w:customMarkFollows="1" w:id="1"/>
        <w:t>1</w:t>
      </w:r>
      <w:r w:rsidRPr="009D41A8">
        <w:t xml:space="preserve"> and</w:t>
      </w:r>
    </w:p>
    <w:p w14:paraId="392A4877" w14:textId="1B7575EE" w:rsidR="000E7AD3" w:rsidRPr="009D41A8" w:rsidRDefault="000E7AD3" w:rsidP="000E7AD3">
      <w:pPr>
        <w:pStyle w:val="Part1"/>
      </w:pPr>
      <w:r w:rsidRPr="009D41A8">
        <w:t xml:space="preserve">Part 5: Section 3.1.7.2 of Addendum 2 to the Report of the Director to WRC-23, </w:t>
      </w:r>
      <w:r w:rsidRPr="009D41A8">
        <w:br/>
        <w:t xml:space="preserve">Harmful Interference to RNSS </w:t>
      </w:r>
    </w:p>
    <w:p w14:paraId="105DBD55" w14:textId="3BEE4CF3" w:rsidR="00241FA2" w:rsidRPr="009D41A8" w:rsidRDefault="000E7AD3" w:rsidP="000E7AD3">
      <w:pPr>
        <w:pStyle w:val="Headingb"/>
        <w:rPr>
          <w:lang w:val="en-GB"/>
        </w:rPr>
      </w:pPr>
      <w:r w:rsidRPr="009D41A8">
        <w:rPr>
          <w:lang w:val="en-GB"/>
        </w:rPr>
        <w:t>Proposal</w:t>
      </w:r>
    </w:p>
    <w:p w14:paraId="77353094" w14:textId="77777777" w:rsidR="00187BD9" w:rsidRPr="009D41A8" w:rsidRDefault="00187BD9" w:rsidP="00187BD9">
      <w:pPr>
        <w:tabs>
          <w:tab w:val="clear" w:pos="1134"/>
          <w:tab w:val="clear" w:pos="1871"/>
          <w:tab w:val="clear" w:pos="2268"/>
        </w:tabs>
        <w:overflowPunct/>
        <w:autoSpaceDE/>
        <w:autoSpaceDN/>
        <w:adjustRightInd/>
        <w:spacing w:before="0"/>
        <w:textAlignment w:val="auto"/>
      </w:pPr>
      <w:r w:rsidRPr="009D41A8">
        <w:br w:type="page"/>
      </w:r>
    </w:p>
    <w:p w14:paraId="4E95A1A4" w14:textId="77777777" w:rsidR="005C3191" w:rsidRPr="009D41A8" w:rsidRDefault="00294468">
      <w:pPr>
        <w:pStyle w:val="Proposal"/>
      </w:pPr>
      <w:r w:rsidRPr="009D41A8">
        <w:lastRenderedPageBreak/>
        <w:t>ADD</w:t>
      </w:r>
      <w:r w:rsidRPr="009D41A8">
        <w:tab/>
        <w:t>EUR/65A25A5/1</w:t>
      </w:r>
    </w:p>
    <w:p w14:paraId="47437E71" w14:textId="667722B1" w:rsidR="0044011F" w:rsidRPr="009D41A8" w:rsidRDefault="0044011F" w:rsidP="0044011F">
      <w:pPr>
        <w:pStyle w:val="ResNo"/>
      </w:pPr>
      <w:r w:rsidRPr="009D41A8">
        <w:t>Draft New Resolution</w:t>
      </w:r>
      <w:r w:rsidR="00473299" w:rsidRPr="009D41A8">
        <w:t> </w:t>
      </w:r>
      <w:r w:rsidRPr="009D41A8">
        <w:t>[EUR-A25-RNSS-interference-prevention] (WRC</w:t>
      </w:r>
      <w:r w:rsidR="00473299" w:rsidRPr="009D41A8">
        <w:noBreakHyphen/>
      </w:r>
      <w:r w:rsidRPr="009D41A8">
        <w:t>23)</w:t>
      </w:r>
    </w:p>
    <w:p w14:paraId="03568707" w14:textId="12ECDA53" w:rsidR="0044011F" w:rsidRPr="009D41A8" w:rsidRDefault="0044011F" w:rsidP="0044011F">
      <w:pPr>
        <w:pStyle w:val="Restitle"/>
      </w:pPr>
      <w:r w:rsidRPr="009D41A8">
        <w:t>Prevention and mitigation of harmful interference to the radionavigation-satellite service in the frequency bands 1</w:t>
      </w:r>
      <w:r w:rsidR="00326FAB" w:rsidRPr="009D41A8">
        <w:t> </w:t>
      </w:r>
      <w:r w:rsidRPr="009D41A8">
        <w:t>164-1</w:t>
      </w:r>
      <w:r w:rsidR="00326FAB" w:rsidRPr="009D41A8">
        <w:t> </w:t>
      </w:r>
      <w:r w:rsidRPr="009D41A8">
        <w:t>215</w:t>
      </w:r>
      <w:r w:rsidR="00473299" w:rsidRPr="009D41A8">
        <w:t> </w:t>
      </w:r>
      <w:r w:rsidRPr="009D41A8">
        <w:t>MHz and 1</w:t>
      </w:r>
      <w:r w:rsidR="00326FAB" w:rsidRPr="009D41A8">
        <w:t> </w:t>
      </w:r>
      <w:r w:rsidRPr="009D41A8">
        <w:t>559-1</w:t>
      </w:r>
      <w:r w:rsidR="00326FAB" w:rsidRPr="009D41A8">
        <w:t> </w:t>
      </w:r>
      <w:r w:rsidRPr="009D41A8">
        <w:t>610</w:t>
      </w:r>
      <w:r w:rsidR="00473299" w:rsidRPr="009D41A8">
        <w:t> </w:t>
      </w:r>
      <w:r w:rsidRPr="009D41A8">
        <w:t>MHz</w:t>
      </w:r>
    </w:p>
    <w:p w14:paraId="2986C015" w14:textId="77777777" w:rsidR="0044011F" w:rsidRPr="009D41A8" w:rsidRDefault="0044011F" w:rsidP="0044011F">
      <w:pPr>
        <w:pStyle w:val="Normalaftertitle"/>
        <w:rPr>
          <w:lang w:eastAsia="zh-CN"/>
        </w:rPr>
      </w:pPr>
      <w:r w:rsidRPr="009D41A8">
        <w:rPr>
          <w:lang w:eastAsia="zh-CN"/>
        </w:rPr>
        <w:t>The World Radiocommunication Conference (Dubai, 2023),</w:t>
      </w:r>
    </w:p>
    <w:p w14:paraId="3183A35F" w14:textId="77777777" w:rsidR="0044011F" w:rsidRPr="009D41A8" w:rsidRDefault="0044011F" w:rsidP="005828DF">
      <w:pPr>
        <w:pStyle w:val="Call"/>
        <w:rPr>
          <w:rFonts w:eastAsia="TimesNewRoman,Italic"/>
        </w:rPr>
      </w:pPr>
      <w:r w:rsidRPr="009D41A8">
        <w:rPr>
          <w:rFonts w:eastAsia="TimesNewRoman,Italic"/>
          <w:lang w:eastAsia="zh-CN"/>
        </w:rPr>
        <w:t>considering</w:t>
      </w:r>
    </w:p>
    <w:p w14:paraId="221F40C4" w14:textId="32AB5B8B" w:rsidR="0044011F" w:rsidRPr="009D41A8" w:rsidRDefault="0044011F" w:rsidP="005828DF">
      <w:pPr>
        <w:rPr>
          <w:rFonts w:eastAsia="BatangChe"/>
        </w:rPr>
      </w:pPr>
      <w:r w:rsidRPr="009D41A8">
        <w:rPr>
          <w:i/>
          <w:iCs/>
        </w:rPr>
        <w:t>a)</w:t>
      </w:r>
      <w:r w:rsidRPr="009D41A8">
        <w:tab/>
      </w:r>
      <w:r w:rsidRPr="009D41A8">
        <w:rPr>
          <w:rFonts w:eastAsia="BatangChe"/>
        </w:rPr>
        <w:t xml:space="preserve">that </w:t>
      </w:r>
      <w:r w:rsidR="006D6AEC" w:rsidRPr="009D41A8">
        <w:rPr>
          <w:rFonts w:eastAsia="BatangChe"/>
        </w:rPr>
        <w:t xml:space="preserve">the </w:t>
      </w:r>
      <w:r w:rsidRPr="009D41A8">
        <w:rPr>
          <w:rFonts w:eastAsia="BatangChe"/>
        </w:rPr>
        <w:t>radionavigation-satellite service (RNSS) in the frequency bands 1</w:t>
      </w:r>
      <w:r w:rsidR="005828DF" w:rsidRPr="009D41A8">
        <w:rPr>
          <w:rFonts w:eastAsia="BatangChe"/>
        </w:rPr>
        <w:t> </w:t>
      </w:r>
      <w:r w:rsidRPr="009D41A8">
        <w:rPr>
          <w:rFonts w:eastAsia="BatangChe"/>
        </w:rPr>
        <w:t>164-1</w:t>
      </w:r>
      <w:r w:rsidR="005828DF" w:rsidRPr="009D41A8">
        <w:rPr>
          <w:rFonts w:eastAsia="BatangChe"/>
        </w:rPr>
        <w:t> </w:t>
      </w:r>
      <w:r w:rsidRPr="009D41A8">
        <w:rPr>
          <w:rFonts w:eastAsia="BatangChe"/>
        </w:rPr>
        <w:t>215</w:t>
      </w:r>
      <w:r w:rsidR="00473299" w:rsidRPr="009D41A8">
        <w:rPr>
          <w:rFonts w:eastAsia="BatangChe"/>
        </w:rPr>
        <w:t> </w:t>
      </w:r>
      <w:r w:rsidRPr="009D41A8">
        <w:rPr>
          <w:rFonts w:eastAsia="BatangChe"/>
        </w:rPr>
        <w:t>MHz and 1</w:t>
      </w:r>
      <w:r w:rsidR="005828DF" w:rsidRPr="009D41A8">
        <w:rPr>
          <w:rFonts w:eastAsia="BatangChe"/>
        </w:rPr>
        <w:t> </w:t>
      </w:r>
      <w:r w:rsidRPr="009D41A8">
        <w:rPr>
          <w:rFonts w:eastAsia="BatangChe"/>
        </w:rPr>
        <w:t>559-1</w:t>
      </w:r>
      <w:r w:rsidR="005828DF" w:rsidRPr="009D41A8">
        <w:rPr>
          <w:rFonts w:eastAsia="BatangChe"/>
        </w:rPr>
        <w:t> </w:t>
      </w:r>
      <w:r w:rsidRPr="009D41A8">
        <w:rPr>
          <w:rFonts w:eastAsia="BatangChe"/>
        </w:rPr>
        <w:t>610</w:t>
      </w:r>
      <w:r w:rsidR="00473299" w:rsidRPr="009D41A8">
        <w:rPr>
          <w:rFonts w:eastAsia="BatangChe"/>
        </w:rPr>
        <w:t> </w:t>
      </w:r>
      <w:r w:rsidRPr="009D41A8">
        <w:rPr>
          <w:rFonts w:eastAsia="BatangChe"/>
        </w:rPr>
        <w:t>MHz is used in several aeronautical communication, navigation and surveillance safety of life systems;</w:t>
      </w:r>
    </w:p>
    <w:p w14:paraId="24045D19" w14:textId="4CA389BE" w:rsidR="0044011F" w:rsidRPr="009D41A8" w:rsidRDefault="0044011F" w:rsidP="0044011F">
      <w:pPr>
        <w:rPr>
          <w:rFonts w:eastAsia="BatangChe"/>
        </w:rPr>
      </w:pPr>
      <w:r w:rsidRPr="009D41A8">
        <w:rPr>
          <w:rFonts w:eastAsia="BatangChe"/>
          <w:i/>
          <w:iCs/>
        </w:rPr>
        <w:t>b)</w:t>
      </w:r>
      <w:r w:rsidRPr="009D41A8">
        <w:rPr>
          <w:rFonts w:eastAsia="BatangChe"/>
        </w:rPr>
        <w:tab/>
        <w:t>that the frequency bands 1</w:t>
      </w:r>
      <w:r w:rsidR="005828DF" w:rsidRPr="009D41A8">
        <w:rPr>
          <w:rFonts w:eastAsia="BatangChe"/>
        </w:rPr>
        <w:t> </w:t>
      </w:r>
      <w:r w:rsidRPr="009D41A8">
        <w:rPr>
          <w:rFonts w:eastAsia="BatangChe"/>
        </w:rPr>
        <w:t>164-1</w:t>
      </w:r>
      <w:r w:rsidR="005828DF" w:rsidRPr="009D41A8">
        <w:rPr>
          <w:rFonts w:eastAsia="BatangChe"/>
        </w:rPr>
        <w:t> </w:t>
      </w:r>
      <w:r w:rsidRPr="009D41A8">
        <w:rPr>
          <w:rFonts w:eastAsia="BatangChe"/>
        </w:rPr>
        <w:t>215</w:t>
      </w:r>
      <w:r w:rsidR="00473299" w:rsidRPr="009D41A8">
        <w:rPr>
          <w:rFonts w:eastAsia="BatangChe"/>
        </w:rPr>
        <w:t> </w:t>
      </w:r>
      <w:r w:rsidRPr="009D41A8">
        <w:rPr>
          <w:rFonts w:eastAsia="BatangChe"/>
        </w:rPr>
        <w:t>MHz and 1</w:t>
      </w:r>
      <w:r w:rsidR="005828DF" w:rsidRPr="009D41A8">
        <w:rPr>
          <w:rFonts w:eastAsia="BatangChe"/>
        </w:rPr>
        <w:t> </w:t>
      </w:r>
      <w:r w:rsidRPr="009D41A8">
        <w:rPr>
          <w:rFonts w:eastAsia="BatangChe"/>
        </w:rPr>
        <w:t>559-1</w:t>
      </w:r>
      <w:r w:rsidR="005828DF" w:rsidRPr="009D41A8">
        <w:rPr>
          <w:rFonts w:eastAsia="BatangChe"/>
        </w:rPr>
        <w:t> </w:t>
      </w:r>
      <w:r w:rsidRPr="009D41A8">
        <w:rPr>
          <w:rFonts w:eastAsia="BatangChe"/>
        </w:rPr>
        <w:t>610</w:t>
      </w:r>
      <w:r w:rsidR="00473299" w:rsidRPr="009D41A8">
        <w:rPr>
          <w:rFonts w:eastAsia="BatangChe"/>
        </w:rPr>
        <w:t> </w:t>
      </w:r>
      <w:r w:rsidRPr="009D41A8">
        <w:rPr>
          <w:rFonts w:eastAsia="BatangChe"/>
        </w:rPr>
        <w:t>MHz are allocated to aeronautical radionavigation service and/or radionavigation-satellite service (space-to-</w:t>
      </w:r>
      <w:r w:rsidR="005828DF" w:rsidRPr="009D41A8">
        <w:rPr>
          <w:rFonts w:eastAsia="BatangChe"/>
        </w:rPr>
        <w:t xml:space="preserve">Earth </w:t>
      </w:r>
      <w:r w:rsidRPr="009D41A8">
        <w:rPr>
          <w:rFonts w:eastAsia="BatangChe"/>
        </w:rPr>
        <w:t>and space-to-space) on a primary basis;</w:t>
      </w:r>
    </w:p>
    <w:p w14:paraId="56743CE8" w14:textId="77777777" w:rsidR="0044011F" w:rsidRPr="009D41A8" w:rsidRDefault="0044011F" w:rsidP="0044011F">
      <w:r w:rsidRPr="009D41A8">
        <w:rPr>
          <w:i/>
          <w:iCs/>
        </w:rPr>
        <w:t>c)</w:t>
      </w:r>
      <w:r w:rsidRPr="009D41A8">
        <w:tab/>
        <w:t>that harmful interference to RNSS has potential consequences to safety systems used by aeronautical and maritime, and to the regularity and efficiency of civil aviation operations;</w:t>
      </w:r>
    </w:p>
    <w:p w14:paraId="44516C4B" w14:textId="77777777" w:rsidR="0044011F" w:rsidRPr="009D41A8" w:rsidRDefault="0044011F" w:rsidP="0044011F">
      <w:pPr>
        <w:rPr>
          <w:iCs/>
          <w:color w:val="000000"/>
        </w:rPr>
      </w:pPr>
      <w:r w:rsidRPr="009D41A8">
        <w:rPr>
          <w:i/>
          <w:iCs/>
        </w:rPr>
        <w:t>d)</w:t>
      </w:r>
      <w:r w:rsidRPr="009D41A8">
        <w:tab/>
        <w:t xml:space="preserve">that the International Civil Aviation Organization (ICAO) has taken an action to </w:t>
      </w:r>
      <w:r w:rsidRPr="009D41A8">
        <w:rPr>
          <w:iCs/>
          <w:color w:val="000000"/>
        </w:rPr>
        <w:t>reinforce resilience to interference of aeronautical positioning, navigation and timing (PNT) systems;</w:t>
      </w:r>
    </w:p>
    <w:p w14:paraId="02B45530" w14:textId="30940801" w:rsidR="0044011F" w:rsidRPr="009D41A8" w:rsidRDefault="0044011F" w:rsidP="0044011F">
      <w:pPr>
        <w:rPr>
          <w:rFonts w:eastAsia="BatangChe"/>
        </w:rPr>
      </w:pPr>
      <w:r w:rsidRPr="009D41A8">
        <w:rPr>
          <w:i/>
          <w:color w:val="000000"/>
        </w:rPr>
        <w:t>e)</w:t>
      </w:r>
      <w:r w:rsidRPr="009D41A8">
        <w:rPr>
          <w:iCs/>
          <w:color w:val="000000"/>
        </w:rPr>
        <w:tab/>
        <w:t>that ICAO has established a strategy to retain essential conventional PNT infrastructure for contingency support in case of RNSS outages, and developing mitigation techniques for loss of services (see ICAO Annex</w:t>
      </w:r>
      <w:r w:rsidR="00473299" w:rsidRPr="009D41A8">
        <w:rPr>
          <w:iCs/>
          <w:color w:val="000000"/>
        </w:rPr>
        <w:t> </w:t>
      </w:r>
      <w:r w:rsidRPr="009D41A8">
        <w:rPr>
          <w:iCs/>
          <w:color w:val="000000"/>
        </w:rPr>
        <w:t>10, Vol</w:t>
      </w:r>
      <w:r w:rsidR="00473299" w:rsidRPr="009D41A8">
        <w:rPr>
          <w:iCs/>
          <w:color w:val="000000"/>
        </w:rPr>
        <w:t>. </w:t>
      </w:r>
      <w:r w:rsidRPr="009D41A8">
        <w:rPr>
          <w:iCs/>
          <w:color w:val="000000"/>
        </w:rPr>
        <w:t>I, Att</w:t>
      </w:r>
      <w:r w:rsidR="00473299" w:rsidRPr="009D41A8">
        <w:rPr>
          <w:iCs/>
          <w:color w:val="000000"/>
        </w:rPr>
        <w:t>. </w:t>
      </w:r>
      <w:r w:rsidRPr="009D41A8">
        <w:rPr>
          <w:iCs/>
          <w:color w:val="000000"/>
        </w:rPr>
        <w:t xml:space="preserve">H); however, such infrastructure and mitigation techniques may not be available in some areas (for example, over the high seas), </w:t>
      </w:r>
    </w:p>
    <w:p w14:paraId="5B34C10B" w14:textId="77777777" w:rsidR="0044011F" w:rsidRPr="009D41A8" w:rsidRDefault="0044011F" w:rsidP="0044011F">
      <w:pPr>
        <w:pStyle w:val="Call"/>
        <w:rPr>
          <w:rFonts w:eastAsia="TimesNewRoman,Italic"/>
          <w:lang w:eastAsia="zh-CN"/>
        </w:rPr>
      </w:pPr>
      <w:r w:rsidRPr="009D41A8">
        <w:rPr>
          <w:rFonts w:eastAsia="TimesNewRoman,Italic"/>
          <w:lang w:eastAsia="zh-CN"/>
        </w:rPr>
        <w:t>recognizing</w:t>
      </w:r>
    </w:p>
    <w:p w14:paraId="11DE9C17" w14:textId="77777777" w:rsidR="0044011F" w:rsidRPr="009D41A8" w:rsidRDefault="0044011F" w:rsidP="0044011F">
      <w:pPr>
        <w:rPr>
          <w:rFonts w:eastAsia="BatangChe"/>
        </w:rPr>
      </w:pPr>
      <w:r w:rsidRPr="009D41A8">
        <w:rPr>
          <w:i/>
        </w:rPr>
        <w:t>a</w:t>
      </w:r>
      <w:r w:rsidRPr="009D41A8">
        <w:rPr>
          <w:i/>
          <w:iCs/>
        </w:rPr>
        <w:t>)</w:t>
      </w:r>
      <w:r w:rsidRPr="009D41A8">
        <w:tab/>
      </w:r>
      <w:r w:rsidRPr="009D41A8">
        <w:rPr>
          <w:rFonts w:eastAsia="BatangChe"/>
        </w:rPr>
        <w:t>that disruption to RNSS has been identified globally by the aeronautical community and the International Maritime Organization (IMO);</w:t>
      </w:r>
    </w:p>
    <w:p w14:paraId="2416E7B6" w14:textId="77777777" w:rsidR="0044011F" w:rsidRPr="009D41A8" w:rsidRDefault="0044011F" w:rsidP="0044011F">
      <w:pPr>
        <w:rPr>
          <w:szCs w:val="24"/>
        </w:rPr>
      </w:pPr>
      <w:r w:rsidRPr="009D41A8">
        <w:rPr>
          <w:i/>
        </w:rPr>
        <w:t>b)</w:t>
      </w:r>
      <w:r w:rsidRPr="009D41A8">
        <w:tab/>
        <w:t>that there are different types of activities, notably the use of illegal transmitters, which may cause the disruption</w:t>
      </w:r>
      <w:r w:rsidRPr="009D41A8">
        <w:rPr>
          <w:szCs w:val="24"/>
        </w:rPr>
        <w:t>;</w:t>
      </w:r>
    </w:p>
    <w:p w14:paraId="1DC4044A" w14:textId="1E6830C9" w:rsidR="0044011F" w:rsidRPr="009D41A8" w:rsidRDefault="0044011F" w:rsidP="0044011F">
      <w:r w:rsidRPr="009D41A8">
        <w:rPr>
          <w:i/>
          <w:iCs/>
        </w:rPr>
        <w:t>c)</w:t>
      </w:r>
      <w:r w:rsidRPr="009D41A8">
        <w:tab/>
        <w:t>that ICAO decided at its 40</w:t>
      </w:r>
      <w:r w:rsidRPr="009D41A8">
        <w:rPr>
          <w:vertAlign w:val="superscript"/>
        </w:rPr>
        <w:t>th</w:t>
      </w:r>
      <w:r w:rsidR="00473299" w:rsidRPr="009D41A8">
        <w:t> </w:t>
      </w:r>
      <w:r w:rsidRPr="009D41A8">
        <w:t>Assembly in October</w:t>
      </w:r>
      <w:r w:rsidR="00473299" w:rsidRPr="009D41A8">
        <w:t> </w:t>
      </w:r>
      <w:r w:rsidRPr="009D41A8">
        <w:t>2019 to take measures to prevent and avoid interference to RNSS;</w:t>
      </w:r>
    </w:p>
    <w:p w14:paraId="03E55631" w14:textId="70CFCB87" w:rsidR="0044011F" w:rsidRPr="009D41A8" w:rsidRDefault="0044011F" w:rsidP="0044011F">
      <w:r w:rsidRPr="009D41A8">
        <w:rPr>
          <w:i/>
        </w:rPr>
        <w:t>d)</w:t>
      </w:r>
      <w:r w:rsidRPr="009D41A8">
        <w:tab/>
        <w:t>Circular Letter</w:t>
      </w:r>
      <w:r w:rsidR="00473299" w:rsidRPr="009D41A8">
        <w:t> </w:t>
      </w:r>
      <w:r w:rsidRPr="009D41A8">
        <w:t>CR/488 of the Radiocommunication Bureau (BR);</w:t>
      </w:r>
    </w:p>
    <w:p w14:paraId="102837F9" w14:textId="5696CD22" w:rsidR="0044011F" w:rsidRPr="009D41A8" w:rsidRDefault="0044011F" w:rsidP="0044011F">
      <w:pPr>
        <w:rPr>
          <w:i/>
        </w:rPr>
      </w:pPr>
      <w:r w:rsidRPr="009D41A8">
        <w:rPr>
          <w:i/>
        </w:rPr>
        <w:t>e)</w:t>
      </w:r>
      <w:r w:rsidRPr="009D41A8">
        <w:rPr>
          <w:i/>
        </w:rPr>
        <w:tab/>
      </w:r>
      <w:r w:rsidRPr="009D41A8">
        <w:t>that Article</w:t>
      </w:r>
      <w:r w:rsidR="00473299" w:rsidRPr="009D41A8">
        <w:t> </w:t>
      </w:r>
      <w:r w:rsidRPr="009D41A8">
        <w:rPr>
          <w:bCs/>
        </w:rPr>
        <w:t>45</w:t>
      </w:r>
      <w:r w:rsidRPr="009D41A8">
        <w:t xml:space="preserve"> of the ITU Constitution states that “All stations, whatever their purpose, must be established and operated in such a manner as not to cause harmful interference to the radio services or communications of other Member States or of recognized operating agencies, or of other duly authorized operating agencies which carry on a radio service, and which operate in accordance with the provisions of the Radio Regulations”;</w:t>
      </w:r>
    </w:p>
    <w:p w14:paraId="71F7F856" w14:textId="5EEECC5A" w:rsidR="0044011F" w:rsidRPr="009D41A8" w:rsidRDefault="0044011F" w:rsidP="0044011F">
      <w:r w:rsidRPr="009D41A8">
        <w:rPr>
          <w:i/>
        </w:rPr>
        <w:t>f)</w:t>
      </w:r>
      <w:r w:rsidRPr="009D41A8">
        <w:tab/>
        <w:t>that No</w:t>
      </w:r>
      <w:r w:rsidR="002722F3" w:rsidRPr="009D41A8">
        <w:t>.</w:t>
      </w:r>
      <w:r w:rsidR="00473299" w:rsidRPr="009D41A8">
        <w:t> </w:t>
      </w:r>
      <w:r w:rsidRPr="009D41A8">
        <w:rPr>
          <w:rStyle w:val="Artref"/>
          <w:b/>
          <w:bCs/>
        </w:rPr>
        <w:t>4.10</w:t>
      </w:r>
      <w:r w:rsidRPr="009D41A8">
        <w:t xml:space="preserve"> states that “the safety aspects of radionavigation and other safety services require special measures to ensure their freedom from harmful interference”;</w:t>
      </w:r>
    </w:p>
    <w:p w14:paraId="50FEF3E0" w14:textId="67C73579" w:rsidR="0044011F" w:rsidRPr="009D41A8" w:rsidRDefault="0044011F" w:rsidP="0044011F">
      <w:r w:rsidRPr="009D41A8">
        <w:rPr>
          <w:i/>
        </w:rPr>
        <w:t>g)</w:t>
      </w:r>
      <w:r w:rsidRPr="009D41A8">
        <w:tab/>
        <w:t>that Article</w:t>
      </w:r>
      <w:r w:rsidR="00473299" w:rsidRPr="009D41A8">
        <w:t> </w:t>
      </w:r>
      <w:r w:rsidRPr="009D41A8">
        <w:rPr>
          <w:bCs/>
        </w:rPr>
        <w:t>48</w:t>
      </w:r>
      <w:r w:rsidRPr="009D41A8">
        <w:t xml:space="preserve"> of the ITU Constitution states that “Member States retain their entire freedom with regard to military radio installations”;</w:t>
      </w:r>
    </w:p>
    <w:p w14:paraId="5FDEC34C" w14:textId="303E8D15" w:rsidR="0044011F" w:rsidRPr="009D41A8" w:rsidRDefault="0044011F" w:rsidP="0044011F">
      <w:pPr>
        <w:rPr>
          <w:iCs/>
        </w:rPr>
      </w:pPr>
      <w:r w:rsidRPr="009D41A8">
        <w:rPr>
          <w:i/>
        </w:rPr>
        <w:lastRenderedPageBreak/>
        <w:t>h)</w:t>
      </w:r>
      <w:r w:rsidRPr="009D41A8">
        <w:rPr>
          <w:i/>
        </w:rPr>
        <w:tab/>
      </w:r>
      <w:r w:rsidRPr="009D41A8">
        <w:rPr>
          <w:iCs/>
        </w:rPr>
        <w:t>that</w:t>
      </w:r>
      <w:r w:rsidRPr="009D41A8">
        <w:t xml:space="preserve"> No.</w:t>
      </w:r>
      <w:r w:rsidR="00473299" w:rsidRPr="009D41A8">
        <w:t> </w:t>
      </w:r>
      <w:r w:rsidRPr="009D41A8">
        <w:rPr>
          <w:rStyle w:val="Artref"/>
          <w:b/>
          <w:bCs/>
        </w:rPr>
        <w:t>5.328A</w:t>
      </w:r>
      <w:r w:rsidRPr="009D41A8">
        <w:rPr>
          <w:b/>
        </w:rPr>
        <w:t xml:space="preserve"> </w:t>
      </w:r>
      <w:r w:rsidRPr="009D41A8">
        <w:t xml:space="preserve">states that </w:t>
      </w:r>
      <w:r w:rsidRPr="009D41A8">
        <w:rPr>
          <w:iCs/>
        </w:rPr>
        <w:t>“Stations in the radionavigation-satellite service in the band 1 164-1</w:t>
      </w:r>
      <w:r w:rsidR="003F2B7B" w:rsidRPr="009D41A8">
        <w:rPr>
          <w:iCs/>
        </w:rPr>
        <w:t> </w:t>
      </w:r>
      <w:r w:rsidRPr="009D41A8">
        <w:rPr>
          <w:iCs/>
        </w:rPr>
        <w:t>215</w:t>
      </w:r>
      <w:r w:rsidR="00473299" w:rsidRPr="009D41A8">
        <w:rPr>
          <w:iCs/>
        </w:rPr>
        <w:t> </w:t>
      </w:r>
      <w:r w:rsidRPr="009D41A8">
        <w:rPr>
          <w:iCs/>
        </w:rPr>
        <w:t>MHz … shall not claim protection from stations in the aeronautical radionavigation service in the band 960-1</w:t>
      </w:r>
      <w:r w:rsidR="003F2B7B" w:rsidRPr="009D41A8">
        <w:rPr>
          <w:iCs/>
        </w:rPr>
        <w:t> </w:t>
      </w:r>
      <w:r w:rsidRPr="009D41A8">
        <w:rPr>
          <w:iCs/>
        </w:rPr>
        <w:t>215</w:t>
      </w:r>
      <w:r w:rsidR="00473299" w:rsidRPr="009D41A8">
        <w:rPr>
          <w:iCs/>
        </w:rPr>
        <w:t> </w:t>
      </w:r>
      <w:r w:rsidRPr="009D41A8">
        <w:rPr>
          <w:iCs/>
        </w:rPr>
        <w:t>MHz”;</w:t>
      </w:r>
    </w:p>
    <w:p w14:paraId="7FF71C2A" w14:textId="0FE77D53" w:rsidR="0044011F" w:rsidRPr="009D41A8" w:rsidRDefault="0044011F" w:rsidP="0044011F">
      <w:r w:rsidRPr="009D41A8">
        <w:rPr>
          <w:i/>
        </w:rPr>
        <w:t>i)</w:t>
      </w:r>
      <w:r w:rsidRPr="009D41A8">
        <w:tab/>
        <w:t>that identification, reporting and handling of cases of harmful interference, are subject to the provisions of Article</w:t>
      </w:r>
      <w:r w:rsidR="00473299" w:rsidRPr="009D41A8">
        <w:t> </w:t>
      </w:r>
      <w:r w:rsidRPr="009D41A8">
        <w:rPr>
          <w:rStyle w:val="Artref"/>
          <w:b/>
          <w:bCs/>
        </w:rPr>
        <w:t>15</w:t>
      </w:r>
      <w:r w:rsidRPr="009D41A8">
        <w:t>,</w:t>
      </w:r>
    </w:p>
    <w:p w14:paraId="46006421" w14:textId="77777777" w:rsidR="0044011F" w:rsidRPr="009D41A8" w:rsidRDefault="0044011F" w:rsidP="0044011F">
      <w:pPr>
        <w:pStyle w:val="Call"/>
        <w:rPr>
          <w:rFonts w:eastAsia="MS Mincho"/>
        </w:rPr>
      </w:pPr>
      <w:r w:rsidRPr="009D41A8">
        <w:rPr>
          <w:rFonts w:eastAsia="MS Mincho"/>
        </w:rPr>
        <w:t>resolves to urge administrations</w:t>
      </w:r>
    </w:p>
    <w:p w14:paraId="180E1CFC" w14:textId="75B6BF7F" w:rsidR="0044011F" w:rsidRPr="009D41A8" w:rsidRDefault="0044011F" w:rsidP="0044011F">
      <w:pPr>
        <w:rPr>
          <w:rFonts w:eastAsia="MS Mincho"/>
        </w:rPr>
      </w:pPr>
      <w:r w:rsidRPr="009D41A8">
        <w:rPr>
          <w:rFonts w:eastAsia="MS Mincho"/>
        </w:rPr>
        <w:t>1</w:t>
      </w:r>
      <w:r w:rsidRPr="009D41A8">
        <w:rPr>
          <w:rFonts w:eastAsia="MS Mincho"/>
        </w:rPr>
        <w:tab/>
        <w:t>to apply necessary measures at national level to avoid the commerciali</w:t>
      </w:r>
      <w:r w:rsidR="00473299" w:rsidRPr="009D41A8">
        <w:rPr>
          <w:rFonts w:eastAsia="MS Mincho"/>
        </w:rPr>
        <w:t>z</w:t>
      </w:r>
      <w:r w:rsidRPr="009D41A8">
        <w:rPr>
          <w:rFonts w:eastAsia="MS Mincho"/>
        </w:rPr>
        <w:t>ation, proliferation and use of illegal transmitters;</w:t>
      </w:r>
    </w:p>
    <w:p w14:paraId="707A9E99" w14:textId="100133A1" w:rsidR="0044011F" w:rsidRPr="009D41A8" w:rsidRDefault="0044011F" w:rsidP="0044011F">
      <w:pPr>
        <w:rPr>
          <w:iCs/>
          <w:color w:val="000000"/>
        </w:rPr>
      </w:pPr>
      <w:r w:rsidRPr="009D41A8">
        <w:rPr>
          <w:rFonts w:eastAsia="SimSun"/>
          <w:lang w:eastAsia="zh-CN"/>
        </w:rPr>
        <w:t>2</w:t>
      </w:r>
      <w:r w:rsidRPr="009D41A8">
        <w:rPr>
          <w:rFonts w:eastAsia="SimSun"/>
          <w:lang w:eastAsia="zh-CN"/>
        </w:rPr>
        <w:tab/>
      </w:r>
      <w:r w:rsidRPr="009D41A8">
        <w:rPr>
          <w:iCs/>
          <w:color w:val="000000"/>
        </w:rPr>
        <w:t xml:space="preserve">to take the following actions to prevent and mitigate harmful interference affecting RNSS operating in the frequency bands </w:t>
      </w:r>
      <w:r w:rsidRPr="009D41A8">
        <w:rPr>
          <w:rFonts w:eastAsia="BatangChe"/>
        </w:rPr>
        <w:t>1</w:t>
      </w:r>
      <w:r w:rsidR="003F2B7B" w:rsidRPr="009D41A8">
        <w:rPr>
          <w:rFonts w:eastAsia="BatangChe"/>
        </w:rPr>
        <w:t> </w:t>
      </w:r>
      <w:r w:rsidRPr="009D41A8">
        <w:rPr>
          <w:rFonts w:eastAsia="BatangChe"/>
        </w:rPr>
        <w:t>164-1</w:t>
      </w:r>
      <w:r w:rsidR="003F2B7B" w:rsidRPr="009D41A8">
        <w:rPr>
          <w:rFonts w:eastAsia="BatangChe"/>
        </w:rPr>
        <w:t> </w:t>
      </w:r>
      <w:r w:rsidRPr="009D41A8">
        <w:rPr>
          <w:rFonts w:eastAsia="BatangChe"/>
        </w:rPr>
        <w:t>215</w:t>
      </w:r>
      <w:r w:rsidR="00473299" w:rsidRPr="009D41A8">
        <w:rPr>
          <w:rFonts w:eastAsia="BatangChe"/>
        </w:rPr>
        <w:t> </w:t>
      </w:r>
      <w:r w:rsidRPr="009D41A8">
        <w:rPr>
          <w:rFonts w:eastAsia="BatangChe"/>
        </w:rPr>
        <w:t>MHz and</w:t>
      </w:r>
      <w:r w:rsidRPr="009D41A8">
        <w:rPr>
          <w:iCs/>
          <w:color w:val="000000"/>
        </w:rPr>
        <w:t xml:space="preserve"> 1 559-1 610</w:t>
      </w:r>
      <w:r w:rsidR="00473299" w:rsidRPr="009D41A8">
        <w:rPr>
          <w:iCs/>
          <w:color w:val="000000"/>
        </w:rPr>
        <w:t> </w:t>
      </w:r>
      <w:r w:rsidRPr="009D41A8">
        <w:rPr>
          <w:iCs/>
          <w:color w:val="000000"/>
        </w:rPr>
        <w:t>MHz without prejudice of the right of administrations to deny access to RNSS, for security or defence purposes:</w:t>
      </w:r>
    </w:p>
    <w:p w14:paraId="2B23567C" w14:textId="77777777" w:rsidR="0044011F" w:rsidRPr="009D41A8" w:rsidRDefault="0044011F" w:rsidP="003F2B7B">
      <w:pPr>
        <w:pStyle w:val="enumlev1"/>
      </w:pPr>
      <w:r w:rsidRPr="009D41A8">
        <w:rPr>
          <w:i/>
          <w:iCs/>
        </w:rPr>
        <w:t>a)</w:t>
      </w:r>
      <w:r w:rsidRPr="009D41A8">
        <w:tab/>
        <w:t>to encourage collaboration between national spectrum regulators, enforcement authorities, and RNSS stakeholders in the aeronautical and maritime domains;</w:t>
      </w:r>
    </w:p>
    <w:p w14:paraId="05B9931D" w14:textId="77777777" w:rsidR="0044011F" w:rsidRPr="009D41A8" w:rsidRDefault="0044011F" w:rsidP="003F2B7B">
      <w:pPr>
        <w:pStyle w:val="enumlev1"/>
      </w:pPr>
      <w:r w:rsidRPr="009D41A8">
        <w:rPr>
          <w:i/>
          <w:iCs/>
        </w:rPr>
        <w:t>b)</w:t>
      </w:r>
      <w:r w:rsidRPr="009D41A8">
        <w:tab/>
        <w:t>to reinforce coordination between aeronautical, maritime and national security authorities</w:t>
      </w:r>
      <w:r w:rsidRPr="009D41A8" w:rsidDel="005D52A4">
        <w:t xml:space="preserve"> </w:t>
      </w:r>
      <w:r w:rsidRPr="009D41A8">
        <w:t>to address interference risks to RNSS systems that may stem from the activities of these national security authorities;</w:t>
      </w:r>
    </w:p>
    <w:p w14:paraId="3B4D7EA0" w14:textId="72DAE09A" w:rsidR="0044011F" w:rsidRPr="009D41A8" w:rsidRDefault="0044011F" w:rsidP="0044011F">
      <w:r w:rsidRPr="009D41A8">
        <w:t>3</w:t>
      </w:r>
      <w:r w:rsidRPr="009D41A8">
        <w:tab/>
        <w:t>to report cases, as the affected administration deems appropriate, of harmful interference to RNSS in accordance with Article</w:t>
      </w:r>
      <w:r w:rsidR="00473299" w:rsidRPr="009D41A8">
        <w:t> </w:t>
      </w:r>
      <w:r w:rsidRPr="009D41A8">
        <w:rPr>
          <w:rStyle w:val="Artref"/>
          <w:b/>
          <w:bCs/>
        </w:rPr>
        <w:t>15</w:t>
      </w:r>
      <w:r w:rsidRPr="009D41A8">
        <w:t>,</w:t>
      </w:r>
    </w:p>
    <w:p w14:paraId="26FF97B8" w14:textId="77777777" w:rsidR="0044011F" w:rsidRPr="009D41A8" w:rsidRDefault="0044011F" w:rsidP="0044011F">
      <w:pPr>
        <w:pStyle w:val="Call"/>
        <w:rPr>
          <w:rFonts w:eastAsia="MS Mincho"/>
        </w:rPr>
      </w:pPr>
      <w:r w:rsidRPr="009D41A8">
        <w:rPr>
          <w:rFonts w:eastAsia="MS Mincho"/>
        </w:rPr>
        <w:t>instructs the Secretary-General</w:t>
      </w:r>
    </w:p>
    <w:p w14:paraId="366C2E48" w14:textId="77777777" w:rsidR="0044011F" w:rsidRPr="009D41A8" w:rsidRDefault="0044011F" w:rsidP="0044011F">
      <w:r w:rsidRPr="009D41A8">
        <w:t>to bring this Resolution to the attention of ICAO and IMO.</w:t>
      </w:r>
    </w:p>
    <w:p w14:paraId="3AD2473F" w14:textId="77777777" w:rsidR="005C3191" w:rsidRPr="009D41A8" w:rsidRDefault="005C3191">
      <w:pPr>
        <w:pStyle w:val="Reasons"/>
      </w:pPr>
    </w:p>
    <w:p w14:paraId="5A07A79B" w14:textId="079C2A5B" w:rsidR="00EA52A4" w:rsidRPr="00473299" w:rsidRDefault="00EA52A4" w:rsidP="00EA52A4">
      <w:pPr>
        <w:jc w:val="center"/>
        <w:rPr>
          <w:lang w:val="en-US"/>
        </w:rPr>
      </w:pPr>
      <w:r w:rsidRPr="009D41A8">
        <w:t>_____________</w:t>
      </w:r>
    </w:p>
    <w:sectPr w:rsidR="00EA52A4" w:rsidRPr="00473299"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2CB4" w14:textId="77777777" w:rsidR="00C779DE" w:rsidRDefault="00C779DE">
      <w:r>
        <w:separator/>
      </w:r>
    </w:p>
  </w:endnote>
  <w:endnote w:type="continuationSeparator" w:id="0">
    <w:p w14:paraId="78B9B5D2" w14:textId="77777777" w:rsidR="00C779DE" w:rsidRDefault="00C7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DA46" w14:textId="77777777" w:rsidR="00E45D05" w:rsidRDefault="00E45D05">
    <w:pPr>
      <w:framePr w:wrap="around" w:vAnchor="text" w:hAnchor="margin" w:xAlign="right" w:y="1"/>
    </w:pPr>
    <w:r>
      <w:fldChar w:fldCharType="begin"/>
    </w:r>
    <w:r>
      <w:instrText xml:space="preserve">PAGE  </w:instrText>
    </w:r>
    <w:r>
      <w:fldChar w:fldCharType="end"/>
    </w:r>
  </w:p>
  <w:p w14:paraId="06F29230" w14:textId="029B97B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A52A4">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7E09" w14:textId="4532FE82" w:rsidR="00E45D05" w:rsidRDefault="00E45D05" w:rsidP="009B1EA1">
    <w:pPr>
      <w:pStyle w:val="Footer"/>
    </w:pPr>
    <w:r>
      <w:fldChar w:fldCharType="begin"/>
    </w:r>
    <w:r w:rsidRPr="0041348E">
      <w:rPr>
        <w:lang w:val="en-US"/>
      </w:rPr>
      <w:instrText xml:space="preserve"> FILENAME \p  \* MERGEFORMAT </w:instrText>
    </w:r>
    <w:r>
      <w:fldChar w:fldCharType="separate"/>
    </w:r>
    <w:r w:rsidR="00473299">
      <w:rPr>
        <w:lang w:val="en-US"/>
      </w:rPr>
      <w:t>P:\ENG\ITU-R\CONF-R\CMR23\000\065ADD25ADD05E.docx</w:t>
    </w:r>
    <w:r>
      <w:fldChar w:fldCharType="end"/>
    </w:r>
    <w:r w:rsidR="00473299">
      <w:t xml:space="preserve"> (530583)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B34F" w14:textId="3F1E2B4C" w:rsidR="00473299" w:rsidRDefault="00473299">
    <w:pPr>
      <w:pStyle w:val="Footer"/>
    </w:pPr>
    <w:r>
      <w:fldChar w:fldCharType="begin"/>
    </w:r>
    <w:r w:rsidRPr="0041348E">
      <w:rPr>
        <w:lang w:val="en-US"/>
      </w:rPr>
      <w:instrText xml:space="preserve"> FILENAME \p  \* MERGEFORMAT </w:instrText>
    </w:r>
    <w:r>
      <w:fldChar w:fldCharType="separate"/>
    </w:r>
    <w:r>
      <w:rPr>
        <w:lang w:val="en-US"/>
      </w:rPr>
      <w:t>P:\ENG\ITU-R\CONF-R\CMR23\000\065ADD25ADD05E.docx</w:t>
    </w:r>
    <w:r>
      <w:fldChar w:fldCharType="end"/>
    </w:r>
    <w:r>
      <w:t xml:space="preserve"> (530583)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6CF8" w14:textId="77777777" w:rsidR="00C779DE" w:rsidRDefault="00C779DE">
      <w:r>
        <w:rPr>
          <w:b/>
        </w:rPr>
        <w:t>_______________</w:t>
      </w:r>
    </w:p>
  </w:footnote>
  <w:footnote w:type="continuationSeparator" w:id="0">
    <w:p w14:paraId="48793280" w14:textId="77777777" w:rsidR="00C779DE" w:rsidRDefault="00C779DE">
      <w:r>
        <w:continuationSeparator/>
      </w:r>
    </w:p>
  </w:footnote>
  <w:footnote w:id="1">
    <w:p w14:paraId="6222CFC0" w14:textId="77777777" w:rsidR="00300032" w:rsidRDefault="00294468"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2F3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CA405C2"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65(Add.25)(Add.5)</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9671323">
    <w:abstractNumId w:val="0"/>
  </w:num>
  <w:num w:numId="2" w16cid:durableId="9401458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0632"/>
    <w:rsid w:val="000D154B"/>
    <w:rsid w:val="000D2DAF"/>
    <w:rsid w:val="000E463E"/>
    <w:rsid w:val="000E7AD3"/>
    <w:rsid w:val="000F73FF"/>
    <w:rsid w:val="00114CF7"/>
    <w:rsid w:val="00116C7A"/>
    <w:rsid w:val="00123B68"/>
    <w:rsid w:val="00126F2E"/>
    <w:rsid w:val="00146F6F"/>
    <w:rsid w:val="00161F26"/>
    <w:rsid w:val="00184641"/>
    <w:rsid w:val="00187BD9"/>
    <w:rsid w:val="00190B55"/>
    <w:rsid w:val="001C3B5F"/>
    <w:rsid w:val="001D058F"/>
    <w:rsid w:val="002009EA"/>
    <w:rsid w:val="00202756"/>
    <w:rsid w:val="00202CA0"/>
    <w:rsid w:val="00216B6D"/>
    <w:rsid w:val="0022757F"/>
    <w:rsid w:val="00241FA2"/>
    <w:rsid w:val="00271316"/>
    <w:rsid w:val="002722F3"/>
    <w:rsid w:val="00294468"/>
    <w:rsid w:val="002B349C"/>
    <w:rsid w:val="002D58BE"/>
    <w:rsid w:val="002F4747"/>
    <w:rsid w:val="00300032"/>
    <w:rsid w:val="00302605"/>
    <w:rsid w:val="00326FAB"/>
    <w:rsid w:val="00361B37"/>
    <w:rsid w:val="00377BD3"/>
    <w:rsid w:val="00384088"/>
    <w:rsid w:val="003852CE"/>
    <w:rsid w:val="0039169B"/>
    <w:rsid w:val="003A7F8C"/>
    <w:rsid w:val="003B2284"/>
    <w:rsid w:val="003B532E"/>
    <w:rsid w:val="003D0F8B"/>
    <w:rsid w:val="003E0DB6"/>
    <w:rsid w:val="003F2B7B"/>
    <w:rsid w:val="0041348E"/>
    <w:rsid w:val="00420873"/>
    <w:rsid w:val="0044011F"/>
    <w:rsid w:val="00473299"/>
    <w:rsid w:val="00492075"/>
    <w:rsid w:val="004969AD"/>
    <w:rsid w:val="004A26C4"/>
    <w:rsid w:val="004B13CB"/>
    <w:rsid w:val="004D26EA"/>
    <w:rsid w:val="004D2BFB"/>
    <w:rsid w:val="004D5D5C"/>
    <w:rsid w:val="004F3DC0"/>
    <w:rsid w:val="0050139F"/>
    <w:rsid w:val="0055140B"/>
    <w:rsid w:val="005828DF"/>
    <w:rsid w:val="005861D7"/>
    <w:rsid w:val="005964AB"/>
    <w:rsid w:val="005C099A"/>
    <w:rsid w:val="005C3191"/>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6AEC"/>
    <w:rsid w:val="006D70B0"/>
    <w:rsid w:val="006E3D45"/>
    <w:rsid w:val="0070607A"/>
    <w:rsid w:val="007149F9"/>
    <w:rsid w:val="00733A30"/>
    <w:rsid w:val="00745AEE"/>
    <w:rsid w:val="00750F10"/>
    <w:rsid w:val="007631F9"/>
    <w:rsid w:val="007742CA"/>
    <w:rsid w:val="0077531A"/>
    <w:rsid w:val="00790D70"/>
    <w:rsid w:val="007A6F1F"/>
    <w:rsid w:val="007D5320"/>
    <w:rsid w:val="00800972"/>
    <w:rsid w:val="00804475"/>
    <w:rsid w:val="00811633"/>
    <w:rsid w:val="00814037"/>
    <w:rsid w:val="00841216"/>
    <w:rsid w:val="00842AF0"/>
    <w:rsid w:val="0086171E"/>
    <w:rsid w:val="00872FC8"/>
    <w:rsid w:val="00882262"/>
    <w:rsid w:val="008845D0"/>
    <w:rsid w:val="00884D60"/>
    <w:rsid w:val="00896E56"/>
    <w:rsid w:val="008B43F2"/>
    <w:rsid w:val="008B6CFF"/>
    <w:rsid w:val="009274B4"/>
    <w:rsid w:val="00934EA2"/>
    <w:rsid w:val="00944A5C"/>
    <w:rsid w:val="00952A66"/>
    <w:rsid w:val="009B1EA1"/>
    <w:rsid w:val="009B7C9A"/>
    <w:rsid w:val="009C56E5"/>
    <w:rsid w:val="009C7716"/>
    <w:rsid w:val="009D41A8"/>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779DE"/>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52A4"/>
    <w:rsid w:val="00EB0812"/>
    <w:rsid w:val="00EB54B2"/>
    <w:rsid w:val="00EB55C6"/>
    <w:rsid w:val="00EE4CC8"/>
    <w:rsid w:val="00EF1932"/>
    <w:rsid w:val="00EF71B6"/>
    <w:rsid w:val="00F02766"/>
    <w:rsid w:val="00F05BD4"/>
    <w:rsid w:val="00F06473"/>
    <w:rsid w:val="00F17832"/>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122D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44011F"/>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locked/>
    <w:rsid w:val="0044011F"/>
    <w:rPr>
      <w:rFonts w:ascii="Times New Roman" w:hAnsi="Times New Roman"/>
      <w:sz w:val="24"/>
      <w:lang w:val="en-GB" w:eastAsia="en-US"/>
    </w:rPr>
  </w:style>
  <w:style w:type="paragraph" w:styleId="Revision">
    <w:name w:val="Revision"/>
    <w:hidden/>
    <w:uiPriority w:val="99"/>
    <w:semiHidden/>
    <w:rsid w:val="006D6A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R23-WRC23-C-0065!A25-A5!MSW-E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EC24B-E90A-42C1-A47E-966C96E7E6AE}">
  <ds:schemaRefs>
    <ds:schemaRef ds:uri="http://schemas.openxmlformats.org/officeDocument/2006/bibliography"/>
  </ds:schemaRefs>
</ds:datastoreItem>
</file>

<file path=customXml/itemProps2.xml><?xml version="1.0" encoding="utf-8"?>
<ds:datastoreItem xmlns:ds="http://schemas.openxmlformats.org/officeDocument/2006/customXml" ds:itemID="{3382D265-B401-4761-B785-7DA29ED48FDA}">
  <ds:schemaRefs>
    <ds:schemaRef ds:uri="http://schemas.microsoft.com/sharepoint/events"/>
  </ds:schemaRefs>
</ds:datastoreItem>
</file>

<file path=customXml/itemProps3.xml><?xml version="1.0" encoding="utf-8"?>
<ds:datastoreItem xmlns:ds="http://schemas.openxmlformats.org/officeDocument/2006/customXml" ds:itemID="{2D542370-164F-4444-BAC1-6628721610AB}">
  <ds:schemaRefs>
    <ds:schemaRef ds:uri="http://schemas.microsoft.com/office/2006/documentManagement/types"/>
    <ds:schemaRef ds:uri="b9f87034-1e33-420b-8ff9-da24a529006f"/>
    <ds:schemaRef ds:uri="http://schemas.openxmlformats.org/package/2006/metadata/core-properties"/>
    <ds:schemaRef ds:uri="76b7d054-b29f-418b-b414-6b742f999448"/>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5B9D798E-6AEE-426A-BCEE-21211BDBA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56DDC7-61D3-4749-BF71-7286BA8FA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692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R23-WRC23-C-0065!A25-A5!MSW-E</vt:lpstr>
    </vt:vector>
  </TitlesOfParts>
  <Manager>General Secretariat - Pool</Manager>
  <Company>International Telecommunication Union (ITU)</Company>
  <LinksUpToDate>false</LinksUpToDate>
  <CharactersWithSpaces>4691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R23-WRC23-C-0065!A25-A5!MSW-E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2023-11-06T10:07:00Z</dcterms:created>
  <dcterms:modified xsi:type="dcterms:W3CDTF">2023-11-07T13:51:00Z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