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860D4" w14:paraId="7258C739" w14:textId="77777777" w:rsidTr="00F320AA">
        <w:trPr>
          <w:cantSplit/>
        </w:trPr>
        <w:tc>
          <w:tcPr>
            <w:tcW w:w="1418" w:type="dxa"/>
            <w:vAlign w:val="center"/>
          </w:tcPr>
          <w:p w14:paraId="7F4F118A" w14:textId="77777777" w:rsidR="00F320AA" w:rsidRPr="004860D4" w:rsidRDefault="00F320AA" w:rsidP="00F320AA">
            <w:pPr>
              <w:spacing w:before="0"/>
              <w:rPr>
                <w:rFonts w:ascii="Verdana" w:hAnsi="Verdana"/>
                <w:position w:val="6"/>
              </w:rPr>
            </w:pPr>
            <w:r w:rsidRPr="004860D4">
              <w:drawing>
                <wp:inline distT="0" distB="0" distL="0" distR="0" wp14:anchorId="61B438B3" wp14:editId="59F022D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760D8B7" w14:textId="77777777" w:rsidR="00F320AA" w:rsidRPr="004860D4" w:rsidRDefault="00F320AA" w:rsidP="00F320AA">
            <w:pPr>
              <w:spacing w:before="400" w:after="48" w:line="240" w:lineRule="atLeast"/>
              <w:rPr>
                <w:rFonts w:ascii="Verdana" w:hAnsi="Verdana"/>
                <w:position w:val="6"/>
              </w:rPr>
            </w:pPr>
            <w:r w:rsidRPr="004860D4">
              <w:rPr>
                <w:rFonts w:ascii="Verdana" w:hAnsi="Verdana" w:cs="Times"/>
                <w:b/>
                <w:position w:val="6"/>
                <w:sz w:val="22"/>
                <w:szCs w:val="22"/>
              </w:rPr>
              <w:t>World Radiocommunication Conference (WRC-23)</w:t>
            </w:r>
            <w:r w:rsidRPr="004860D4">
              <w:rPr>
                <w:rFonts w:ascii="Verdana" w:hAnsi="Verdana" w:cs="Times"/>
                <w:b/>
                <w:position w:val="6"/>
                <w:sz w:val="26"/>
                <w:szCs w:val="26"/>
              </w:rPr>
              <w:br/>
            </w:r>
            <w:r w:rsidRPr="004860D4">
              <w:rPr>
                <w:rFonts w:ascii="Verdana" w:hAnsi="Verdana"/>
                <w:b/>
                <w:bCs/>
                <w:position w:val="6"/>
                <w:sz w:val="18"/>
                <w:szCs w:val="18"/>
              </w:rPr>
              <w:t>Dubai, 20 November - 15 December 2023</w:t>
            </w:r>
          </w:p>
        </w:tc>
        <w:tc>
          <w:tcPr>
            <w:tcW w:w="1951" w:type="dxa"/>
            <w:vAlign w:val="center"/>
          </w:tcPr>
          <w:p w14:paraId="7966A870" w14:textId="77777777" w:rsidR="00F320AA" w:rsidRPr="004860D4" w:rsidRDefault="00EB0812" w:rsidP="00F320AA">
            <w:pPr>
              <w:spacing w:before="0" w:line="240" w:lineRule="atLeast"/>
            </w:pPr>
            <w:r w:rsidRPr="004860D4">
              <w:drawing>
                <wp:inline distT="0" distB="0" distL="0" distR="0" wp14:anchorId="6C755696" wp14:editId="6C87B97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860D4" w14:paraId="0422B98D" w14:textId="77777777">
        <w:trPr>
          <w:cantSplit/>
        </w:trPr>
        <w:tc>
          <w:tcPr>
            <w:tcW w:w="6911" w:type="dxa"/>
            <w:gridSpan w:val="2"/>
            <w:tcBorders>
              <w:bottom w:val="single" w:sz="12" w:space="0" w:color="auto"/>
            </w:tcBorders>
          </w:tcPr>
          <w:p w14:paraId="52DFBD55" w14:textId="77777777" w:rsidR="00A066F1" w:rsidRPr="004860D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C6F47CF" w14:textId="77777777" w:rsidR="00A066F1" w:rsidRPr="004860D4" w:rsidRDefault="00A066F1" w:rsidP="00A066F1">
            <w:pPr>
              <w:spacing w:before="0" w:line="240" w:lineRule="atLeast"/>
              <w:rPr>
                <w:rFonts w:ascii="Verdana" w:hAnsi="Verdana"/>
                <w:szCs w:val="24"/>
              </w:rPr>
            </w:pPr>
          </w:p>
        </w:tc>
      </w:tr>
      <w:tr w:rsidR="00A066F1" w:rsidRPr="004860D4" w14:paraId="25320B8D" w14:textId="77777777">
        <w:trPr>
          <w:cantSplit/>
        </w:trPr>
        <w:tc>
          <w:tcPr>
            <w:tcW w:w="6911" w:type="dxa"/>
            <w:gridSpan w:val="2"/>
            <w:tcBorders>
              <w:top w:val="single" w:sz="12" w:space="0" w:color="auto"/>
            </w:tcBorders>
          </w:tcPr>
          <w:p w14:paraId="433518AF" w14:textId="77777777" w:rsidR="00A066F1" w:rsidRPr="004860D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700CFD5" w14:textId="77777777" w:rsidR="00A066F1" w:rsidRPr="004860D4" w:rsidRDefault="00A066F1" w:rsidP="00A066F1">
            <w:pPr>
              <w:spacing w:before="0" w:line="240" w:lineRule="atLeast"/>
              <w:rPr>
                <w:rFonts w:ascii="Verdana" w:hAnsi="Verdana"/>
                <w:sz w:val="20"/>
              </w:rPr>
            </w:pPr>
          </w:p>
        </w:tc>
      </w:tr>
      <w:tr w:rsidR="00A066F1" w:rsidRPr="004860D4" w14:paraId="2323A902" w14:textId="77777777">
        <w:trPr>
          <w:cantSplit/>
          <w:trHeight w:val="23"/>
        </w:trPr>
        <w:tc>
          <w:tcPr>
            <w:tcW w:w="6911" w:type="dxa"/>
            <w:gridSpan w:val="2"/>
            <w:shd w:val="clear" w:color="auto" w:fill="auto"/>
          </w:tcPr>
          <w:p w14:paraId="0BF1ECA7" w14:textId="77777777" w:rsidR="00A066F1" w:rsidRPr="004860D4"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860D4">
              <w:rPr>
                <w:rFonts w:ascii="Verdana" w:hAnsi="Verdana"/>
                <w:sz w:val="20"/>
                <w:szCs w:val="20"/>
              </w:rPr>
              <w:t>PLENARY MEETING</w:t>
            </w:r>
          </w:p>
        </w:tc>
        <w:tc>
          <w:tcPr>
            <w:tcW w:w="3120" w:type="dxa"/>
            <w:gridSpan w:val="2"/>
          </w:tcPr>
          <w:p w14:paraId="5B1080A2" w14:textId="77777777" w:rsidR="00A066F1" w:rsidRPr="004860D4" w:rsidRDefault="00E55816" w:rsidP="00AA666F">
            <w:pPr>
              <w:tabs>
                <w:tab w:val="left" w:pos="851"/>
              </w:tabs>
              <w:spacing w:before="0" w:line="240" w:lineRule="atLeast"/>
              <w:rPr>
                <w:rFonts w:ascii="Verdana" w:hAnsi="Verdana"/>
                <w:sz w:val="20"/>
              </w:rPr>
            </w:pPr>
            <w:r w:rsidRPr="004860D4">
              <w:rPr>
                <w:rFonts w:ascii="Verdana" w:hAnsi="Verdana"/>
                <w:b/>
                <w:sz w:val="20"/>
              </w:rPr>
              <w:t>Addendum 4 to</w:t>
            </w:r>
            <w:r w:rsidRPr="004860D4">
              <w:rPr>
                <w:rFonts w:ascii="Verdana" w:hAnsi="Verdana"/>
                <w:b/>
                <w:sz w:val="20"/>
              </w:rPr>
              <w:br/>
              <w:t>Document 65(Add.25)</w:t>
            </w:r>
            <w:r w:rsidR="00A066F1" w:rsidRPr="004860D4">
              <w:rPr>
                <w:rFonts w:ascii="Verdana" w:hAnsi="Verdana"/>
                <w:b/>
                <w:sz w:val="20"/>
              </w:rPr>
              <w:t>-</w:t>
            </w:r>
            <w:r w:rsidR="005E10C9" w:rsidRPr="004860D4">
              <w:rPr>
                <w:rFonts w:ascii="Verdana" w:hAnsi="Verdana"/>
                <w:b/>
                <w:sz w:val="20"/>
              </w:rPr>
              <w:t>E</w:t>
            </w:r>
          </w:p>
        </w:tc>
      </w:tr>
      <w:tr w:rsidR="00A066F1" w:rsidRPr="004860D4" w14:paraId="07636D91" w14:textId="77777777">
        <w:trPr>
          <w:cantSplit/>
          <w:trHeight w:val="23"/>
        </w:trPr>
        <w:tc>
          <w:tcPr>
            <w:tcW w:w="6911" w:type="dxa"/>
            <w:gridSpan w:val="2"/>
            <w:shd w:val="clear" w:color="auto" w:fill="auto"/>
          </w:tcPr>
          <w:p w14:paraId="2A17899E" w14:textId="77777777" w:rsidR="00A066F1" w:rsidRPr="004860D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4074EB5" w14:textId="77777777" w:rsidR="00A066F1" w:rsidRPr="004860D4" w:rsidRDefault="00420873" w:rsidP="00A066F1">
            <w:pPr>
              <w:tabs>
                <w:tab w:val="left" w:pos="993"/>
              </w:tabs>
              <w:spacing w:before="0"/>
              <w:rPr>
                <w:rFonts w:ascii="Verdana" w:hAnsi="Verdana"/>
                <w:sz w:val="20"/>
              </w:rPr>
            </w:pPr>
            <w:r w:rsidRPr="004860D4">
              <w:rPr>
                <w:rFonts w:ascii="Verdana" w:hAnsi="Verdana"/>
                <w:b/>
                <w:sz w:val="20"/>
              </w:rPr>
              <w:t>29 September 2023</w:t>
            </w:r>
          </w:p>
        </w:tc>
      </w:tr>
      <w:tr w:rsidR="00A066F1" w:rsidRPr="004860D4" w14:paraId="72D1DAAC" w14:textId="77777777">
        <w:trPr>
          <w:cantSplit/>
          <w:trHeight w:val="23"/>
        </w:trPr>
        <w:tc>
          <w:tcPr>
            <w:tcW w:w="6911" w:type="dxa"/>
            <w:gridSpan w:val="2"/>
            <w:shd w:val="clear" w:color="auto" w:fill="auto"/>
          </w:tcPr>
          <w:p w14:paraId="0C6F182A" w14:textId="77777777" w:rsidR="00A066F1" w:rsidRPr="004860D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CFEB77C" w14:textId="77777777" w:rsidR="00A066F1" w:rsidRPr="004860D4" w:rsidRDefault="00E55816" w:rsidP="00A066F1">
            <w:pPr>
              <w:tabs>
                <w:tab w:val="left" w:pos="993"/>
              </w:tabs>
              <w:spacing w:before="0"/>
              <w:rPr>
                <w:rFonts w:ascii="Verdana" w:hAnsi="Verdana"/>
                <w:b/>
                <w:sz w:val="20"/>
              </w:rPr>
            </w:pPr>
            <w:r w:rsidRPr="004860D4">
              <w:rPr>
                <w:rFonts w:ascii="Verdana" w:hAnsi="Verdana"/>
                <w:b/>
                <w:sz w:val="20"/>
              </w:rPr>
              <w:t>Original: English</w:t>
            </w:r>
          </w:p>
        </w:tc>
      </w:tr>
      <w:tr w:rsidR="00A066F1" w:rsidRPr="004860D4" w14:paraId="73D8CF5F" w14:textId="77777777" w:rsidTr="00025864">
        <w:trPr>
          <w:cantSplit/>
          <w:trHeight w:val="23"/>
        </w:trPr>
        <w:tc>
          <w:tcPr>
            <w:tcW w:w="10031" w:type="dxa"/>
            <w:gridSpan w:val="4"/>
            <w:shd w:val="clear" w:color="auto" w:fill="auto"/>
          </w:tcPr>
          <w:p w14:paraId="77BEF563" w14:textId="77777777" w:rsidR="00A066F1" w:rsidRPr="004860D4" w:rsidRDefault="00A066F1" w:rsidP="00A066F1">
            <w:pPr>
              <w:tabs>
                <w:tab w:val="left" w:pos="993"/>
              </w:tabs>
              <w:spacing w:before="0"/>
              <w:rPr>
                <w:rFonts w:ascii="Verdana" w:hAnsi="Verdana"/>
                <w:b/>
                <w:sz w:val="20"/>
              </w:rPr>
            </w:pPr>
          </w:p>
        </w:tc>
      </w:tr>
      <w:tr w:rsidR="00E55816" w:rsidRPr="004860D4" w14:paraId="756D17F3" w14:textId="77777777" w:rsidTr="00025864">
        <w:trPr>
          <w:cantSplit/>
          <w:trHeight w:val="23"/>
        </w:trPr>
        <w:tc>
          <w:tcPr>
            <w:tcW w:w="10031" w:type="dxa"/>
            <w:gridSpan w:val="4"/>
            <w:shd w:val="clear" w:color="auto" w:fill="auto"/>
          </w:tcPr>
          <w:p w14:paraId="5F986BD1" w14:textId="77777777" w:rsidR="00E55816" w:rsidRPr="004860D4" w:rsidRDefault="00884D60" w:rsidP="00E55816">
            <w:pPr>
              <w:pStyle w:val="Source"/>
            </w:pPr>
            <w:r w:rsidRPr="004860D4">
              <w:t>European Common Proposals</w:t>
            </w:r>
          </w:p>
        </w:tc>
      </w:tr>
      <w:tr w:rsidR="00E55816" w:rsidRPr="004860D4" w14:paraId="360981AC" w14:textId="77777777" w:rsidTr="00025864">
        <w:trPr>
          <w:cantSplit/>
          <w:trHeight w:val="23"/>
        </w:trPr>
        <w:tc>
          <w:tcPr>
            <w:tcW w:w="10031" w:type="dxa"/>
            <w:gridSpan w:val="4"/>
            <w:shd w:val="clear" w:color="auto" w:fill="auto"/>
          </w:tcPr>
          <w:p w14:paraId="753CBC1C" w14:textId="77777777" w:rsidR="00E55816" w:rsidRPr="004860D4" w:rsidRDefault="007D5320" w:rsidP="00E55816">
            <w:pPr>
              <w:pStyle w:val="Title1"/>
            </w:pPr>
            <w:r w:rsidRPr="004860D4">
              <w:t>PROPOSALS FOR THE WORK OF THE CONFERENCE</w:t>
            </w:r>
          </w:p>
        </w:tc>
      </w:tr>
      <w:tr w:rsidR="00E55816" w:rsidRPr="004860D4" w14:paraId="6352B94F" w14:textId="77777777" w:rsidTr="00025864">
        <w:trPr>
          <w:cantSplit/>
          <w:trHeight w:val="23"/>
        </w:trPr>
        <w:tc>
          <w:tcPr>
            <w:tcW w:w="10031" w:type="dxa"/>
            <w:gridSpan w:val="4"/>
            <w:shd w:val="clear" w:color="auto" w:fill="auto"/>
          </w:tcPr>
          <w:p w14:paraId="25C074EF" w14:textId="77777777" w:rsidR="00E55816" w:rsidRPr="004860D4" w:rsidRDefault="00E55816" w:rsidP="00E55816">
            <w:pPr>
              <w:pStyle w:val="Title2"/>
            </w:pPr>
          </w:p>
        </w:tc>
      </w:tr>
      <w:tr w:rsidR="00A538A6" w:rsidRPr="004860D4" w14:paraId="32DE6F83" w14:textId="77777777" w:rsidTr="00025864">
        <w:trPr>
          <w:cantSplit/>
          <w:trHeight w:val="23"/>
        </w:trPr>
        <w:tc>
          <w:tcPr>
            <w:tcW w:w="10031" w:type="dxa"/>
            <w:gridSpan w:val="4"/>
            <w:shd w:val="clear" w:color="auto" w:fill="auto"/>
          </w:tcPr>
          <w:p w14:paraId="779BE649" w14:textId="77777777" w:rsidR="00A538A6" w:rsidRPr="004860D4" w:rsidRDefault="004B13CB" w:rsidP="004B13CB">
            <w:pPr>
              <w:pStyle w:val="Agendaitem"/>
              <w:rPr>
                <w:lang w:val="en-GB"/>
              </w:rPr>
            </w:pPr>
            <w:r w:rsidRPr="004860D4">
              <w:rPr>
                <w:lang w:val="en-GB"/>
              </w:rPr>
              <w:t>Agenda item 9.2</w:t>
            </w:r>
          </w:p>
        </w:tc>
      </w:tr>
    </w:tbl>
    <w:bookmarkEnd w:id="5"/>
    <w:bookmarkEnd w:id="6"/>
    <w:p w14:paraId="1A68CB22" w14:textId="77777777" w:rsidR="00187BD9" w:rsidRPr="004860D4" w:rsidRDefault="000F6A39" w:rsidP="006965F8">
      <w:r w:rsidRPr="004860D4">
        <w:t>9</w:t>
      </w:r>
      <w:r w:rsidRPr="004860D4">
        <w:tab/>
        <w:t>to consider and approve the Report of the Director of the Radiocommunication Bureau, in accordance with Article 7 of the ITU Convention</w:t>
      </w:r>
      <w:r w:rsidRPr="004860D4">
        <w:rPr>
          <w:bCs/>
        </w:rPr>
        <w:t>;</w:t>
      </w:r>
    </w:p>
    <w:p w14:paraId="4145A953" w14:textId="77777777" w:rsidR="00187BD9" w:rsidRPr="004860D4" w:rsidRDefault="000F6A39" w:rsidP="00A115F1">
      <w:r w:rsidRPr="004860D4">
        <w:t>9.2</w:t>
      </w:r>
      <w:r w:rsidRPr="004860D4">
        <w:tab/>
        <w:t>on any difficulties or inconsistencies encountered in the application of the Radio Regulations;</w:t>
      </w:r>
      <w:r w:rsidRPr="004860D4">
        <w:rPr>
          <w:rStyle w:val="FootnoteReference"/>
        </w:rPr>
        <w:footnoteReference w:customMarkFollows="1" w:id="1"/>
        <w:t>1</w:t>
      </w:r>
      <w:r w:rsidRPr="004860D4">
        <w:t xml:space="preserve"> and</w:t>
      </w:r>
    </w:p>
    <w:p w14:paraId="75EDE338" w14:textId="77777777" w:rsidR="00240967" w:rsidRPr="004860D4" w:rsidRDefault="00240967" w:rsidP="00240967">
      <w:pPr>
        <w:pStyle w:val="Part1"/>
      </w:pPr>
      <w:r w:rsidRPr="004860D4">
        <w:t xml:space="preserve">Part 4: </w:t>
      </w:r>
      <w:bookmarkStart w:id="7" w:name="_Hlk144975029"/>
      <w:r w:rsidRPr="004860D4">
        <w:t xml:space="preserve">Section 3.2.5.1 </w:t>
      </w:r>
      <w:bookmarkEnd w:id="7"/>
      <w:r w:rsidRPr="004860D4">
        <w:t>of Addendum 2 to the Report of the Director to WRC-23</w:t>
      </w:r>
    </w:p>
    <w:p w14:paraId="4232DEFE" w14:textId="77777777" w:rsidR="00240967" w:rsidRPr="004860D4" w:rsidRDefault="00240967" w:rsidP="00240967">
      <w:pPr>
        <w:pStyle w:val="Headingb"/>
        <w:rPr>
          <w:lang w:val="en-GB"/>
        </w:rPr>
      </w:pPr>
      <w:r w:rsidRPr="004860D4">
        <w:rPr>
          <w:lang w:val="en-GB"/>
        </w:rPr>
        <w:t>Introduction</w:t>
      </w:r>
    </w:p>
    <w:p w14:paraId="34A195A8" w14:textId="621C3345" w:rsidR="00240967" w:rsidRPr="004860D4" w:rsidRDefault="00240967" w:rsidP="00240967">
      <w:r w:rsidRPr="004860D4">
        <w:t>§</w:t>
      </w:r>
      <w:r w:rsidR="00A90DD1" w:rsidRPr="004860D4">
        <w:t xml:space="preserve"> </w:t>
      </w:r>
      <w:r w:rsidRPr="004860D4">
        <w:rPr>
          <w:bCs/>
        </w:rPr>
        <w:t>4.1.24</w:t>
      </w:r>
      <w:r w:rsidRPr="004860D4">
        <w:t xml:space="preserve"> of </w:t>
      </w:r>
      <w:r w:rsidR="00350F6D" w:rsidRPr="004860D4">
        <w:t xml:space="preserve">Article 4 of </w:t>
      </w:r>
      <w:r w:rsidRPr="004860D4">
        <w:t>Appendi</w:t>
      </w:r>
      <w:r w:rsidR="00350F6D" w:rsidRPr="004860D4">
        <w:t>x</w:t>
      </w:r>
      <w:r w:rsidRPr="004860D4">
        <w:t xml:space="preserve"> </w:t>
      </w:r>
      <w:r w:rsidRPr="004860D4">
        <w:rPr>
          <w:b/>
        </w:rPr>
        <w:t>30</w:t>
      </w:r>
      <w:r w:rsidRPr="004860D4">
        <w:t xml:space="preserve"> </w:t>
      </w:r>
      <w:r w:rsidR="00D157AC" w:rsidRPr="004860D4">
        <w:t xml:space="preserve">of the Radio Regulations (RR) </w:t>
      </w:r>
      <w:r w:rsidRPr="004860D4">
        <w:t>states that</w:t>
      </w:r>
      <w:r w:rsidR="00DE4AA8" w:rsidRPr="004860D4">
        <w:t>:</w:t>
      </w:r>
      <w:r w:rsidRPr="004860D4">
        <w:t xml:space="preserve"> “</w:t>
      </w:r>
      <w:r w:rsidRPr="004860D4">
        <w:rPr>
          <w:i/>
        </w:rPr>
        <w:t>No assignment in the List shall have a period of operation exceeding 15 years, counted from the date of bringing into use, or 2 June 2000, whichever is later. Upon request by the responsible administration received by the Bureau at the latest three years before the expiry of this period, this period may be extended by up to 15 years, on condition that all the characteristics of the assignment remain unchanged</w:t>
      </w:r>
      <w:r w:rsidRPr="004860D4">
        <w:rPr>
          <w:rStyle w:val="FootnoteReference"/>
          <w:i/>
        </w:rPr>
        <w:footnoteReference w:customMarkFollows="1" w:id="2"/>
        <w:t>9</w:t>
      </w:r>
      <w:r w:rsidRPr="004860D4">
        <w:rPr>
          <w:rStyle w:val="FootnoteReference"/>
          <w:i/>
          <w:iCs/>
        </w:rPr>
        <w:t>bis</w:t>
      </w:r>
      <w:r w:rsidRPr="004860D4">
        <w:rPr>
          <w:i/>
        </w:rPr>
        <w:t>.</w:t>
      </w:r>
      <w:r w:rsidRPr="004860D4">
        <w:rPr>
          <w:i/>
          <w:sz w:val="16"/>
        </w:rPr>
        <w:t>     (WRC</w:t>
      </w:r>
      <w:r w:rsidRPr="004860D4">
        <w:rPr>
          <w:i/>
          <w:sz w:val="16"/>
        </w:rPr>
        <w:noBreakHyphen/>
        <w:t>19)</w:t>
      </w:r>
      <w:r w:rsidRPr="004860D4">
        <w:t>”.</w:t>
      </w:r>
    </w:p>
    <w:p w14:paraId="35F730A3" w14:textId="089655E1" w:rsidR="00240967" w:rsidRPr="004860D4" w:rsidRDefault="00240967" w:rsidP="00240967">
      <w:r w:rsidRPr="004860D4">
        <w:t>§</w:t>
      </w:r>
      <w:r w:rsidR="00A90DD1" w:rsidRPr="004860D4">
        <w:t xml:space="preserve"> </w:t>
      </w:r>
      <w:r w:rsidRPr="004860D4">
        <w:rPr>
          <w:bCs/>
        </w:rPr>
        <w:t>4.1.24</w:t>
      </w:r>
      <w:r w:rsidRPr="004860D4">
        <w:t xml:space="preserve"> of </w:t>
      </w:r>
      <w:r w:rsidR="00350F6D" w:rsidRPr="004860D4">
        <w:t xml:space="preserve">Article 4 of </w:t>
      </w:r>
      <w:r w:rsidRPr="004860D4">
        <w:t>RR Appendi</w:t>
      </w:r>
      <w:r w:rsidR="00350F6D" w:rsidRPr="004860D4">
        <w:t>x</w:t>
      </w:r>
      <w:r w:rsidRPr="004860D4">
        <w:t xml:space="preserve"> </w:t>
      </w:r>
      <w:r w:rsidRPr="004860D4">
        <w:rPr>
          <w:b/>
        </w:rPr>
        <w:t xml:space="preserve">30A </w:t>
      </w:r>
      <w:r w:rsidRPr="004860D4">
        <w:t>states that: “</w:t>
      </w:r>
      <w:r w:rsidRPr="004860D4">
        <w:rPr>
          <w:i/>
        </w:rPr>
        <w:t>No assignment in the feeder-link List shall have a period of operation exceeding 15 years, counted from the date of bringing into use, or 2</w:t>
      </w:r>
      <w:r w:rsidR="004860D4" w:rsidRPr="004860D4">
        <w:rPr>
          <w:i/>
        </w:rPr>
        <w:t> </w:t>
      </w:r>
      <w:r w:rsidRPr="004860D4">
        <w:rPr>
          <w:i/>
        </w:rPr>
        <w:t xml:space="preserve">June 2000, whichever is later. Upon request by the responsible administration received by the </w:t>
      </w:r>
      <w:r w:rsidRPr="004860D4">
        <w:rPr>
          <w:i/>
          <w:spacing w:val="-4"/>
        </w:rPr>
        <w:lastRenderedPageBreak/>
        <w:t>Bureau at the latest three years before the expiry of this period, this period may be extended by up to 15</w:t>
      </w:r>
      <w:r w:rsidR="004860D4" w:rsidRPr="004860D4">
        <w:rPr>
          <w:i/>
          <w:spacing w:val="-4"/>
        </w:rPr>
        <w:t> </w:t>
      </w:r>
      <w:r w:rsidRPr="004860D4">
        <w:rPr>
          <w:i/>
          <w:spacing w:val="-4"/>
        </w:rPr>
        <w:t>years, on condition that all the characteristics of the assignment remain unchanged</w:t>
      </w:r>
      <w:r w:rsidRPr="004860D4">
        <w:rPr>
          <w:i/>
          <w:spacing w:val="-4"/>
          <w:vertAlign w:val="superscript"/>
        </w:rPr>
        <w:t>11bis</w:t>
      </w:r>
      <w:r w:rsidRPr="004860D4">
        <w:rPr>
          <w:i/>
          <w:spacing w:val="-4"/>
          <w:szCs w:val="24"/>
        </w:rPr>
        <w:t>.</w:t>
      </w:r>
      <w:r w:rsidR="00987309" w:rsidRPr="004860D4">
        <w:rPr>
          <w:i/>
          <w:spacing w:val="-4"/>
          <w:sz w:val="16"/>
          <w:szCs w:val="16"/>
        </w:rPr>
        <w:t>   </w:t>
      </w:r>
      <w:r w:rsidR="00987309" w:rsidRPr="004860D4">
        <w:rPr>
          <w:spacing w:val="-4"/>
          <w:sz w:val="16"/>
          <w:szCs w:val="16"/>
        </w:rPr>
        <w:t> </w:t>
      </w:r>
      <w:r w:rsidRPr="004860D4">
        <w:rPr>
          <w:i/>
          <w:spacing w:val="-4"/>
          <w:sz w:val="16"/>
          <w:szCs w:val="16"/>
        </w:rPr>
        <w:t>(WRC-19</w:t>
      </w:r>
      <w:r w:rsidRPr="004860D4">
        <w:rPr>
          <w:i/>
          <w:spacing w:val="-4"/>
          <w:sz w:val="16"/>
          <w:szCs w:val="16"/>
          <w:vertAlign w:val="subscript"/>
        </w:rPr>
        <w:t>)</w:t>
      </w:r>
      <w:r w:rsidRPr="004860D4">
        <w:rPr>
          <w:spacing w:val="-4"/>
        </w:rPr>
        <w:t>”</w:t>
      </w:r>
    </w:p>
    <w:p w14:paraId="6711B88D" w14:textId="77777777" w:rsidR="00240967" w:rsidRPr="004860D4" w:rsidRDefault="00240967" w:rsidP="00240967">
      <w:r w:rsidRPr="004860D4">
        <w:t>Section 3.2.5.1 of the Report of the Director to WRC-23 observes that:</w:t>
      </w:r>
    </w:p>
    <w:p w14:paraId="2DE1E32C" w14:textId="1095DECD" w:rsidR="00240967" w:rsidRPr="004860D4" w:rsidRDefault="00240967" w:rsidP="00240967">
      <w:pPr>
        <w:rPr>
          <w:i/>
        </w:rPr>
      </w:pPr>
      <w:r w:rsidRPr="004860D4">
        <w:rPr>
          <w:i/>
        </w:rPr>
        <w:t xml:space="preserve">In accordance with § 4.1.24 of RR Appendices </w:t>
      </w:r>
      <w:r w:rsidRPr="004860D4">
        <w:rPr>
          <w:b/>
          <w:bCs/>
          <w:i/>
        </w:rPr>
        <w:t>30</w:t>
      </w:r>
      <w:r w:rsidRPr="004860D4">
        <w:rPr>
          <w:i/>
        </w:rPr>
        <w:t xml:space="preserve"> and </w:t>
      </w:r>
      <w:r w:rsidRPr="004860D4">
        <w:rPr>
          <w:b/>
          <w:bCs/>
          <w:i/>
        </w:rPr>
        <w:t>30A</w:t>
      </w:r>
      <w:r w:rsidRPr="004860D4">
        <w:rPr>
          <w:i/>
        </w:rPr>
        <w:t>, no assignment in the List shall have a period of operation exceeding 15 years, counted from the date of bringing into use, or 2 June 2000, whichever is later. Upon request by the responsible administration received by the Bureau at the latest three years before the expiry of this period, this period of operation may be extended by up to 15 years on condition that all the characteristics of the assignment remain unchanged.</w:t>
      </w:r>
    </w:p>
    <w:p w14:paraId="4DD4E2AE" w14:textId="6EE7B821" w:rsidR="00240967" w:rsidRPr="004860D4" w:rsidRDefault="00240967" w:rsidP="00240967">
      <w:pPr>
        <w:rPr>
          <w:i/>
        </w:rPr>
      </w:pPr>
      <w:r w:rsidRPr="004860D4">
        <w:rPr>
          <w:i/>
          <w:iCs/>
        </w:rPr>
        <w:t xml:space="preserve">In response to a suggestion contained in the Director’s report, WRC-19 decided to include footnotes to </w:t>
      </w:r>
      <w:r w:rsidRPr="004860D4">
        <w:rPr>
          <w:rFonts w:eastAsia="SimSun"/>
          <w:i/>
          <w:iCs/>
        </w:rPr>
        <w:t>§</w:t>
      </w:r>
      <w:r w:rsidR="00DE4AA8" w:rsidRPr="004860D4">
        <w:rPr>
          <w:rFonts w:eastAsia="SimSun"/>
          <w:i/>
          <w:iCs/>
        </w:rPr>
        <w:t xml:space="preserve"> </w:t>
      </w:r>
      <w:r w:rsidRPr="004860D4">
        <w:rPr>
          <w:rFonts w:eastAsia="SimSun"/>
          <w:i/>
          <w:iCs/>
        </w:rPr>
        <w:t xml:space="preserve">4.1.24 of Article 4 of Appendices </w:t>
      </w:r>
      <w:r w:rsidRPr="004860D4">
        <w:rPr>
          <w:rFonts w:eastAsia="SimSun"/>
          <w:b/>
          <w:bCs/>
          <w:i/>
          <w:iCs/>
        </w:rPr>
        <w:t>30</w:t>
      </w:r>
      <w:r w:rsidRPr="004860D4">
        <w:rPr>
          <w:rFonts w:eastAsia="SimSun"/>
          <w:i/>
          <w:iCs/>
        </w:rPr>
        <w:t xml:space="preserve"> and </w:t>
      </w:r>
      <w:r w:rsidRPr="004860D4">
        <w:rPr>
          <w:rFonts w:eastAsia="SimSun"/>
          <w:b/>
          <w:bCs/>
          <w:i/>
          <w:iCs/>
        </w:rPr>
        <w:t xml:space="preserve">30A </w:t>
      </w:r>
      <w:r w:rsidRPr="004860D4">
        <w:rPr>
          <w:rFonts w:eastAsia="SimSun"/>
          <w:i/>
          <w:iCs/>
        </w:rPr>
        <w:t xml:space="preserve">in order for </w:t>
      </w:r>
      <w:r w:rsidRPr="004860D4">
        <w:rPr>
          <w:i/>
        </w:rPr>
        <w:t xml:space="preserve">the Bureau to send a reminder to the notifying administration no later than 90 days before the three-year deadline for such a request. </w:t>
      </w:r>
    </w:p>
    <w:p w14:paraId="7B0902ED" w14:textId="77777777" w:rsidR="00240967" w:rsidRPr="004860D4" w:rsidRDefault="00240967" w:rsidP="00240967">
      <w:pPr>
        <w:rPr>
          <w:i/>
          <w:iCs/>
          <w:szCs w:val="24"/>
        </w:rPr>
      </w:pPr>
      <w:r w:rsidRPr="004860D4">
        <w:rPr>
          <w:i/>
          <w:iCs/>
        </w:rPr>
        <w:t xml:space="preserve">Since WRC-19 decision, the Bureau </w:t>
      </w:r>
      <w:r w:rsidRPr="004860D4">
        <w:rPr>
          <w:i/>
          <w:iCs/>
          <w:szCs w:val="24"/>
        </w:rPr>
        <w:t xml:space="preserve">received an extension request after the deadline set in accordance with § 4.1.24 of Article 4 of Appendices </w:t>
      </w:r>
      <w:r w:rsidRPr="004860D4">
        <w:rPr>
          <w:b/>
          <w:bCs/>
          <w:i/>
          <w:iCs/>
          <w:szCs w:val="24"/>
        </w:rPr>
        <w:t>30</w:t>
      </w:r>
      <w:r w:rsidRPr="004860D4">
        <w:rPr>
          <w:i/>
          <w:iCs/>
          <w:szCs w:val="24"/>
        </w:rPr>
        <w:t xml:space="preserve"> and </w:t>
      </w:r>
      <w:r w:rsidRPr="004860D4">
        <w:rPr>
          <w:b/>
          <w:bCs/>
          <w:i/>
          <w:iCs/>
          <w:szCs w:val="24"/>
        </w:rPr>
        <w:t>30A</w:t>
      </w:r>
      <w:r w:rsidRPr="004860D4">
        <w:rPr>
          <w:i/>
          <w:iCs/>
          <w:szCs w:val="24"/>
        </w:rPr>
        <w:t xml:space="preserve"> (see item 4n of the </w:t>
      </w:r>
      <w:hyperlink r:id="rId14" w:history="1">
        <w:r w:rsidRPr="004860D4">
          <w:rPr>
            <w:rStyle w:val="Hyperlink"/>
            <w:i/>
            <w:iCs/>
            <w:szCs w:val="24"/>
          </w:rPr>
          <w:t>Summary of decisions o</w:t>
        </w:r>
        <w:r w:rsidRPr="004860D4">
          <w:rPr>
            <w:rStyle w:val="Hyperlink"/>
            <w:i/>
            <w:iCs/>
            <w:szCs w:val="24"/>
          </w:rPr>
          <w:t>f</w:t>
        </w:r>
        <w:r w:rsidRPr="004860D4">
          <w:rPr>
            <w:rStyle w:val="Hyperlink"/>
            <w:i/>
            <w:iCs/>
            <w:szCs w:val="24"/>
          </w:rPr>
          <w:t xml:space="preserve"> the 92</w:t>
        </w:r>
        <w:r w:rsidRPr="004860D4">
          <w:rPr>
            <w:rStyle w:val="Hyperlink"/>
            <w:i/>
            <w:iCs/>
            <w:szCs w:val="24"/>
            <w:vertAlign w:val="superscript"/>
          </w:rPr>
          <w:t>nd</w:t>
        </w:r>
        <w:r w:rsidRPr="004860D4">
          <w:rPr>
            <w:rStyle w:val="Hyperlink"/>
            <w:i/>
            <w:iCs/>
            <w:szCs w:val="24"/>
          </w:rPr>
          <w:t xml:space="preserve"> meeting of the Radio Regulations Board</w:t>
        </w:r>
      </w:hyperlink>
      <w:r w:rsidRPr="004860D4">
        <w:rPr>
          <w:i/>
          <w:iCs/>
          <w:szCs w:val="24"/>
        </w:rPr>
        <w:t xml:space="preserve"> for the details of the case and the course of action adopted). </w:t>
      </w:r>
    </w:p>
    <w:p w14:paraId="23C23682" w14:textId="77777777" w:rsidR="00240967" w:rsidRPr="004860D4" w:rsidRDefault="00240967" w:rsidP="00240967">
      <w:pPr>
        <w:rPr>
          <w:i/>
        </w:rPr>
      </w:pPr>
      <w:r w:rsidRPr="004860D4">
        <w:rPr>
          <w:i/>
        </w:rPr>
        <w:t>Despite the decision that a reminder be sent, it appears that the 3</w:t>
      </w:r>
      <w:r w:rsidRPr="004860D4">
        <w:rPr>
          <w:i/>
        </w:rPr>
        <w:noBreakHyphen/>
        <w:t>year period for requesting the extension may be difficult to implement for administrations because of the long period of time between the time when the request needs to send and the end of the first period of operation of 15 years.</w:t>
      </w:r>
    </w:p>
    <w:p w14:paraId="6CB1EF2B" w14:textId="07FFFF35" w:rsidR="00240967" w:rsidRPr="004860D4" w:rsidRDefault="00240967" w:rsidP="00240967">
      <w:r w:rsidRPr="004860D4">
        <w:rPr>
          <w:i/>
          <w:iCs/>
        </w:rPr>
        <w:t>In view of the above,</w:t>
      </w:r>
      <w:r w:rsidRPr="004860D4">
        <w:t xml:space="preserve"> </w:t>
      </w:r>
      <w:r w:rsidRPr="004860D4">
        <w:rPr>
          <w:i/>
        </w:rPr>
        <w:t xml:space="preserve">the Conference may wish to review §4.1.24 of Article 4 of Appendices </w:t>
      </w:r>
      <w:r w:rsidRPr="004860D4">
        <w:rPr>
          <w:b/>
          <w:bCs/>
          <w:i/>
        </w:rPr>
        <w:t>30</w:t>
      </w:r>
      <w:r w:rsidRPr="004860D4">
        <w:rPr>
          <w:i/>
        </w:rPr>
        <w:t xml:space="preserve"> and</w:t>
      </w:r>
      <w:r w:rsidR="004860D4" w:rsidRPr="004860D4">
        <w:rPr>
          <w:i/>
        </w:rPr>
        <w:t> </w:t>
      </w:r>
      <w:r w:rsidRPr="004860D4">
        <w:rPr>
          <w:b/>
          <w:bCs/>
          <w:i/>
        </w:rPr>
        <w:t>30A</w:t>
      </w:r>
      <w:r w:rsidRPr="004860D4">
        <w:rPr>
          <w:i/>
        </w:rPr>
        <w:t>.</w:t>
      </w:r>
    </w:p>
    <w:p w14:paraId="01312B94" w14:textId="77777777" w:rsidR="00240967" w:rsidRPr="004860D4" w:rsidRDefault="00240967" w:rsidP="00240967">
      <w:pPr>
        <w:pStyle w:val="Headingb"/>
        <w:rPr>
          <w:lang w:val="en-GB"/>
        </w:rPr>
      </w:pPr>
      <w:r w:rsidRPr="004860D4">
        <w:rPr>
          <w:lang w:val="en-GB"/>
        </w:rPr>
        <w:t>Proposal</w:t>
      </w:r>
    </w:p>
    <w:p w14:paraId="287DA40E" w14:textId="77777777" w:rsidR="00241FA2" w:rsidRPr="004860D4" w:rsidRDefault="00241FA2" w:rsidP="00EB54B2"/>
    <w:p w14:paraId="770B6AD3" w14:textId="77777777" w:rsidR="00187BD9" w:rsidRPr="004860D4" w:rsidRDefault="00187BD9" w:rsidP="00187BD9">
      <w:pPr>
        <w:tabs>
          <w:tab w:val="clear" w:pos="1134"/>
          <w:tab w:val="clear" w:pos="1871"/>
          <w:tab w:val="clear" w:pos="2268"/>
        </w:tabs>
        <w:overflowPunct/>
        <w:autoSpaceDE/>
        <w:autoSpaceDN/>
        <w:adjustRightInd/>
        <w:spacing w:before="0"/>
        <w:textAlignment w:val="auto"/>
      </w:pPr>
      <w:r w:rsidRPr="004860D4">
        <w:br w:type="page"/>
      </w:r>
    </w:p>
    <w:p w14:paraId="132C5909" w14:textId="77777777" w:rsidR="007B11E3" w:rsidRPr="004860D4" w:rsidRDefault="000F6A39">
      <w:pPr>
        <w:pStyle w:val="Proposal"/>
      </w:pPr>
      <w:r w:rsidRPr="004860D4">
        <w:lastRenderedPageBreak/>
        <w:tab/>
        <w:t>EUR/65A25A4/1</w:t>
      </w:r>
    </w:p>
    <w:p w14:paraId="14CEE841" w14:textId="4D75E881" w:rsidR="00240967" w:rsidRPr="004860D4" w:rsidRDefault="00240967" w:rsidP="00240967">
      <w:r w:rsidRPr="004860D4">
        <w:t>CEPT agrees that due to the long time horizons, it may be difficult for administrations to react within a 90-day time period. CEPT also notes that §</w:t>
      </w:r>
      <w:r w:rsidR="006B2C71" w:rsidRPr="004860D4">
        <w:t> </w:t>
      </w:r>
      <w:r w:rsidRPr="004860D4">
        <w:rPr>
          <w:bCs/>
        </w:rPr>
        <w:t>4.1.24</w:t>
      </w:r>
      <w:r w:rsidRPr="004860D4">
        <w:t xml:space="preserve"> of </w:t>
      </w:r>
      <w:r w:rsidR="0085617D" w:rsidRPr="004860D4">
        <w:t>Article</w:t>
      </w:r>
      <w:r w:rsidR="0085617D" w:rsidRPr="004860D4">
        <w:rPr>
          <w:b/>
          <w:bCs/>
        </w:rPr>
        <w:t> </w:t>
      </w:r>
      <w:r w:rsidR="0085617D" w:rsidRPr="004860D4">
        <w:t xml:space="preserve">4 of </w:t>
      </w:r>
      <w:r w:rsidR="00D157AC" w:rsidRPr="004860D4">
        <w:t>RR</w:t>
      </w:r>
      <w:r w:rsidR="00CB7520" w:rsidRPr="004860D4">
        <w:t xml:space="preserve"> </w:t>
      </w:r>
      <w:r w:rsidRPr="004860D4">
        <w:t>Appendi</w:t>
      </w:r>
      <w:r w:rsidR="005E7E50" w:rsidRPr="004860D4">
        <w:t>ces</w:t>
      </w:r>
      <w:r w:rsidR="006B2C71" w:rsidRPr="004860D4">
        <w:t> </w:t>
      </w:r>
      <w:r w:rsidRPr="004860D4">
        <w:rPr>
          <w:b/>
        </w:rPr>
        <w:t>30</w:t>
      </w:r>
      <w:r w:rsidRPr="004860D4">
        <w:t xml:space="preserve"> and</w:t>
      </w:r>
      <w:r w:rsidR="006B2C71" w:rsidRPr="004860D4">
        <w:t> </w:t>
      </w:r>
      <w:r w:rsidRPr="004860D4">
        <w:rPr>
          <w:b/>
        </w:rPr>
        <w:t>30A</w:t>
      </w:r>
      <w:r w:rsidRPr="004860D4">
        <w:t xml:space="preserve"> sets a definitive end time to assignments in the List irrespective of whether these are operational at that time or not. This is in contradiction to </w:t>
      </w:r>
      <w:r w:rsidRPr="004860D4">
        <w:rPr>
          <w:i/>
          <w:iCs/>
        </w:rPr>
        <w:t>resolves</w:t>
      </w:r>
      <w:r w:rsidR="006B2C71" w:rsidRPr="004860D4">
        <w:t> </w:t>
      </w:r>
      <w:r w:rsidRPr="004860D4">
        <w:t>1.2 of Resolution</w:t>
      </w:r>
      <w:r w:rsidR="006B2C71" w:rsidRPr="004860D4">
        <w:t> </w:t>
      </w:r>
      <w:r w:rsidRPr="004860D4">
        <w:rPr>
          <w:b/>
        </w:rPr>
        <w:t>4 (Rev.WRC</w:t>
      </w:r>
      <w:r w:rsidR="00034A96" w:rsidRPr="004860D4">
        <w:rPr>
          <w:b/>
        </w:rPr>
        <w:noBreakHyphen/>
      </w:r>
      <w:r w:rsidRPr="004860D4">
        <w:rPr>
          <w:b/>
        </w:rPr>
        <w:t>03)</w:t>
      </w:r>
      <w:r w:rsidRPr="004860D4">
        <w:t xml:space="preserve"> and could put administrations in severe difficulties in that coordinated and operational satellite networks find themselves with no recognition in the ITU databases. This would cause a difficulty not only to the notifying administration whose operational network is cancelled, but also to other administrations seeking to establish a new satellite network and which will be unable to identify the existence of the operational satellite network and the implications in respect of technical compatibility. </w:t>
      </w:r>
    </w:p>
    <w:p w14:paraId="60B0D0C4" w14:textId="27FF90A7" w:rsidR="00240967" w:rsidRPr="004860D4" w:rsidRDefault="00240967" w:rsidP="00240967">
      <w:r w:rsidRPr="004860D4">
        <w:t>Ways to resolve the problems associated with §</w:t>
      </w:r>
      <w:r w:rsidR="006B2C71" w:rsidRPr="004860D4">
        <w:t> </w:t>
      </w:r>
      <w:r w:rsidRPr="004860D4">
        <w:rPr>
          <w:bCs/>
        </w:rPr>
        <w:t>4.1.24</w:t>
      </w:r>
      <w:r w:rsidRPr="004860D4">
        <w:t xml:space="preserve"> of </w:t>
      </w:r>
      <w:r w:rsidR="0085617D" w:rsidRPr="004860D4">
        <w:t>Article</w:t>
      </w:r>
      <w:r w:rsidR="0085617D" w:rsidRPr="004860D4">
        <w:rPr>
          <w:b/>
          <w:bCs/>
        </w:rPr>
        <w:t> </w:t>
      </w:r>
      <w:r w:rsidR="0085617D" w:rsidRPr="004860D4">
        <w:t xml:space="preserve">4 of </w:t>
      </w:r>
      <w:r w:rsidR="00D157AC" w:rsidRPr="004860D4">
        <w:t>RR</w:t>
      </w:r>
      <w:r w:rsidR="00231B94" w:rsidRPr="004860D4">
        <w:t xml:space="preserve"> </w:t>
      </w:r>
      <w:r w:rsidRPr="004860D4">
        <w:t>Appendices</w:t>
      </w:r>
      <w:r w:rsidR="006B2C71" w:rsidRPr="004860D4">
        <w:t> </w:t>
      </w:r>
      <w:r w:rsidRPr="004860D4">
        <w:rPr>
          <w:b/>
        </w:rPr>
        <w:t>30</w:t>
      </w:r>
      <w:r w:rsidRPr="004860D4">
        <w:t xml:space="preserve"> and</w:t>
      </w:r>
      <w:r w:rsidR="006B2C71" w:rsidRPr="004860D4">
        <w:t> </w:t>
      </w:r>
      <w:r w:rsidRPr="004860D4">
        <w:rPr>
          <w:b/>
        </w:rPr>
        <w:t>30A</w:t>
      </w:r>
      <w:r w:rsidRPr="004860D4">
        <w:t xml:space="preserve"> needs to be studied and solutions identified. </w:t>
      </w:r>
    </w:p>
    <w:p w14:paraId="7A45D028" w14:textId="77777777" w:rsidR="00240967" w:rsidRPr="004860D4" w:rsidRDefault="00240967" w:rsidP="00240967">
      <w:r w:rsidRPr="004860D4">
        <w:t>CEPT therefore proposes to include the following statement in the WRC-23 minutes:</w:t>
      </w:r>
    </w:p>
    <w:p w14:paraId="634F9061" w14:textId="71F98E1F" w:rsidR="00240967" w:rsidRPr="004860D4" w:rsidRDefault="00987309" w:rsidP="00987309">
      <w:pPr>
        <w:pStyle w:val="enumlev1"/>
        <w:rPr>
          <w:i/>
          <w:iCs/>
        </w:rPr>
      </w:pPr>
      <w:r w:rsidRPr="004860D4">
        <w:tab/>
      </w:r>
      <w:r w:rsidR="00240967" w:rsidRPr="004860D4">
        <w:rPr>
          <w:i/>
          <w:iCs/>
        </w:rPr>
        <w:t>WRC</w:t>
      </w:r>
      <w:r w:rsidR="006B2C71" w:rsidRPr="004860D4">
        <w:rPr>
          <w:i/>
          <w:iCs/>
        </w:rPr>
        <w:noBreakHyphen/>
      </w:r>
      <w:r w:rsidR="00240967" w:rsidRPr="004860D4">
        <w:rPr>
          <w:i/>
          <w:iCs/>
        </w:rPr>
        <w:t>23 agrees that due to the long time horizons, it may be difficult for administrations to react within a 90-day time period. WRC</w:t>
      </w:r>
      <w:r w:rsidR="006B2C71" w:rsidRPr="004860D4">
        <w:rPr>
          <w:i/>
          <w:iCs/>
        </w:rPr>
        <w:noBreakHyphen/>
      </w:r>
      <w:r w:rsidR="00240967" w:rsidRPr="004860D4">
        <w:rPr>
          <w:i/>
          <w:iCs/>
        </w:rPr>
        <w:t>23 also notes that §</w:t>
      </w:r>
      <w:r w:rsidR="006B2C71" w:rsidRPr="004860D4">
        <w:rPr>
          <w:i/>
          <w:iCs/>
        </w:rPr>
        <w:t> </w:t>
      </w:r>
      <w:r w:rsidR="00240967" w:rsidRPr="004860D4">
        <w:rPr>
          <w:i/>
          <w:iCs/>
        </w:rPr>
        <w:t xml:space="preserve">4.1.24 of </w:t>
      </w:r>
      <w:r w:rsidR="00D157AC" w:rsidRPr="004860D4">
        <w:rPr>
          <w:i/>
          <w:iCs/>
        </w:rPr>
        <w:t>Article 4 of RR</w:t>
      </w:r>
      <w:r w:rsidR="005D034A" w:rsidRPr="004860D4">
        <w:rPr>
          <w:i/>
          <w:iCs/>
        </w:rPr>
        <w:t xml:space="preserve"> </w:t>
      </w:r>
      <w:r w:rsidR="00240967" w:rsidRPr="004860D4">
        <w:rPr>
          <w:i/>
          <w:iCs/>
        </w:rPr>
        <w:t>Appendi</w:t>
      </w:r>
      <w:r w:rsidR="00CA50F4" w:rsidRPr="004860D4">
        <w:rPr>
          <w:i/>
          <w:iCs/>
        </w:rPr>
        <w:t>ces</w:t>
      </w:r>
      <w:r w:rsidR="006B2C71" w:rsidRPr="004860D4">
        <w:rPr>
          <w:i/>
          <w:iCs/>
        </w:rPr>
        <w:t> </w:t>
      </w:r>
      <w:r w:rsidR="00240967" w:rsidRPr="004860D4">
        <w:rPr>
          <w:b/>
          <w:bCs/>
          <w:i/>
          <w:iCs/>
        </w:rPr>
        <w:t>30</w:t>
      </w:r>
      <w:r w:rsidR="00240967" w:rsidRPr="004860D4">
        <w:rPr>
          <w:i/>
          <w:iCs/>
        </w:rPr>
        <w:t xml:space="preserve"> and</w:t>
      </w:r>
      <w:r w:rsidR="006B2C71" w:rsidRPr="004860D4">
        <w:rPr>
          <w:i/>
          <w:iCs/>
        </w:rPr>
        <w:t> </w:t>
      </w:r>
      <w:r w:rsidR="00240967" w:rsidRPr="004860D4">
        <w:rPr>
          <w:b/>
          <w:bCs/>
          <w:i/>
          <w:iCs/>
        </w:rPr>
        <w:t>30A</w:t>
      </w:r>
      <w:r w:rsidR="00240967" w:rsidRPr="004860D4">
        <w:rPr>
          <w:i/>
          <w:iCs/>
        </w:rPr>
        <w:t xml:space="preserve"> sets a definitive end time to assignments in the List irrespective of whether these are operational at that time or not. This is in contradiction to resolves</w:t>
      </w:r>
      <w:r w:rsidR="006B2C71" w:rsidRPr="004860D4">
        <w:rPr>
          <w:i/>
          <w:iCs/>
        </w:rPr>
        <w:t> </w:t>
      </w:r>
      <w:r w:rsidR="00240967" w:rsidRPr="004860D4">
        <w:t>1.2</w:t>
      </w:r>
      <w:r w:rsidR="00240967" w:rsidRPr="004860D4">
        <w:rPr>
          <w:i/>
          <w:iCs/>
        </w:rPr>
        <w:t xml:space="preserve"> of Resolution</w:t>
      </w:r>
      <w:r w:rsidR="006B2C71" w:rsidRPr="004860D4">
        <w:rPr>
          <w:i/>
          <w:iCs/>
        </w:rPr>
        <w:t> </w:t>
      </w:r>
      <w:r w:rsidR="00240967" w:rsidRPr="004860D4">
        <w:rPr>
          <w:b/>
          <w:bCs/>
          <w:i/>
          <w:iCs/>
        </w:rPr>
        <w:t>4 (Rev.WRC</w:t>
      </w:r>
      <w:r w:rsidR="006B2C71" w:rsidRPr="004860D4">
        <w:rPr>
          <w:b/>
          <w:bCs/>
          <w:i/>
          <w:iCs/>
        </w:rPr>
        <w:noBreakHyphen/>
      </w:r>
      <w:r w:rsidR="00240967" w:rsidRPr="004860D4">
        <w:rPr>
          <w:b/>
          <w:bCs/>
          <w:i/>
          <w:iCs/>
        </w:rPr>
        <w:t>03)</w:t>
      </w:r>
      <w:r w:rsidR="00240967" w:rsidRPr="004860D4">
        <w:rPr>
          <w:i/>
          <w:iCs/>
        </w:rPr>
        <w:t xml:space="preserve"> and could put administrations in severe difficulties in that coordinated and operational satellite networks find themselves with no recognition in the ITU databases. This would cause a difficulty not only to the notifying administration whose operational network is cancelled, but also to other administrations seeking to establish a new satellite network and which will be unable to identify the existence of the operational satellite network and the implications in respect of technical compatibility. </w:t>
      </w:r>
    </w:p>
    <w:p w14:paraId="7E62D132" w14:textId="0D15B4CD" w:rsidR="00240967" w:rsidRPr="004860D4" w:rsidRDefault="00987309" w:rsidP="00987309">
      <w:pPr>
        <w:pStyle w:val="enumlev1"/>
        <w:rPr>
          <w:i/>
          <w:iCs/>
        </w:rPr>
      </w:pPr>
      <w:r w:rsidRPr="004860D4">
        <w:rPr>
          <w:i/>
          <w:iCs/>
        </w:rPr>
        <w:tab/>
      </w:r>
      <w:r w:rsidR="00240967" w:rsidRPr="004860D4">
        <w:rPr>
          <w:i/>
          <w:iCs/>
        </w:rPr>
        <w:t>Ways to resolve the problems associated with §</w:t>
      </w:r>
      <w:r w:rsidR="006B2C71" w:rsidRPr="004860D4">
        <w:rPr>
          <w:i/>
          <w:iCs/>
        </w:rPr>
        <w:t> </w:t>
      </w:r>
      <w:r w:rsidR="00240967" w:rsidRPr="004860D4">
        <w:rPr>
          <w:i/>
          <w:iCs/>
        </w:rPr>
        <w:t xml:space="preserve">4.1.24 of </w:t>
      </w:r>
      <w:r w:rsidR="005D034A" w:rsidRPr="004860D4">
        <w:rPr>
          <w:i/>
          <w:iCs/>
        </w:rPr>
        <w:t xml:space="preserve">Article 4 of </w:t>
      </w:r>
      <w:r w:rsidR="00D157AC" w:rsidRPr="004860D4">
        <w:rPr>
          <w:i/>
          <w:iCs/>
        </w:rPr>
        <w:t>RR</w:t>
      </w:r>
      <w:r w:rsidR="005D034A" w:rsidRPr="004860D4">
        <w:rPr>
          <w:i/>
          <w:iCs/>
        </w:rPr>
        <w:t xml:space="preserve"> </w:t>
      </w:r>
      <w:r w:rsidR="00240967" w:rsidRPr="004860D4">
        <w:rPr>
          <w:i/>
          <w:iCs/>
        </w:rPr>
        <w:t>Appendices</w:t>
      </w:r>
      <w:r w:rsidR="006B2C71" w:rsidRPr="004860D4">
        <w:rPr>
          <w:i/>
          <w:iCs/>
        </w:rPr>
        <w:t> </w:t>
      </w:r>
      <w:r w:rsidR="00240967" w:rsidRPr="004860D4">
        <w:rPr>
          <w:b/>
          <w:bCs/>
          <w:i/>
          <w:iCs/>
        </w:rPr>
        <w:t>30</w:t>
      </w:r>
      <w:r w:rsidR="00240967" w:rsidRPr="004860D4">
        <w:rPr>
          <w:i/>
          <w:iCs/>
        </w:rPr>
        <w:t xml:space="preserve"> and</w:t>
      </w:r>
      <w:r w:rsidR="006B2C71" w:rsidRPr="004860D4">
        <w:rPr>
          <w:i/>
          <w:iCs/>
        </w:rPr>
        <w:t> </w:t>
      </w:r>
      <w:r w:rsidR="00240967" w:rsidRPr="004860D4">
        <w:rPr>
          <w:b/>
          <w:bCs/>
          <w:i/>
          <w:iCs/>
        </w:rPr>
        <w:t>30A</w:t>
      </w:r>
      <w:r w:rsidR="00240967" w:rsidRPr="004860D4">
        <w:rPr>
          <w:i/>
          <w:iCs/>
        </w:rPr>
        <w:t xml:space="preserve"> need to be studied and solutions identified. </w:t>
      </w:r>
    </w:p>
    <w:p w14:paraId="300063F3" w14:textId="244EFBF0" w:rsidR="00240967" w:rsidRPr="004860D4" w:rsidRDefault="00987309" w:rsidP="00987309">
      <w:pPr>
        <w:pStyle w:val="enumlev1"/>
      </w:pPr>
      <w:r w:rsidRPr="004860D4">
        <w:rPr>
          <w:i/>
          <w:iCs/>
        </w:rPr>
        <w:tab/>
      </w:r>
      <w:r w:rsidR="00240967" w:rsidRPr="004860D4">
        <w:rPr>
          <w:i/>
          <w:iCs/>
        </w:rPr>
        <w:t>In view of the above WRC</w:t>
      </w:r>
      <w:r w:rsidR="00034A96" w:rsidRPr="004860D4">
        <w:rPr>
          <w:i/>
          <w:iCs/>
        </w:rPr>
        <w:noBreakHyphen/>
      </w:r>
      <w:r w:rsidR="00240967" w:rsidRPr="004860D4">
        <w:rPr>
          <w:i/>
          <w:iCs/>
        </w:rPr>
        <w:t>23 invites the ITU</w:t>
      </w:r>
      <w:r w:rsidR="00034A96" w:rsidRPr="004860D4">
        <w:rPr>
          <w:i/>
          <w:iCs/>
        </w:rPr>
        <w:noBreakHyphen/>
      </w:r>
      <w:r w:rsidR="00240967" w:rsidRPr="004860D4">
        <w:rPr>
          <w:i/>
          <w:iCs/>
        </w:rPr>
        <w:t>R to conduct studies, in time for consideration by WRC</w:t>
      </w:r>
      <w:r w:rsidR="00034A96" w:rsidRPr="004860D4">
        <w:rPr>
          <w:i/>
          <w:iCs/>
        </w:rPr>
        <w:noBreakHyphen/>
      </w:r>
      <w:r w:rsidR="00240967" w:rsidRPr="004860D4">
        <w:rPr>
          <w:i/>
          <w:iCs/>
        </w:rPr>
        <w:t>27, with respect to possible revisions to §</w:t>
      </w:r>
      <w:r w:rsidR="00034A96" w:rsidRPr="004860D4">
        <w:rPr>
          <w:i/>
          <w:iCs/>
        </w:rPr>
        <w:t> </w:t>
      </w:r>
      <w:r w:rsidR="00240967" w:rsidRPr="004860D4">
        <w:rPr>
          <w:i/>
          <w:iCs/>
        </w:rPr>
        <w:t xml:space="preserve">4.1.24 of </w:t>
      </w:r>
      <w:r w:rsidR="005D034A" w:rsidRPr="004860D4">
        <w:rPr>
          <w:i/>
          <w:iCs/>
        </w:rPr>
        <w:t xml:space="preserve">Article 4 of </w:t>
      </w:r>
      <w:r w:rsidR="00240967" w:rsidRPr="004860D4">
        <w:rPr>
          <w:i/>
          <w:iCs/>
        </w:rPr>
        <w:t>RR Appendices</w:t>
      </w:r>
      <w:r w:rsidR="00034A96" w:rsidRPr="004860D4">
        <w:rPr>
          <w:i/>
          <w:iCs/>
        </w:rPr>
        <w:t> </w:t>
      </w:r>
      <w:r w:rsidR="00240967" w:rsidRPr="004860D4">
        <w:rPr>
          <w:b/>
          <w:bCs/>
          <w:i/>
          <w:iCs/>
        </w:rPr>
        <w:t>30</w:t>
      </w:r>
      <w:r w:rsidR="00240967" w:rsidRPr="004860D4">
        <w:rPr>
          <w:i/>
          <w:iCs/>
        </w:rPr>
        <w:t xml:space="preserve"> and</w:t>
      </w:r>
      <w:r w:rsidR="00034A96" w:rsidRPr="004860D4">
        <w:rPr>
          <w:i/>
          <w:iCs/>
        </w:rPr>
        <w:t> </w:t>
      </w:r>
      <w:r w:rsidR="00240967" w:rsidRPr="004860D4">
        <w:rPr>
          <w:b/>
          <w:bCs/>
          <w:i/>
          <w:iCs/>
        </w:rPr>
        <w:t>30A</w:t>
      </w:r>
      <w:r w:rsidR="00240967" w:rsidRPr="004860D4">
        <w:rPr>
          <w:i/>
          <w:iCs/>
        </w:rPr>
        <w:t xml:space="preserve"> and take any other actions, as appropriate, to remedy the above identified difficulties.</w:t>
      </w:r>
    </w:p>
    <w:p w14:paraId="38D1BFB4" w14:textId="77777777" w:rsidR="007B11E3" w:rsidRPr="004860D4" w:rsidRDefault="007B11E3">
      <w:pPr>
        <w:pStyle w:val="Reasons"/>
      </w:pPr>
    </w:p>
    <w:p w14:paraId="5EB765C4" w14:textId="1523EC1F" w:rsidR="00240967" w:rsidRPr="000F6A39" w:rsidRDefault="00240967" w:rsidP="00240967">
      <w:pPr>
        <w:jc w:val="center"/>
      </w:pPr>
      <w:r w:rsidRPr="004860D4">
        <w:t>_________________</w:t>
      </w:r>
    </w:p>
    <w:sectPr w:rsidR="00240967" w:rsidRPr="000F6A39"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9972" w14:textId="77777777" w:rsidR="003F02D9" w:rsidRDefault="003F02D9">
      <w:r>
        <w:separator/>
      </w:r>
    </w:p>
  </w:endnote>
  <w:endnote w:type="continuationSeparator" w:id="0">
    <w:p w14:paraId="3CB80B37" w14:textId="77777777" w:rsidR="003F02D9" w:rsidRDefault="003F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8487" w14:textId="77777777" w:rsidR="00E45D05" w:rsidRDefault="00E45D05">
    <w:pPr>
      <w:framePr w:wrap="around" w:vAnchor="text" w:hAnchor="margin" w:xAlign="right" w:y="1"/>
    </w:pPr>
    <w:r>
      <w:fldChar w:fldCharType="begin"/>
    </w:r>
    <w:r>
      <w:instrText xml:space="preserve">PAGE  </w:instrText>
    </w:r>
    <w:r>
      <w:fldChar w:fldCharType="end"/>
    </w:r>
  </w:p>
  <w:p w14:paraId="0A0527E8" w14:textId="5EBE96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E4AA8">
      <w:rPr>
        <w:noProof/>
        <w:lang w:val="en-US"/>
      </w:rPr>
      <w:t>C:\Users\chamovaa\AppData\Local\Microsoft\Windows\INetCache\Content.Outlook\QNDRYZGL\065ADD25ADD04e_AC (edited)_nm.docx</w:t>
    </w:r>
    <w:r>
      <w:fldChar w:fldCharType="end"/>
    </w:r>
    <w:r w:rsidRPr="0041348E">
      <w:rPr>
        <w:lang w:val="en-US"/>
      </w:rPr>
      <w:tab/>
    </w:r>
    <w:r>
      <w:fldChar w:fldCharType="begin"/>
    </w:r>
    <w:r>
      <w:instrText xml:space="preserve"> SAVEDATE \@ DD.MM.YY </w:instrText>
    </w:r>
    <w:r>
      <w:fldChar w:fldCharType="separate"/>
    </w:r>
    <w:r w:rsidR="004860D4">
      <w:rPr>
        <w:noProof/>
      </w:rPr>
      <w:t>06.11.23</w:t>
    </w:r>
    <w:r>
      <w:fldChar w:fldCharType="end"/>
    </w:r>
    <w:r w:rsidRPr="0041348E">
      <w:rPr>
        <w:lang w:val="en-US"/>
      </w:rPr>
      <w:tab/>
    </w:r>
    <w:r>
      <w:fldChar w:fldCharType="begin"/>
    </w:r>
    <w:r>
      <w:instrText xml:space="preserve"> PRINTDATE \@ DD.MM.YY </w:instrText>
    </w:r>
    <w:r>
      <w:fldChar w:fldCharType="separate"/>
    </w:r>
    <w:r w:rsidR="00DE4AA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9F0E" w14:textId="00AA324A" w:rsidR="00E45D05" w:rsidRDefault="00E45D05" w:rsidP="009B1EA1">
    <w:pPr>
      <w:pStyle w:val="Footer"/>
    </w:pPr>
    <w:r>
      <w:fldChar w:fldCharType="begin"/>
    </w:r>
    <w:r w:rsidRPr="0041348E">
      <w:rPr>
        <w:lang w:val="en-US"/>
      </w:rPr>
      <w:instrText xml:space="preserve"> FILENAME \p  \* MERGEFORMAT </w:instrText>
    </w:r>
    <w:r>
      <w:fldChar w:fldCharType="separate"/>
    </w:r>
    <w:r w:rsidR="006B2C71">
      <w:rPr>
        <w:lang w:val="en-US"/>
      </w:rPr>
      <w:t>P:\ENG\ITU-R\CONF-R\CMR23\000\065ADD25ADD04E.doc</w:t>
    </w:r>
    <w:r>
      <w:fldChar w:fldCharType="end"/>
    </w:r>
    <w:r w:rsidR="006B2C71">
      <w:t xml:space="preserve"> (530575)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FD41" w14:textId="1FDFD23E" w:rsidR="006B2C71" w:rsidRPr="006B2C71" w:rsidRDefault="004860D4" w:rsidP="006B2C71">
    <w:pPr>
      <w:pStyle w:val="Footer"/>
    </w:pPr>
    <w:r>
      <w:fldChar w:fldCharType="begin"/>
    </w:r>
    <w:r>
      <w:instrText xml:space="preserve"> FILENAME \p \* MERGEFORMAT </w:instrText>
    </w:r>
    <w:r>
      <w:fldChar w:fldCharType="separate"/>
    </w:r>
    <w:r w:rsidR="006B2C71">
      <w:t>P:\ENG\ITU-R\CONF-R\CMR23\000\065ADD25ADD04E.doc</w:t>
    </w:r>
    <w:r>
      <w:fldChar w:fldCharType="end"/>
    </w:r>
    <w:r w:rsidR="006B2C71">
      <w:t xml:space="preserve"> (530575)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6B4B" w14:textId="77777777" w:rsidR="003F02D9" w:rsidRDefault="003F02D9">
      <w:r>
        <w:rPr>
          <w:b/>
        </w:rPr>
        <w:t>_______________</w:t>
      </w:r>
    </w:p>
  </w:footnote>
  <w:footnote w:type="continuationSeparator" w:id="0">
    <w:p w14:paraId="197B7F20" w14:textId="77777777" w:rsidR="003F02D9" w:rsidRDefault="003F02D9">
      <w:r>
        <w:continuationSeparator/>
      </w:r>
    </w:p>
  </w:footnote>
  <w:footnote w:id="1">
    <w:p w14:paraId="5AF9D1CB" w14:textId="77777777" w:rsidR="000F6A39" w:rsidRDefault="000F6A39"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5661700E" w14:textId="77777777" w:rsidR="00240967" w:rsidRDefault="00240967" w:rsidP="00240967">
      <w:pPr>
        <w:pStyle w:val="FootnoteText"/>
        <w:rPr>
          <w:i/>
          <w:sz w:val="12"/>
        </w:rPr>
      </w:pPr>
      <w:r w:rsidRPr="001D52DD">
        <w:rPr>
          <w:rStyle w:val="FootnoteReference"/>
          <w:i/>
          <w:iCs/>
        </w:rPr>
        <w:t xml:space="preserve">9bis </w:t>
      </w:r>
      <w:r w:rsidRPr="00350F6D">
        <w:rPr>
          <w:i/>
          <w:szCs w:val="24"/>
          <w:lang w:val="en-US"/>
        </w:rPr>
        <w:t xml:space="preserve">Unless </w:t>
      </w:r>
      <w:proofErr w:type="gramStart"/>
      <w:r w:rsidRPr="00350F6D">
        <w:rPr>
          <w:i/>
          <w:szCs w:val="24"/>
          <w:lang w:val="en-US"/>
        </w:rPr>
        <w:t>the request has been received by the Bureau</w:t>
      </w:r>
      <w:proofErr w:type="gramEnd"/>
      <w:r w:rsidRPr="00350F6D">
        <w:rPr>
          <w:i/>
          <w:szCs w:val="24"/>
          <w:lang w:val="en-US"/>
        </w:rPr>
        <w:t>, it shall, no later than 90</w:t>
      </w:r>
      <w:r w:rsidRPr="00350F6D">
        <w:rPr>
          <w:i/>
          <w:szCs w:val="24"/>
        </w:rPr>
        <w:t> </w:t>
      </w:r>
      <w:r w:rsidRPr="00350F6D">
        <w:rPr>
          <w:i/>
          <w:szCs w:val="24"/>
          <w:lang w:val="en-US"/>
        </w:rPr>
        <w:t>days before the deadline of such a request, send a reminder to the notifying administration</w:t>
      </w:r>
      <w:r w:rsidRPr="00DE4AA8">
        <w:rPr>
          <w:i/>
          <w:sz w:val="16"/>
          <w:szCs w:val="16"/>
          <w:lang w:val="en-US"/>
        </w:rPr>
        <w:t>.</w:t>
      </w:r>
      <w:r w:rsidRPr="00DE4AA8">
        <w:rPr>
          <w:i/>
          <w:sz w:val="16"/>
          <w:szCs w:val="16"/>
        </w:rPr>
        <w:t>     (WRC</w:t>
      </w:r>
      <w:r w:rsidRPr="00DE4AA8">
        <w:rPr>
          <w:i/>
          <w:sz w:val="16"/>
          <w:szCs w:val="16"/>
        </w:rPr>
        <w:noBreakHyphen/>
        <w:t>19)</w:t>
      </w:r>
    </w:p>
    <w:p w14:paraId="7314B821" w14:textId="07B490B5" w:rsidR="00240967" w:rsidRPr="008F3526" w:rsidRDefault="00240967" w:rsidP="00240967">
      <w:pPr>
        <w:pStyle w:val="FootnoteText"/>
        <w:rPr>
          <w:i/>
          <w:sz w:val="12"/>
        </w:rPr>
      </w:pPr>
      <w:r w:rsidRPr="001C1159">
        <w:rPr>
          <w:rStyle w:val="FootnoteReference"/>
          <w:i/>
          <w:iCs/>
        </w:rPr>
        <w:t xml:space="preserve">11bis </w:t>
      </w:r>
      <w:r w:rsidRPr="00350F6D">
        <w:rPr>
          <w:i/>
          <w:szCs w:val="24"/>
        </w:rPr>
        <w:t>Unless the request has been received by the Bureau, it shall, no later than 90 days before the deadline of such a request, send a reminder to the notifying administration</w:t>
      </w:r>
      <w:r w:rsidRPr="00DE4AA8">
        <w:rPr>
          <w:i/>
          <w:sz w:val="16"/>
          <w:szCs w:val="16"/>
        </w:rPr>
        <w:t>.</w:t>
      </w:r>
      <w:r w:rsidR="00350F6D" w:rsidRPr="00DE4AA8">
        <w:rPr>
          <w:i/>
          <w:sz w:val="16"/>
          <w:szCs w:val="16"/>
        </w:rPr>
        <w:t>     </w:t>
      </w:r>
      <w:r w:rsidRPr="00DE4AA8">
        <w:rPr>
          <w:i/>
          <w:sz w:val="16"/>
          <w:szCs w:val="16"/>
        </w:rPr>
        <w:t>(WRC-19)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2E2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9BD6DBC"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65(Add.25)(Add.4)</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38032508">
    <w:abstractNumId w:val="0"/>
  </w:num>
  <w:num w:numId="2" w16cid:durableId="203237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A96"/>
    <w:rsid w:val="000355FD"/>
    <w:rsid w:val="00051E39"/>
    <w:rsid w:val="000705F2"/>
    <w:rsid w:val="00077239"/>
    <w:rsid w:val="0007795D"/>
    <w:rsid w:val="00086491"/>
    <w:rsid w:val="00091346"/>
    <w:rsid w:val="0009706C"/>
    <w:rsid w:val="000D154B"/>
    <w:rsid w:val="000D2DAF"/>
    <w:rsid w:val="000E463E"/>
    <w:rsid w:val="000F6A39"/>
    <w:rsid w:val="000F73FF"/>
    <w:rsid w:val="00114CF7"/>
    <w:rsid w:val="00116C7A"/>
    <w:rsid w:val="00123B68"/>
    <w:rsid w:val="00126F2E"/>
    <w:rsid w:val="00146F6F"/>
    <w:rsid w:val="00161F26"/>
    <w:rsid w:val="00187BD9"/>
    <w:rsid w:val="00190B55"/>
    <w:rsid w:val="001C1159"/>
    <w:rsid w:val="001C3B5F"/>
    <w:rsid w:val="001D058F"/>
    <w:rsid w:val="001D52DD"/>
    <w:rsid w:val="002009EA"/>
    <w:rsid w:val="00202756"/>
    <w:rsid w:val="00202CA0"/>
    <w:rsid w:val="00216B6D"/>
    <w:rsid w:val="0022757F"/>
    <w:rsid w:val="00231B94"/>
    <w:rsid w:val="00240967"/>
    <w:rsid w:val="00241FA2"/>
    <w:rsid w:val="00271316"/>
    <w:rsid w:val="002B349C"/>
    <w:rsid w:val="002C45C0"/>
    <w:rsid w:val="002D58BE"/>
    <w:rsid w:val="002F4747"/>
    <w:rsid w:val="00302605"/>
    <w:rsid w:val="00350F6D"/>
    <w:rsid w:val="00361B37"/>
    <w:rsid w:val="00377BD3"/>
    <w:rsid w:val="00384088"/>
    <w:rsid w:val="003852CE"/>
    <w:rsid w:val="0039169B"/>
    <w:rsid w:val="003A7F8C"/>
    <w:rsid w:val="003B2284"/>
    <w:rsid w:val="003B532E"/>
    <w:rsid w:val="003D0F8B"/>
    <w:rsid w:val="003E0DB6"/>
    <w:rsid w:val="003F02D9"/>
    <w:rsid w:val="0041348E"/>
    <w:rsid w:val="00420873"/>
    <w:rsid w:val="004860D4"/>
    <w:rsid w:val="00492075"/>
    <w:rsid w:val="004969AD"/>
    <w:rsid w:val="004A26C4"/>
    <w:rsid w:val="004B13CB"/>
    <w:rsid w:val="004D26EA"/>
    <w:rsid w:val="004D2BFB"/>
    <w:rsid w:val="004D5D5C"/>
    <w:rsid w:val="004E33F5"/>
    <w:rsid w:val="004F3DC0"/>
    <w:rsid w:val="0050139F"/>
    <w:rsid w:val="0055140B"/>
    <w:rsid w:val="005861D7"/>
    <w:rsid w:val="005964AB"/>
    <w:rsid w:val="005C099A"/>
    <w:rsid w:val="005C31A5"/>
    <w:rsid w:val="005D034A"/>
    <w:rsid w:val="005E10C9"/>
    <w:rsid w:val="005E290B"/>
    <w:rsid w:val="005E61DD"/>
    <w:rsid w:val="005E7E50"/>
    <w:rsid w:val="005F04D8"/>
    <w:rsid w:val="006023DF"/>
    <w:rsid w:val="00615426"/>
    <w:rsid w:val="00616219"/>
    <w:rsid w:val="00645B7D"/>
    <w:rsid w:val="00647FCB"/>
    <w:rsid w:val="00657DE0"/>
    <w:rsid w:val="00685313"/>
    <w:rsid w:val="00692833"/>
    <w:rsid w:val="006A6E9B"/>
    <w:rsid w:val="006B2C71"/>
    <w:rsid w:val="006B7C2A"/>
    <w:rsid w:val="006C23DA"/>
    <w:rsid w:val="006D70B0"/>
    <w:rsid w:val="006E3D45"/>
    <w:rsid w:val="0070607A"/>
    <w:rsid w:val="007149F9"/>
    <w:rsid w:val="00733A30"/>
    <w:rsid w:val="00745AEE"/>
    <w:rsid w:val="00750F10"/>
    <w:rsid w:val="007742CA"/>
    <w:rsid w:val="00790D70"/>
    <w:rsid w:val="007A6F1F"/>
    <w:rsid w:val="007B11E3"/>
    <w:rsid w:val="007D5320"/>
    <w:rsid w:val="00800972"/>
    <w:rsid w:val="00804475"/>
    <w:rsid w:val="00811633"/>
    <w:rsid w:val="00814037"/>
    <w:rsid w:val="00841216"/>
    <w:rsid w:val="00842AF0"/>
    <w:rsid w:val="0085617D"/>
    <w:rsid w:val="0086171E"/>
    <w:rsid w:val="00872FC8"/>
    <w:rsid w:val="008845D0"/>
    <w:rsid w:val="00884D60"/>
    <w:rsid w:val="00896E56"/>
    <w:rsid w:val="008B43F2"/>
    <w:rsid w:val="008B6CFF"/>
    <w:rsid w:val="00900B2F"/>
    <w:rsid w:val="009274B4"/>
    <w:rsid w:val="00934EA2"/>
    <w:rsid w:val="00944A5C"/>
    <w:rsid w:val="00952A66"/>
    <w:rsid w:val="00987309"/>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0DD1"/>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27A7"/>
    <w:rsid w:val="00C234E6"/>
    <w:rsid w:val="00C324A8"/>
    <w:rsid w:val="00C54517"/>
    <w:rsid w:val="00C56F70"/>
    <w:rsid w:val="00C57B91"/>
    <w:rsid w:val="00C64CD8"/>
    <w:rsid w:val="00C82695"/>
    <w:rsid w:val="00C97C68"/>
    <w:rsid w:val="00CA1A47"/>
    <w:rsid w:val="00CA3DFC"/>
    <w:rsid w:val="00CA50F4"/>
    <w:rsid w:val="00CB44E5"/>
    <w:rsid w:val="00CB7520"/>
    <w:rsid w:val="00CC247A"/>
    <w:rsid w:val="00CE388F"/>
    <w:rsid w:val="00CE5E47"/>
    <w:rsid w:val="00CF020F"/>
    <w:rsid w:val="00CF2B5B"/>
    <w:rsid w:val="00D14CE0"/>
    <w:rsid w:val="00D157AC"/>
    <w:rsid w:val="00D255D4"/>
    <w:rsid w:val="00D268B3"/>
    <w:rsid w:val="00D52FD6"/>
    <w:rsid w:val="00D54009"/>
    <w:rsid w:val="00D5651D"/>
    <w:rsid w:val="00D569DC"/>
    <w:rsid w:val="00D57A34"/>
    <w:rsid w:val="00D74898"/>
    <w:rsid w:val="00D801ED"/>
    <w:rsid w:val="00D936BC"/>
    <w:rsid w:val="00D96530"/>
    <w:rsid w:val="00DA1CB1"/>
    <w:rsid w:val="00DD44AF"/>
    <w:rsid w:val="00DE2AC3"/>
    <w:rsid w:val="00DE4AA8"/>
    <w:rsid w:val="00DE5692"/>
    <w:rsid w:val="00DE6300"/>
    <w:rsid w:val="00DF4BC6"/>
    <w:rsid w:val="00DF78E0"/>
    <w:rsid w:val="00E03C94"/>
    <w:rsid w:val="00E205BC"/>
    <w:rsid w:val="00E26226"/>
    <w:rsid w:val="00E45D05"/>
    <w:rsid w:val="00E45EB9"/>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3F12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超级链接,CEO_Hyperlink"/>
    <w:basedOn w:val="DefaultParagraphFont"/>
    <w:uiPriority w:val="99"/>
    <w:unhideWhenUsed/>
    <w:rPr>
      <w:color w:val="0000FF" w:themeColor="hyperlink"/>
      <w:u w:val="single"/>
    </w:rPr>
  </w:style>
  <w:style w:type="paragraph" w:styleId="Revision">
    <w:name w:val="Revision"/>
    <w:hidden/>
    <w:uiPriority w:val="99"/>
    <w:semiHidden/>
    <w:rsid w:val="00E45EB9"/>
    <w:rPr>
      <w:rFonts w:ascii="Times New Roman" w:hAnsi="Times New Roman"/>
      <w:sz w:val="24"/>
      <w:lang w:val="en-GB" w:eastAsia="en-US"/>
    </w:rPr>
  </w:style>
  <w:style w:type="character" w:styleId="CommentReference">
    <w:name w:val="annotation reference"/>
    <w:basedOn w:val="DefaultParagraphFont"/>
    <w:semiHidden/>
    <w:unhideWhenUsed/>
    <w:rsid w:val="006B2C71"/>
    <w:rPr>
      <w:sz w:val="16"/>
      <w:szCs w:val="16"/>
    </w:rPr>
  </w:style>
  <w:style w:type="paragraph" w:styleId="CommentText">
    <w:name w:val="annotation text"/>
    <w:basedOn w:val="Normal"/>
    <w:link w:val="CommentTextChar"/>
    <w:semiHidden/>
    <w:unhideWhenUsed/>
    <w:rsid w:val="006B2C71"/>
    <w:rPr>
      <w:sz w:val="20"/>
    </w:rPr>
  </w:style>
  <w:style w:type="character" w:customStyle="1" w:styleId="CommentTextChar">
    <w:name w:val="Comment Text Char"/>
    <w:basedOn w:val="DefaultParagraphFont"/>
    <w:link w:val="CommentText"/>
    <w:semiHidden/>
    <w:rsid w:val="006B2C7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B2C71"/>
    <w:rPr>
      <w:b/>
      <w:bCs/>
    </w:rPr>
  </w:style>
  <w:style w:type="character" w:customStyle="1" w:styleId="CommentSubjectChar">
    <w:name w:val="Comment Subject Char"/>
    <w:basedOn w:val="CommentTextChar"/>
    <w:link w:val="CommentSubject"/>
    <w:semiHidden/>
    <w:rsid w:val="006B2C71"/>
    <w:rPr>
      <w:rFonts w:ascii="Times New Roman" w:hAnsi="Times New Roman"/>
      <w:b/>
      <w:bCs/>
      <w:lang w:val="en-GB" w:eastAsia="en-US"/>
    </w:rPr>
  </w:style>
  <w:style w:type="character" w:styleId="FollowedHyperlink">
    <w:name w:val="FollowedHyperlink"/>
    <w:basedOn w:val="DefaultParagraphFont"/>
    <w:semiHidden/>
    <w:unhideWhenUsed/>
    <w:rsid w:val="00486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RRB23.1-C-0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R23-WRC23-C-0065!A25-A4!MSW-E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0CB2-B92C-4B5F-A963-A6D32FBDD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D6F59-B644-4527-BD32-ECC9B821752F}">
  <ds:schemaRefs>
    <ds:schemaRef ds:uri="http://schemas.microsoft.com/sharepoint/v3/contenttype/forms"/>
  </ds:schemaRefs>
</ds:datastoreItem>
</file>

<file path=customXml/itemProps3.xml><?xml version="1.0" encoding="utf-8"?>
<ds:datastoreItem xmlns:ds="http://schemas.openxmlformats.org/officeDocument/2006/customXml" ds:itemID="{C65150EF-6C86-4772-A232-A4C3C4391EEC}">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B315C518-1F02-4FC7-8EA9-F3A6C089F48B}">
  <ds:schemaRefs>
    <ds:schemaRef ds:uri="http://schemas.microsoft.com/sharepoint/events"/>
  </ds:schemaRefs>
</ds:datastoreItem>
</file>

<file path=customXml/itemProps5.xml><?xml version="1.0" encoding="utf-8"?>
<ds:datastoreItem xmlns:ds="http://schemas.openxmlformats.org/officeDocument/2006/customXml" ds:itemID="{C1803FDB-2B79-420D-BCE9-DFE64BDC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934</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R23-WRC23-C-0065!A25-A4!MSW-E</vt:lpstr>
    </vt:vector>
  </TitlesOfParts>
  <Manager>General Secretariat - Pool</Manager>
  <Company>International Telecommunication Union (ITU)</Company>
  <LinksUpToDate>false</LinksUpToDate>
  <CharactersWithSpaces>5723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R23-WRC23-C-0065!A25-A4!MSW-E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2023-11-06T08:14:00Z</dcterms:created>
  <dcterms:modified xsi:type="dcterms:W3CDTF">2023-11-06T16:58:00Z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