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83BE90E" w14:textId="77777777" w:rsidTr="00752552">
        <w:trPr>
          <w:cantSplit/>
          <w:trHeight w:val="20"/>
        </w:trPr>
        <w:tc>
          <w:tcPr>
            <w:tcW w:w="1589" w:type="dxa"/>
            <w:vAlign w:val="center"/>
          </w:tcPr>
          <w:p w14:paraId="304246B4" w14:textId="77777777" w:rsidR="00752552" w:rsidRPr="000D1EE4" w:rsidRDefault="00752552" w:rsidP="00752552">
            <w:pPr>
              <w:spacing w:before="0"/>
              <w:jc w:val="left"/>
              <w:rPr>
                <w:b/>
                <w:bCs/>
                <w:rtl/>
                <w:lang w:bidi="ar-EG"/>
              </w:rPr>
            </w:pPr>
            <w:r w:rsidRPr="000D1EE4">
              <w:rPr>
                <w:noProof/>
              </w:rPr>
              <w:drawing>
                <wp:inline distT="0" distB="0" distL="0" distR="0" wp14:anchorId="7583603C" wp14:editId="4C0FE12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99F236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91E399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793B2B7" w14:textId="77777777" w:rsidR="00752552" w:rsidRPr="000D1EE4" w:rsidRDefault="00752552" w:rsidP="00752552">
            <w:pPr>
              <w:jc w:val="right"/>
              <w:rPr>
                <w:rtl/>
                <w:lang w:bidi="ar-EG"/>
              </w:rPr>
            </w:pPr>
            <w:bookmarkStart w:id="0" w:name="ditulogo"/>
            <w:bookmarkEnd w:id="0"/>
            <w:r>
              <w:rPr>
                <w:noProof/>
              </w:rPr>
              <w:drawing>
                <wp:inline distT="0" distB="0" distL="0" distR="0" wp14:anchorId="183D3251" wp14:editId="7EC01A2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EC49988" w14:textId="77777777" w:rsidTr="00752552">
        <w:trPr>
          <w:cantSplit/>
          <w:trHeight w:val="20"/>
        </w:trPr>
        <w:tc>
          <w:tcPr>
            <w:tcW w:w="6696" w:type="dxa"/>
            <w:gridSpan w:val="2"/>
            <w:tcBorders>
              <w:bottom w:val="single" w:sz="12" w:space="0" w:color="auto"/>
            </w:tcBorders>
          </w:tcPr>
          <w:p w14:paraId="7D687801" w14:textId="77777777" w:rsidR="000D1EE4" w:rsidRPr="000D1EE4" w:rsidRDefault="000D1EE4" w:rsidP="000D1EE4">
            <w:pPr>
              <w:rPr>
                <w:rtl/>
                <w:lang w:bidi="ar-EG"/>
              </w:rPr>
            </w:pPr>
          </w:p>
        </w:tc>
        <w:tc>
          <w:tcPr>
            <w:tcW w:w="2970" w:type="dxa"/>
            <w:gridSpan w:val="2"/>
            <w:tcBorders>
              <w:bottom w:val="single" w:sz="12" w:space="0" w:color="auto"/>
            </w:tcBorders>
          </w:tcPr>
          <w:p w14:paraId="2BD0A7DD" w14:textId="77777777" w:rsidR="000D1EE4" w:rsidRPr="000D1EE4" w:rsidRDefault="000D1EE4" w:rsidP="000D1EE4">
            <w:pPr>
              <w:rPr>
                <w:lang w:val="en-GB" w:bidi="ar-EG"/>
              </w:rPr>
            </w:pPr>
          </w:p>
        </w:tc>
      </w:tr>
      <w:tr w:rsidR="000D1EE4" w:rsidRPr="000D1EE4" w14:paraId="3CB31103" w14:textId="77777777" w:rsidTr="00752552">
        <w:trPr>
          <w:cantSplit/>
          <w:trHeight w:val="20"/>
        </w:trPr>
        <w:tc>
          <w:tcPr>
            <w:tcW w:w="6696" w:type="dxa"/>
            <w:gridSpan w:val="2"/>
            <w:tcBorders>
              <w:top w:val="single" w:sz="12" w:space="0" w:color="auto"/>
            </w:tcBorders>
          </w:tcPr>
          <w:p w14:paraId="5742E4D9" w14:textId="77777777" w:rsidR="000D1EE4" w:rsidRPr="000D1EE4" w:rsidRDefault="000D1EE4" w:rsidP="00577D90">
            <w:pPr>
              <w:spacing w:before="0" w:line="240" w:lineRule="exact"/>
              <w:rPr>
                <w:b/>
                <w:bCs/>
                <w:rtl/>
                <w:lang w:bidi="ar-EG"/>
              </w:rPr>
            </w:pPr>
          </w:p>
        </w:tc>
        <w:tc>
          <w:tcPr>
            <w:tcW w:w="2970" w:type="dxa"/>
            <w:gridSpan w:val="2"/>
            <w:tcBorders>
              <w:top w:val="single" w:sz="12" w:space="0" w:color="auto"/>
            </w:tcBorders>
          </w:tcPr>
          <w:p w14:paraId="3C524F25" w14:textId="77777777" w:rsidR="000D1EE4" w:rsidRPr="000D1EE4" w:rsidRDefault="000D1EE4" w:rsidP="00577D90">
            <w:pPr>
              <w:spacing w:before="0" w:line="240" w:lineRule="exact"/>
              <w:rPr>
                <w:b/>
                <w:bCs/>
                <w:lang w:bidi="ar-EG"/>
              </w:rPr>
            </w:pPr>
          </w:p>
        </w:tc>
      </w:tr>
      <w:tr w:rsidR="000D1EE4" w:rsidRPr="000D1EE4" w14:paraId="14129157" w14:textId="77777777" w:rsidTr="00752552">
        <w:trPr>
          <w:cantSplit/>
        </w:trPr>
        <w:tc>
          <w:tcPr>
            <w:tcW w:w="6696" w:type="dxa"/>
            <w:gridSpan w:val="2"/>
          </w:tcPr>
          <w:p w14:paraId="3CA08060" w14:textId="77777777" w:rsidR="000D1EE4" w:rsidRPr="00340DFF" w:rsidRDefault="00E50850" w:rsidP="000D1EE4">
            <w:pPr>
              <w:spacing w:before="60" w:after="60" w:line="260" w:lineRule="exact"/>
              <w:rPr>
                <w:b/>
                <w:bCs/>
                <w:rtl/>
                <w:lang w:bidi="ar-EG"/>
              </w:rPr>
            </w:pPr>
            <w:r w:rsidRPr="00340DFF">
              <w:rPr>
                <w:b/>
                <w:bCs/>
                <w:rtl/>
                <w:lang w:bidi="ar-EG"/>
              </w:rPr>
              <w:t>الجلسة العامة</w:t>
            </w:r>
          </w:p>
        </w:tc>
        <w:tc>
          <w:tcPr>
            <w:tcW w:w="2970" w:type="dxa"/>
            <w:gridSpan w:val="2"/>
          </w:tcPr>
          <w:p w14:paraId="7469A602" w14:textId="41415232" w:rsidR="000D1EE4" w:rsidRPr="00340DFF" w:rsidRDefault="00E50850" w:rsidP="000D1EE4">
            <w:pPr>
              <w:spacing w:before="60" w:after="60" w:line="260" w:lineRule="exact"/>
              <w:rPr>
                <w:b/>
                <w:bCs/>
                <w:rtl/>
                <w:lang w:bidi="ar-EG"/>
              </w:rPr>
            </w:pPr>
            <w:r w:rsidRPr="00340DFF">
              <w:rPr>
                <w:rFonts w:eastAsia="SimSun"/>
                <w:b/>
                <w:bCs/>
                <w:rtl/>
                <w:lang w:bidi="ar-EG"/>
              </w:rPr>
              <w:t>الإضافة4</w:t>
            </w:r>
            <w:r w:rsidRPr="00340DFF">
              <w:rPr>
                <w:rFonts w:eastAsia="SimSun"/>
                <w:b/>
                <w:bCs/>
                <w:rtl/>
                <w:lang w:bidi="ar-EG"/>
              </w:rPr>
              <w:br/>
              <w:t xml:space="preserve">للوثيقة </w:t>
            </w:r>
            <w:r w:rsidRPr="00340DFF">
              <w:rPr>
                <w:rFonts w:eastAsia="SimSun"/>
                <w:b/>
                <w:bCs/>
              </w:rPr>
              <w:t>65(Add.</w:t>
            </w:r>
            <w:proofErr w:type="gramStart"/>
            <w:r w:rsidRPr="00340DFF">
              <w:rPr>
                <w:rFonts w:eastAsia="SimSun"/>
                <w:b/>
                <w:bCs/>
              </w:rPr>
              <w:t>25)-</w:t>
            </w:r>
            <w:proofErr w:type="gramEnd"/>
            <w:r w:rsidRPr="00340DFF">
              <w:rPr>
                <w:rFonts w:eastAsia="SimSun"/>
                <w:b/>
                <w:bCs/>
              </w:rPr>
              <w:t>A</w:t>
            </w:r>
          </w:p>
        </w:tc>
      </w:tr>
      <w:tr w:rsidR="000D1EE4" w:rsidRPr="000D1EE4" w14:paraId="65DC822F" w14:textId="77777777" w:rsidTr="00752552">
        <w:trPr>
          <w:cantSplit/>
        </w:trPr>
        <w:tc>
          <w:tcPr>
            <w:tcW w:w="6696" w:type="dxa"/>
            <w:gridSpan w:val="2"/>
          </w:tcPr>
          <w:p w14:paraId="275E7EC3" w14:textId="77777777" w:rsidR="000D1EE4" w:rsidRPr="00340DFF" w:rsidRDefault="000D1EE4" w:rsidP="000D1EE4">
            <w:pPr>
              <w:spacing w:before="60" w:after="60" w:line="260" w:lineRule="exact"/>
              <w:rPr>
                <w:b/>
                <w:bCs/>
                <w:rtl/>
                <w:lang w:bidi="ar-EG"/>
              </w:rPr>
            </w:pPr>
          </w:p>
        </w:tc>
        <w:tc>
          <w:tcPr>
            <w:tcW w:w="2970" w:type="dxa"/>
            <w:gridSpan w:val="2"/>
          </w:tcPr>
          <w:p w14:paraId="6F31D59B" w14:textId="77777777" w:rsidR="000D1EE4" w:rsidRPr="00340DFF" w:rsidRDefault="00E50850" w:rsidP="000D1EE4">
            <w:pPr>
              <w:spacing w:before="60" w:after="60" w:line="260" w:lineRule="exact"/>
              <w:rPr>
                <w:b/>
                <w:bCs/>
                <w:rtl/>
                <w:lang w:bidi="ar-EG"/>
              </w:rPr>
            </w:pPr>
            <w:r w:rsidRPr="00340DFF">
              <w:rPr>
                <w:rFonts w:eastAsia="SimSun"/>
                <w:b/>
                <w:bCs/>
              </w:rPr>
              <w:t>29</w:t>
            </w:r>
            <w:r w:rsidRPr="00340DFF">
              <w:rPr>
                <w:rFonts w:eastAsia="SimSun"/>
                <w:b/>
                <w:bCs/>
                <w:rtl/>
              </w:rPr>
              <w:t xml:space="preserve"> سبتمبر </w:t>
            </w:r>
            <w:r w:rsidRPr="00340DFF">
              <w:rPr>
                <w:rFonts w:eastAsia="SimSun"/>
                <w:b/>
                <w:bCs/>
              </w:rPr>
              <w:t>2023</w:t>
            </w:r>
          </w:p>
        </w:tc>
      </w:tr>
      <w:tr w:rsidR="000D1EE4" w:rsidRPr="000D1EE4" w14:paraId="11782284" w14:textId="77777777" w:rsidTr="00752552">
        <w:trPr>
          <w:cantSplit/>
        </w:trPr>
        <w:tc>
          <w:tcPr>
            <w:tcW w:w="6696" w:type="dxa"/>
            <w:gridSpan w:val="2"/>
          </w:tcPr>
          <w:p w14:paraId="577B2E0C" w14:textId="77777777" w:rsidR="000D1EE4" w:rsidRPr="00340DFF" w:rsidRDefault="000D1EE4" w:rsidP="000D1EE4">
            <w:pPr>
              <w:spacing w:before="60" w:after="60" w:line="260" w:lineRule="exact"/>
              <w:rPr>
                <w:b/>
                <w:bCs/>
                <w:rtl/>
                <w:lang w:bidi="ar-EG"/>
              </w:rPr>
            </w:pPr>
          </w:p>
        </w:tc>
        <w:tc>
          <w:tcPr>
            <w:tcW w:w="2970" w:type="dxa"/>
            <w:gridSpan w:val="2"/>
          </w:tcPr>
          <w:p w14:paraId="2BA26E8F" w14:textId="77777777" w:rsidR="000D1EE4" w:rsidRPr="00340DFF" w:rsidRDefault="00E50850" w:rsidP="000D1EE4">
            <w:pPr>
              <w:spacing w:before="60" w:after="60" w:line="260" w:lineRule="exact"/>
              <w:rPr>
                <w:b/>
                <w:bCs/>
                <w:lang w:bidi="ar-EG"/>
              </w:rPr>
            </w:pPr>
            <w:r w:rsidRPr="00340DFF">
              <w:rPr>
                <w:b/>
                <w:bCs/>
                <w:rtl/>
                <w:lang w:bidi="ar-EG"/>
              </w:rPr>
              <w:t>الأصل: بالإنكليزية</w:t>
            </w:r>
          </w:p>
        </w:tc>
      </w:tr>
      <w:tr w:rsidR="000D1EE4" w:rsidRPr="000D1EE4" w14:paraId="1272A247" w14:textId="77777777" w:rsidTr="00752552">
        <w:trPr>
          <w:cantSplit/>
        </w:trPr>
        <w:tc>
          <w:tcPr>
            <w:tcW w:w="9666" w:type="dxa"/>
            <w:gridSpan w:val="4"/>
          </w:tcPr>
          <w:p w14:paraId="48D0EF21" w14:textId="77777777" w:rsidR="000D1EE4" w:rsidRPr="00340DFF" w:rsidRDefault="000D1EE4" w:rsidP="000D1EE4">
            <w:pPr>
              <w:rPr>
                <w:b/>
                <w:bCs/>
                <w:lang w:bidi="ar-EG"/>
              </w:rPr>
            </w:pPr>
          </w:p>
        </w:tc>
      </w:tr>
      <w:tr w:rsidR="000D1EE4" w:rsidRPr="000D1EE4" w14:paraId="65E8CC4C" w14:textId="77777777" w:rsidTr="00752552">
        <w:trPr>
          <w:cantSplit/>
        </w:trPr>
        <w:tc>
          <w:tcPr>
            <w:tcW w:w="9666" w:type="dxa"/>
            <w:gridSpan w:val="4"/>
          </w:tcPr>
          <w:p w14:paraId="52C836BD"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2335F8C0" w14:textId="77777777" w:rsidTr="00752552">
        <w:trPr>
          <w:cantSplit/>
        </w:trPr>
        <w:tc>
          <w:tcPr>
            <w:tcW w:w="9666" w:type="dxa"/>
            <w:gridSpan w:val="4"/>
          </w:tcPr>
          <w:p w14:paraId="2EF25F12" w14:textId="2AEBEF64" w:rsidR="000D1EE4" w:rsidRPr="000D1EE4" w:rsidRDefault="00340DFF" w:rsidP="000D1EE4">
            <w:pPr>
              <w:pStyle w:val="Title1"/>
              <w:rPr>
                <w:rtl/>
              </w:rPr>
            </w:pPr>
            <w:r>
              <w:rPr>
                <w:rFonts w:hint="cs"/>
                <w:rtl/>
              </w:rPr>
              <w:t>مقترحات بشأن أعمال المؤتمر</w:t>
            </w:r>
          </w:p>
        </w:tc>
      </w:tr>
      <w:tr w:rsidR="000D1EE4" w:rsidRPr="000D1EE4" w14:paraId="2BEF520E" w14:textId="77777777" w:rsidTr="00752552">
        <w:trPr>
          <w:cantSplit/>
        </w:trPr>
        <w:tc>
          <w:tcPr>
            <w:tcW w:w="9666" w:type="dxa"/>
            <w:gridSpan w:val="4"/>
          </w:tcPr>
          <w:p w14:paraId="6894B4F7" w14:textId="77777777" w:rsidR="000D1EE4" w:rsidRPr="000D1EE4" w:rsidRDefault="000D1EE4" w:rsidP="000D1EE4">
            <w:pPr>
              <w:pStyle w:val="Title2"/>
              <w:rPr>
                <w:rtl/>
              </w:rPr>
            </w:pPr>
          </w:p>
        </w:tc>
      </w:tr>
      <w:tr w:rsidR="00E50850" w:rsidRPr="000D1EE4" w14:paraId="0288D275" w14:textId="77777777" w:rsidTr="00752552">
        <w:trPr>
          <w:cantSplit/>
        </w:trPr>
        <w:tc>
          <w:tcPr>
            <w:tcW w:w="9666" w:type="dxa"/>
            <w:gridSpan w:val="4"/>
          </w:tcPr>
          <w:p w14:paraId="172BB343" w14:textId="6616B8DE" w:rsidR="00E50850" w:rsidRPr="000D1EE4" w:rsidRDefault="00E50850" w:rsidP="00E50850">
            <w:pPr>
              <w:pStyle w:val="Agendaitem"/>
            </w:pPr>
            <w:r>
              <w:rPr>
                <w:rtl/>
              </w:rPr>
              <w:t>بند جدول الأعمال</w:t>
            </w:r>
            <w:r w:rsidR="00340DFF">
              <w:rPr>
                <w:rFonts w:hint="cs"/>
                <w:rtl/>
              </w:rPr>
              <w:t xml:space="preserve"> </w:t>
            </w:r>
            <w:r w:rsidR="00340DFF">
              <w:rPr>
                <w:rtl/>
              </w:rPr>
              <w:t>2.9</w:t>
            </w:r>
          </w:p>
        </w:tc>
      </w:tr>
    </w:tbl>
    <w:p w14:paraId="1F83AA14" w14:textId="6D253736" w:rsidR="00D05DA4" w:rsidRPr="00E1259A" w:rsidRDefault="007A31F0" w:rsidP="0087544C">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19207797" w14:textId="77777777" w:rsidR="00D05DA4" w:rsidRPr="00FE2CFF" w:rsidRDefault="007A31F0"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D98A9C9" w14:textId="0D78E81D" w:rsidR="00D05DA4" w:rsidRPr="00112DE5" w:rsidRDefault="00264CEF" w:rsidP="00C22410">
      <w:pPr>
        <w:pStyle w:val="Part1"/>
        <w:rPr>
          <w:rtl/>
        </w:rPr>
      </w:pPr>
      <w:r w:rsidRPr="00264CEF">
        <w:rPr>
          <w:rtl/>
        </w:rPr>
        <w:t xml:space="preserve">الجزء 4: القسم 1.5.2.3 من الإضافة 2 لتقرير المدير إلى المؤتمر </w:t>
      </w:r>
      <w:r w:rsidRPr="00264CEF">
        <w:t>WRC-23</w:t>
      </w:r>
    </w:p>
    <w:p w14:paraId="34B633E6" w14:textId="073B51D9" w:rsidR="00417E14" w:rsidRDefault="00C22410" w:rsidP="00C22410">
      <w:pPr>
        <w:pStyle w:val="Headingb"/>
        <w:rPr>
          <w:rtl/>
        </w:rPr>
      </w:pPr>
      <w:r>
        <w:rPr>
          <w:rFonts w:hint="cs"/>
          <w:rtl/>
        </w:rPr>
        <w:t>مقدمة</w:t>
      </w:r>
    </w:p>
    <w:p w14:paraId="4CF1DB04" w14:textId="20BCF0CE" w:rsidR="00B24B17" w:rsidRPr="0087544C" w:rsidRDefault="00264CEF" w:rsidP="00264CEF">
      <w:r w:rsidRPr="00264CEF">
        <w:rPr>
          <w:rtl/>
        </w:rPr>
        <w:t xml:space="preserve">تنص </w:t>
      </w:r>
      <w:r>
        <w:rPr>
          <w:rtl/>
        </w:rPr>
        <w:t xml:space="preserve">الفقرة 24.1.4 من التذييل </w:t>
      </w:r>
      <w:r w:rsidRPr="00187E8F">
        <w:rPr>
          <w:rStyle w:val="Appref"/>
          <w:b/>
          <w:bCs/>
          <w:rtl/>
        </w:rPr>
        <w:t>30</w:t>
      </w:r>
      <w:r>
        <w:rPr>
          <w:rtl/>
        </w:rPr>
        <w:t xml:space="preserve"> </w:t>
      </w:r>
      <w:r w:rsidRPr="00264CEF">
        <w:rPr>
          <w:rtl/>
        </w:rPr>
        <w:t>من لوائح الراديو على ما يلي</w:t>
      </w:r>
      <w:r>
        <w:rPr>
          <w:rFonts w:hint="cs"/>
          <w:rtl/>
        </w:rPr>
        <w:t>: "</w:t>
      </w:r>
      <w:r w:rsidR="00C22410" w:rsidRPr="00264CEF">
        <w:rPr>
          <w:i/>
          <w:iCs/>
          <w:rtl/>
          <w:lang w:bidi="ar-EG"/>
        </w:rPr>
        <w:t xml:space="preserve">يجب ألا يعطى أي تخصيص في القائمة فترة تشغيل تزيد على </w:t>
      </w:r>
      <w:r w:rsidR="00C22410" w:rsidRPr="00264CEF">
        <w:rPr>
          <w:i/>
          <w:iCs/>
          <w:lang w:bidi="ar-EG"/>
        </w:rPr>
        <w:t>15</w:t>
      </w:r>
      <w:r w:rsidR="00C22410" w:rsidRPr="00264CEF">
        <w:rPr>
          <w:i/>
          <w:iCs/>
          <w:rtl/>
          <w:lang w:bidi="ar-EG"/>
        </w:rPr>
        <w:t xml:space="preserve"> سنة، بدءاً من تاريخ وضعه في الخدمة أو</w:t>
      </w:r>
      <w:r w:rsidR="00C22410" w:rsidRPr="00264CEF">
        <w:rPr>
          <w:rFonts w:hint="cs"/>
          <w:i/>
          <w:iCs/>
          <w:rtl/>
          <w:lang w:bidi="ar-EG"/>
        </w:rPr>
        <w:t> </w:t>
      </w:r>
      <w:r w:rsidR="00C22410" w:rsidRPr="00264CEF">
        <w:rPr>
          <w:i/>
          <w:iCs/>
          <w:rtl/>
          <w:lang w:bidi="ar-EG"/>
        </w:rPr>
        <w:t>من</w:t>
      </w:r>
      <w:r w:rsidR="00C22410" w:rsidRPr="00264CEF">
        <w:rPr>
          <w:rFonts w:hint="cs"/>
          <w:i/>
          <w:iCs/>
          <w:rtl/>
          <w:lang w:bidi="ar-EG"/>
        </w:rPr>
        <w:t> </w:t>
      </w:r>
      <w:r w:rsidR="00C22410" w:rsidRPr="00264CEF">
        <w:rPr>
          <w:i/>
          <w:iCs/>
          <w:lang w:bidi="ar-EG"/>
        </w:rPr>
        <w:t>2</w:t>
      </w:r>
      <w:r w:rsidR="00C22410" w:rsidRPr="00264CEF">
        <w:rPr>
          <w:rFonts w:hint="cs"/>
          <w:i/>
          <w:iCs/>
          <w:rtl/>
          <w:lang w:bidi="ar-EG"/>
        </w:rPr>
        <w:t> </w:t>
      </w:r>
      <w:r w:rsidR="00C22410" w:rsidRPr="00264CEF">
        <w:rPr>
          <w:i/>
          <w:iCs/>
          <w:rtl/>
          <w:lang w:bidi="ar-EG"/>
        </w:rPr>
        <w:t>يونيو</w:t>
      </w:r>
      <w:r w:rsidR="00C22410" w:rsidRPr="00264CEF">
        <w:rPr>
          <w:rFonts w:hint="cs"/>
          <w:i/>
          <w:iCs/>
          <w:rtl/>
          <w:lang w:bidi="ar-EG"/>
        </w:rPr>
        <w:t> </w:t>
      </w:r>
      <w:r w:rsidR="00C22410" w:rsidRPr="00264CEF">
        <w:rPr>
          <w:i/>
          <w:iCs/>
          <w:lang w:bidi="ar-EG"/>
        </w:rPr>
        <w:t>2000</w:t>
      </w:r>
      <w:r w:rsidR="00C22410" w:rsidRPr="00264CEF">
        <w:rPr>
          <w:i/>
          <w:iCs/>
          <w:rtl/>
          <w:lang w:bidi="ar-EG"/>
        </w:rPr>
        <w:t xml:space="preserve">، أيهما أكثر تأخراً. ويمكن تمديد هذه الفترة لمدة </w:t>
      </w:r>
      <w:r w:rsidR="00C22410" w:rsidRPr="00264CEF">
        <w:rPr>
          <w:i/>
          <w:iCs/>
          <w:lang w:bidi="ar-EG"/>
        </w:rPr>
        <w:t>15</w:t>
      </w:r>
      <w:r w:rsidR="00C22410" w:rsidRPr="00264CEF">
        <w:rPr>
          <w:i/>
          <w:iCs/>
          <w:rtl/>
          <w:lang w:bidi="ar-EG"/>
        </w:rPr>
        <w:t xml:space="preserve"> سنة على الأكثر، بطلب من الإدارة المسؤولة، يستلمه المكتب قبل انقضاء هذه الفترة بثلاث سنوات على الأقل، وشريطة أن تبقى جميع خصائص التخصيص دون تغيير</w:t>
      </w:r>
      <w:r w:rsidR="00C22410" w:rsidRPr="00264CEF">
        <w:rPr>
          <w:rStyle w:val="FootnoteReference"/>
          <w:i/>
          <w:iCs/>
          <w:rtl/>
          <w:lang w:bidi="ar-EG"/>
        </w:rPr>
        <w:footnoteReference w:customMarkFollows="1" w:id="2"/>
        <w:t>9مكرراً</w:t>
      </w:r>
      <w:r w:rsidR="00C22410" w:rsidRPr="00264CEF">
        <w:rPr>
          <w:i/>
          <w:iCs/>
          <w:rtl/>
          <w:lang w:bidi="ar-EG"/>
        </w:rPr>
        <w:t>.</w:t>
      </w:r>
      <w:r w:rsidR="00C22410" w:rsidRPr="00264CEF">
        <w:rPr>
          <w:i/>
          <w:iCs/>
          <w:sz w:val="16"/>
          <w:szCs w:val="16"/>
          <w:rtl/>
          <w:lang w:bidi="ar-EG"/>
        </w:rPr>
        <w:t>     </w:t>
      </w:r>
      <w:r w:rsidR="00C22410" w:rsidRPr="00264CEF">
        <w:rPr>
          <w:i/>
          <w:iCs/>
          <w:sz w:val="16"/>
          <w:szCs w:val="24"/>
        </w:rPr>
        <w:t>(WRC</w:t>
      </w:r>
      <w:r w:rsidR="00C22410" w:rsidRPr="00264CEF">
        <w:rPr>
          <w:i/>
          <w:iCs/>
          <w:sz w:val="16"/>
          <w:szCs w:val="24"/>
        </w:rPr>
        <w:noBreakHyphen/>
        <w:t>19)</w:t>
      </w:r>
      <w:r>
        <w:rPr>
          <w:rFonts w:hint="cs"/>
          <w:i/>
          <w:iCs/>
          <w:sz w:val="16"/>
          <w:szCs w:val="24"/>
          <w:rtl/>
        </w:rPr>
        <w:t>"</w:t>
      </w:r>
      <w:r w:rsidRPr="0087544C">
        <w:rPr>
          <w:rFonts w:hint="cs"/>
          <w:sz w:val="16"/>
          <w:szCs w:val="24"/>
          <w:rtl/>
        </w:rPr>
        <w:t>.</w:t>
      </w:r>
    </w:p>
    <w:p w14:paraId="756C07D5" w14:textId="7CC7B206" w:rsidR="00C45930" w:rsidRDefault="00264CEF" w:rsidP="00264CEF">
      <w:pPr>
        <w:rPr>
          <w:spacing w:val="-4"/>
          <w:sz w:val="16"/>
          <w:szCs w:val="24"/>
          <w:rtl/>
          <w:lang w:bidi="ar-EG"/>
        </w:rPr>
      </w:pPr>
      <w:r>
        <w:rPr>
          <w:rFonts w:hint="cs"/>
          <w:rtl/>
        </w:rPr>
        <w:t>و</w:t>
      </w:r>
      <w:r w:rsidRPr="00264CEF">
        <w:rPr>
          <w:rtl/>
        </w:rPr>
        <w:t xml:space="preserve">تنص </w:t>
      </w:r>
      <w:r>
        <w:rPr>
          <w:rtl/>
        </w:rPr>
        <w:t xml:space="preserve">الفقرة 24.1.4 من التذييل </w:t>
      </w:r>
      <w:r w:rsidRPr="00187E8F">
        <w:rPr>
          <w:rStyle w:val="Appref"/>
          <w:b/>
          <w:bCs/>
        </w:rPr>
        <w:t>30A</w:t>
      </w:r>
      <w:r>
        <w:rPr>
          <w:rFonts w:hint="cs"/>
          <w:rtl/>
          <w:lang w:val="fr-FR" w:bidi="ar-LB"/>
        </w:rPr>
        <w:t xml:space="preserve"> </w:t>
      </w:r>
      <w:r w:rsidRPr="00264CEF">
        <w:rPr>
          <w:rtl/>
        </w:rPr>
        <w:t>من لوائح الراديو على ما يلي</w:t>
      </w:r>
      <w:r>
        <w:rPr>
          <w:rFonts w:hint="cs"/>
          <w:rtl/>
        </w:rPr>
        <w:t>: "</w:t>
      </w:r>
      <w:r w:rsidR="00D335F7" w:rsidRPr="00264CEF">
        <w:rPr>
          <w:i/>
          <w:iCs/>
          <w:spacing w:val="-4"/>
          <w:rtl/>
          <w:lang w:bidi="ar-EG"/>
        </w:rPr>
        <w:t xml:space="preserve">يجب ألا يعطى أي تخصيص في قائمة وصلات التغذية فترة تشغيل تزيد على </w:t>
      </w:r>
      <w:r w:rsidR="00D335F7" w:rsidRPr="00264CEF">
        <w:rPr>
          <w:i/>
          <w:iCs/>
          <w:spacing w:val="-4"/>
          <w:lang w:bidi="ar-EG"/>
        </w:rPr>
        <w:t>15</w:t>
      </w:r>
      <w:r w:rsidR="00D335F7" w:rsidRPr="00264CEF">
        <w:rPr>
          <w:i/>
          <w:iCs/>
          <w:spacing w:val="-4"/>
          <w:rtl/>
          <w:lang w:bidi="ar-EG"/>
        </w:rPr>
        <w:t xml:space="preserve"> سنة، بدءاً من تاريخ وضعه في الخدمة أو من </w:t>
      </w:r>
      <w:r w:rsidR="00D335F7" w:rsidRPr="00264CEF">
        <w:rPr>
          <w:i/>
          <w:iCs/>
          <w:spacing w:val="-4"/>
          <w:lang w:bidi="ar-EG"/>
        </w:rPr>
        <w:t>2</w:t>
      </w:r>
      <w:r w:rsidR="00D335F7" w:rsidRPr="00264CEF">
        <w:rPr>
          <w:i/>
          <w:iCs/>
          <w:spacing w:val="-4"/>
          <w:rtl/>
          <w:lang w:bidi="ar-EG"/>
        </w:rPr>
        <w:t xml:space="preserve"> يونيو </w:t>
      </w:r>
      <w:r w:rsidR="00D335F7" w:rsidRPr="00264CEF">
        <w:rPr>
          <w:i/>
          <w:iCs/>
          <w:spacing w:val="-4"/>
          <w:lang w:bidi="ar-EG"/>
        </w:rPr>
        <w:t>2000</w:t>
      </w:r>
      <w:r w:rsidR="00D335F7" w:rsidRPr="00264CEF">
        <w:rPr>
          <w:i/>
          <w:iCs/>
          <w:spacing w:val="-4"/>
          <w:rtl/>
          <w:lang w:bidi="ar-EG"/>
        </w:rPr>
        <w:t xml:space="preserve">، أيهما أكثر تأخراً. ويمكن تمديد هذه الفترة لمدة </w:t>
      </w:r>
      <w:r w:rsidR="00D335F7" w:rsidRPr="00264CEF">
        <w:rPr>
          <w:i/>
          <w:iCs/>
          <w:spacing w:val="-4"/>
          <w:lang w:bidi="ar-EG"/>
        </w:rPr>
        <w:t>15</w:t>
      </w:r>
      <w:r w:rsidR="00187E8F">
        <w:rPr>
          <w:rFonts w:hint="cs"/>
          <w:i/>
          <w:iCs/>
          <w:spacing w:val="-4"/>
          <w:rtl/>
          <w:lang w:bidi="ar-EG"/>
        </w:rPr>
        <w:t> </w:t>
      </w:r>
      <w:r w:rsidR="00D335F7" w:rsidRPr="00264CEF">
        <w:rPr>
          <w:i/>
          <w:iCs/>
          <w:spacing w:val="-4"/>
          <w:rtl/>
          <w:lang w:bidi="ar-EG"/>
        </w:rPr>
        <w:t>سنة على الأكثر، بطلب من الإدارة المسؤولة يستلمه المكتب قبل انقضاء هذه الفترة بثلاث سنوات على الأقل، وشريطة أن تبقى جميع خصائص التخصيص دون تغيير</w:t>
      </w:r>
      <w:r w:rsidR="00D335F7" w:rsidRPr="00264CEF">
        <w:rPr>
          <w:rStyle w:val="FootnoteReference"/>
          <w:i/>
          <w:iCs/>
          <w:spacing w:val="-4"/>
          <w:rtl/>
          <w:lang w:bidi="ar-EG"/>
        </w:rPr>
        <w:footnoteReference w:customMarkFollows="1" w:id="3"/>
        <w:t>11مكرراً</w:t>
      </w:r>
      <w:r w:rsidR="00D335F7" w:rsidRPr="00264CEF">
        <w:rPr>
          <w:i/>
          <w:iCs/>
          <w:spacing w:val="-4"/>
          <w:rtl/>
          <w:lang w:bidi="ar-EG"/>
        </w:rPr>
        <w:t>.</w:t>
      </w:r>
      <w:r w:rsidR="00D335F7" w:rsidRPr="00264CEF">
        <w:rPr>
          <w:i/>
          <w:iCs/>
          <w:spacing w:val="-4"/>
          <w:sz w:val="16"/>
          <w:szCs w:val="24"/>
          <w:lang w:bidi="ar-EG"/>
        </w:rPr>
        <w:t>(WRC</w:t>
      </w:r>
      <w:r w:rsidR="00D335F7" w:rsidRPr="00264CEF">
        <w:rPr>
          <w:i/>
          <w:iCs/>
          <w:spacing w:val="-4"/>
          <w:sz w:val="16"/>
          <w:szCs w:val="24"/>
          <w:lang w:bidi="ar-EG"/>
        </w:rPr>
        <w:noBreakHyphen/>
        <w:t>19)</w:t>
      </w:r>
      <w:r w:rsidR="00D335F7" w:rsidRPr="00FE2CFF">
        <w:rPr>
          <w:spacing w:val="-4"/>
          <w:sz w:val="16"/>
          <w:szCs w:val="24"/>
          <w:lang w:bidi="ar-EG"/>
        </w:rPr>
        <w:t>     </w:t>
      </w:r>
      <w:r>
        <w:rPr>
          <w:rFonts w:hint="cs"/>
          <w:spacing w:val="-4"/>
          <w:sz w:val="16"/>
          <w:szCs w:val="24"/>
          <w:rtl/>
          <w:lang w:bidi="ar-EG"/>
        </w:rPr>
        <w:t>".</w:t>
      </w:r>
    </w:p>
    <w:p w14:paraId="7DCBDE3E" w14:textId="3AC32F13" w:rsidR="00D335F7" w:rsidRDefault="00C80C95" w:rsidP="0087544C">
      <w:pPr>
        <w:keepNext/>
        <w:rPr>
          <w:rtl/>
          <w:lang w:bidi="ar-EG"/>
        </w:rPr>
      </w:pPr>
      <w:r>
        <w:rPr>
          <w:rFonts w:hint="cs"/>
          <w:rtl/>
          <w:lang w:bidi="ar-EG"/>
        </w:rPr>
        <w:lastRenderedPageBreak/>
        <w:t>وينص القسم</w:t>
      </w:r>
      <w:r w:rsidR="00E27F0C" w:rsidRPr="00E27F0C">
        <w:rPr>
          <w:rtl/>
          <w:lang w:bidi="ar-EG"/>
        </w:rPr>
        <w:t xml:space="preserve"> 1.5.2.3 من تقرير المدير</w:t>
      </w:r>
      <w:r w:rsidR="00E27F0C">
        <w:rPr>
          <w:rFonts w:hint="cs"/>
          <w:rtl/>
          <w:lang w:bidi="ar-EG"/>
        </w:rPr>
        <w:t xml:space="preserve"> المقدم</w:t>
      </w:r>
      <w:r w:rsidR="00E27F0C" w:rsidRPr="00E27F0C">
        <w:rPr>
          <w:rtl/>
          <w:lang w:bidi="ar-EG"/>
        </w:rPr>
        <w:t xml:space="preserve"> إلى المؤتمر العالمي للاتصالات</w:t>
      </w:r>
      <w:r w:rsidR="00E27F0C">
        <w:rPr>
          <w:rtl/>
          <w:lang w:bidi="ar-EG"/>
        </w:rPr>
        <w:t xml:space="preserve"> الراديوية لعام 2023 إلى ما يلي</w:t>
      </w:r>
      <w:r w:rsidR="00D335F7">
        <w:rPr>
          <w:rFonts w:hint="cs"/>
          <w:rtl/>
          <w:lang w:bidi="ar-EG"/>
        </w:rPr>
        <w:t>:</w:t>
      </w:r>
    </w:p>
    <w:p w14:paraId="1D1ED480" w14:textId="77777777" w:rsidR="00D335F7" w:rsidRPr="0087544C" w:rsidRDefault="00D335F7" w:rsidP="00D335F7">
      <w:pPr>
        <w:rPr>
          <w:rtl/>
          <w:lang w:bidi="ar-EG"/>
        </w:rPr>
      </w:pPr>
      <w:r w:rsidRPr="00E27F0C">
        <w:rPr>
          <w:rFonts w:hint="cs"/>
          <w:i/>
          <w:iCs/>
          <w:rtl/>
        </w:rPr>
        <w:t xml:space="preserve">طبقاً للفقرة </w:t>
      </w:r>
      <w:r w:rsidRPr="00E27F0C">
        <w:rPr>
          <w:i/>
          <w:iCs/>
          <w:lang w:bidi="ar-SY"/>
        </w:rPr>
        <w:t>24</w:t>
      </w:r>
      <w:r w:rsidRPr="00E27F0C">
        <w:rPr>
          <w:i/>
          <w:iCs/>
          <w:lang w:val="en-GB" w:bidi="ar-SY"/>
        </w:rPr>
        <w:t>.</w:t>
      </w:r>
      <w:r w:rsidRPr="00E27F0C">
        <w:rPr>
          <w:i/>
          <w:iCs/>
          <w:lang w:bidi="ar-SY"/>
        </w:rPr>
        <w:t>1</w:t>
      </w:r>
      <w:r w:rsidRPr="00E27F0C">
        <w:rPr>
          <w:i/>
          <w:iCs/>
          <w:lang w:val="en-GB" w:bidi="ar-SY"/>
        </w:rPr>
        <w:t>.</w:t>
      </w:r>
      <w:r w:rsidRPr="00E27F0C">
        <w:rPr>
          <w:i/>
          <w:iCs/>
          <w:lang w:bidi="ar-SY"/>
        </w:rPr>
        <w:t>4</w:t>
      </w:r>
      <w:r w:rsidRPr="00E27F0C">
        <w:rPr>
          <w:rFonts w:hint="cs"/>
          <w:i/>
          <w:iCs/>
          <w:rtl/>
          <w:lang w:bidi="ar-EG"/>
        </w:rPr>
        <w:t xml:space="preserve"> من</w:t>
      </w:r>
      <w:r w:rsidRPr="00E27F0C">
        <w:rPr>
          <w:rFonts w:hint="cs"/>
          <w:i/>
          <w:iCs/>
          <w:rtl/>
        </w:rPr>
        <w:t xml:space="preserve"> التذييلين </w:t>
      </w:r>
      <w:r w:rsidRPr="00E27F0C">
        <w:rPr>
          <w:rStyle w:val="Appref"/>
          <w:b/>
          <w:bCs/>
          <w:i/>
          <w:iCs/>
          <w:lang w:bidi="ar-SY"/>
        </w:rPr>
        <w:t>30</w:t>
      </w:r>
      <w:r w:rsidRPr="00E27F0C">
        <w:rPr>
          <w:rFonts w:hint="cs"/>
          <w:i/>
          <w:iCs/>
          <w:rtl/>
        </w:rPr>
        <w:t xml:space="preserve"> و</w:t>
      </w:r>
      <w:r w:rsidRPr="00E27F0C">
        <w:rPr>
          <w:rStyle w:val="Appref"/>
          <w:b/>
          <w:bCs/>
          <w:i/>
          <w:iCs/>
          <w:lang w:bidi="ar-SY"/>
        </w:rPr>
        <w:t>30A</w:t>
      </w:r>
      <w:r w:rsidRPr="00E27F0C">
        <w:rPr>
          <w:rFonts w:hint="cs"/>
          <w:i/>
          <w:iCs/>
          <w:rtl/>
        </w:rPr>
        <w:t xml:space="preserve"> من لوائح الراديو، </w:t>
      </w:r>
      <w:r w:rsidRPr="00E27F0C">
        <w:rPr>
          <w:i/>
          <w:iCs/>
          <w:rtl/>
          <w:lang w:bidi="ar-EG"/>
        </w:rPr>
        <w:t>يجب ألا يعطى أي تخصيص في </w:t>
      </w:r>
      <w:r w:rsidRPr="00E27F0C">
        <w:rPr>
          <w:rFonts w:hint="cs"/>
          <w:i/>
          <w:iCs/>
          <w:rtl/>
          <w:lang w:bidi="ar-EG"/>
        </w:rPr>
        <w:t>ال</w:t>
      </w:r>
      <w:r w:rsidRPr="00E27F0C">
        <w:rPr>
          <w:i/>
          <w:iCs/>
          <w:rtl/>
          <w:lang w:bidi="ar-EG"/>
        </w:rPr>
        <w:t xml:space="preserve">قائمة فترة تشغيل تزيد على </w:t>
      </w:r>
      <w:r w:rsidRPr="00E27F0C">
        <w:rPr>
          <w:i/>
          <w:iCs/>
          <w:lang w:bidi="ar-SY"/>
        </w:rPr>
        <w:t>15</w:t>
      </w:r>
      <w:r w:rsidRPr="00E27F0C">
        <w:rPr>
          <w:rFonts w:hint="cs"/>
          <w:i/>
          <w:iCs/>
          <w:rtl/>
          <w:lang w:bidi="ar-EG"/>
        </w:rPr>
        <w:t> </w:t>
      </w:r>
      <w:r w:rsidRPr="00E27F0C">
        <w:rPr>
          <w:i/>
          <w:iCs/>
          <w:rtl/>
          <w:lang w:bidi="ar-EG"/>
        </w:rPr>
        <w:t xml:space="preserve">سنة، بدءاً من تاريخ وضعه في الخدمة أو من </w:t>
      </w:r>
      <w:r w:rsidRPr="00E27F0C">
        <w:rPr>
          <w:i/>
          <w:iCs/>
          <w:lang w:bidi="ar-SY"/>
        </w:rPr>
        <w:t>2</w:t>
      </w:r>
      <w:r w:rsidRPr="00E27F0C">
        <w:rPr>
          <w:i/>
          <w:iCs/>
          <w:rtl/>
          <w:lang w:bidi="ar-EG"/>
        </w:rPr>
        <w:t xml:space="preserve"> يونيو </w:t>
      </w:r>
      <w:r w:rsidRPr="00E27F0C">
        <w:rPr>
          <w:i/>
          <w:iCs/>
          <w:lang w:bidi="ar-SY"/>
        </w:rPr>
        <w:t>2000</w:t>
      </w:r>
      <w:r w:rsidRPr="00E27F0C">
        <w:rPr>
          <w:i/>
          <w:iCs/>
          <w:rtl/>
          <w:lang w:bidi="ar-EG"/>
        </w:rPr>
        <w:t xml:space="preserve">، أيهما أكثر تأخراً. ويمكن تمديد هذه الفترة لمدة </w:t>
      </w:r>
      <w:r w:rsidRPr="00E27F0C">
        <w:rPr>
          <w:i/>
          <w:iCs/>
          <w:lang w:bidi="ar-SY"/>
        </w:rPr>
        <w:t>15</w:t>
      </w:r>
      <w:r w:rsidRPr="00E27F0C">
        <w:rPr>
          <w:i/>
          <w:iCs/>
          <w:rtl/>
          <w:lang w:bidi="ar-EG"/>
        </w:rPr>
        <w:t xml:space="preserve"> سنة على الأكثر، بطلب من الإدارة المسؤولة يستلمه المكتب قبل انقضاء هذه الفترة بثلاث سنوات على الأقل، وشريطة أن تبقى جميع خصائص التخصيص دون تغيير</w:t>
      </w:r>
      <w:r w:rsidRPr="0087544C">
        <w:rPr>
          <w:rtl/>
          <w:lang w:bidi="ar-EG"/>
        </w:rPr>
        <w:t>.</w:t>
      </w:r>
    </w:p>
    <w:p w14:paraId="42CAF436" w14:textId="77777777" w:rsidR="00D335F7" w:rsidRPr="0087544C" w:rsidRDefault="00D335F7" w:rsidP="00D335F7">
      <w:pPr>
        <w:rPr>
          <w:rtl/>
          <w:lang w:bidi="ar-SY"/>
        </w:rPr>
      </w:pPr>
      <w:r w:rsidRPr="00E27F0C">
        <w:rPr>
          <w:rFonts w:hint="cs"/>
          <w:i/>
          <w:iCs/>
          <w:rtl/>
          <w:lang w:bidi="ar-SY"/>
        </w:rPr>
        <w:t>و</w:t>
      </w:r>
      <w:r w:rsidRPr="00E27F0C">
        <w:rPr>
          <w:i/>
          <w:iCs/>
          <w:rtl/>
          <w:lang w:bidi="ar-SY"/>
        </w:rPr>
        <w:t>استجابةً ل</w:t>
      </w:r>
      <w:r w:rsidRPr="00E27F0C">
        <w:rPr>
          <w:rFonts w:hint="cs"/>
          <w:i/>
          <w:iCs/>
          <w:rtl/>
          <w:lang w:bidi="ar-SY"/>
        </w:rPr>
        <w:t>م</w:t>
      </w:r>
      <w:r w:rsidRPr="00E27F0C">
        <w:rPr>
          <w:i/>
          <w:iCs/>
          <w:rtl/>
          <w:lang w:bidi="ar-SY"/>
        </w:rPr>
        <w:t xml:space="preserve">قترح وارد في تقرير المدير، قرر المؤتمر </w:t>
      </w:r>
      <w:r w:rsidRPr="00E27F0C">
        <w:rPr>
          <w:i/>
          <w:iCs/>
          <w:lang w:bidi="ar-SY"/>
        </w:rPr>
        <w:t>WRC-19</w:t>
      </w:r>
      <w:r w:rsidRPr="00E27F0C">
        <w:rPr>
          <w:i/>
          <w:iCs/>
          <w:rtl/>
          <w:lang w:bidi="ar-SY"/>
        </w:rPr>
        <w:t xml:space="preserve"> إدراج حواش</w:t>
      </w:r>
      <w:r w:rsidRPr="00E27F0C">
        <w:rPr>
          <w:rFonts w:hint="cs"/>
          <w:i/>
          <w:iCs/>
          <w:rtl/>
          <w:lang w:bidi="ar-SY"/>
        </w:rPr>
        <w:t>ٍ</w:t>
      </w:r>
      <w:r w:rsidRPr="00E27F0C">
        <w:rPr>
          <w:i/>
          <w:iCs/>
          <w:rtl/>
          <w:lang w:bidi="ar-SY"/>
        </w:rPr>
        <w:t xml:space="preserve"> في الفقرة 24.1.4 من المادة 4 من التذييلين </w:t>
      </w:r>
      <w:r w:rsidRPr="00E27F0C">
        <w:rPr>
          <w:rStyle w:val="Appref"/>
          <w:b/>
          <w:bCs/>
          <w:i/>
          <w:iCs/>
          <w:rtl/>
          <w:lang w:bidi="ar-SY"/>
        </w:rPr>
        <w:t>30</w:t>
      </w:r>
      <w:r w:rsidRPr="00E27F0C">
        <w:rPr>
          <w:i/>
          <w:iCs/>
          <w:rtl/>
          <w:lang w:bidi="ar-SY"/>
        </w:rPr>
        <w:t xml:space="preserve"> </w:t>
      </w:r>
      <w:r w:rsidRPr="00E27F0C">
        <w:rPr>
          <w:rFonts w:hint="cs"/>
          <w:i/>
          <w:iCs/>
          <w:rtl/>
          <w:lang w:bidi="ar-SY"/>
        </w:rPr>
        <w:t>و</w:t>
      </w:r>
      <w:r w:rsidRPr="00E27F0C">
        <w:rPr>
          <w:rStyle w:val="Appref"/>
          <w:b/>
          <w:bCs/>
          <w:i/>
          <w:iCs/>
          <w:lang w:bidi="ar-SY"/>
        </w:rPr>
        <w:t>30A</w:t>
      </w:r>
      <w:r w:rsidRPr="00E27F0C">
        <w:rPr>
          <w:i/>
          <w:iCs/>
          <w:rtl/>
          <w:lang w:bidi="ar-SY"/>
        </w:rPr>
        <w:t xml:space="preserve"> لكي يتسنى للمكتب إرسال رسالة تذكيرية إلى الإدارة المبل</w:t>
      </w:r>
      <w:r w:rsidRPr="00E27F0C">
        <w:rPr>
          <w:rFonts w:hint="cs"/>
          <w:i/>
          <w:iCs/>
          <w:rtl/>
          <w:lang w:bidi="ar-SY"/>
        </w:rPr>
        <w:t>ِّ</w:t>
      </w:r>
      <w:r w:rsidRPr="00E27F0C">
        <w:rPr>
          <w:i/>
          <w:iCs/>
          <w:rtl/>
          <w:lang w:bidi="ar-SY"/>
        </w:rPr>
        <w:t xml:space="preserve">غة في موعد </w:t>
      </w:r>
      <w:r w:rsidRPr="00E27F0C">
        <w:rPr>
          <w:rFonts w:hint="cs"/>
          <w:i/>
          <w:iCs/>
          <w:rtl/>
          <w:lang w:bidi="ar-SY"/>
        </w:rPr>
        <w:t>أقصاه</w:t>
      </w:r>
      <w:r w:rsidRPr="00E27F0C">
        <w:rPr>
          <w:i/>
          <w:iCs/>
          <w:rtl/>
          <w:lang w:bidi="ar-SY"/>
        </w:rPr>
        <w:t xml:space="preserve"> 90 يوماً قبل الموعد النهائي لهذا الطلب البالغ 3 سنوات</w:t>
      </w:r>
      <w:r w:rsidRPr="0087544C">
        <w:rPr>
          <w:rtl/>
          <w:lang w:bidi="ar-SY"/>
        </w:rPr>
        <w:t>.</w:t>
      </w:r>
    </w:p>
    <w:p w14:paraId="7F07A0EB" w14:textId="3CE67E51" w:rsidR="00D335F7" w:rsidRPr="0087544C" w:rsidRDefault="00D335F7" w:rsidP="00D335F7">
      <w:pPr>
        <w:rPr>
          <w:rtl/>
          <w:lang w:bidi="ar-SY"/>
        </w:rPr>
      </w:pPr>
      <w:r w:rsidRPr="00E27F0C">
        <w:rPr>
          <w:rFonts w:hint="cs"/>
          <w:i/>
          <w:iCs/>
          <w:rtl/>
          <w:lang w:bidi="ar-SY"/>
        </w:rPr>
        <w:t>و</w:t>
      </w:r>
      <w:r w:rsidRPr="00E27F0C">
        <w:rPr>
          <w:i/>
          <w:iCs/>
          <w:rtl/>
          <w:lang w:bidi="ar-SY"/>
        </w:rPr>
        <w:t xml:space="preserve">منذ صدور قرار المؤتمر العالمي للاتصالات الراديوية لعام 2019، تلقى المكتب طلب تمديد </w:t>
      </w:r>
      <w:r w:rsidRPr="00E27F0C">
        <w:rPr>
          <w:rFonts w:hint="cs"/>
          <w:i/>
          <w:iCs/>
          <w:rtl/>
          <w:lang w:bidi="ar-SY"/>
        </w:rPr>
        <w:t xml:space="preserve">لما </w:t>
      </w:r>
      <w:r w:rsidRPr="00E27F0C">
        <w:rPr>
          <w:i/>
          <w:iCs/>
          <w:rtl/>
          <w:lang w:bidi="ar-SY"/>
        </w:rPr>
        <w:t xml:space="preserve">بعد الموعد النهائي المحدد وفقاً للفقرة 24.1.4 من المادة 4 من التذييلين </w:t>
      </w:r>
      <w:r w:rsidRPr="00E27F0C">
        <w:rPr>
          <w:rStyle w:val="Appref"/>
          <w:b/>
          <w:bCs/>
          <w:i/>
          <w:iCs/>
          <w:rtl/>
          <w:lang w:bidi="ar-SY"/>
        </w:rPr>
        <w:t>30</w:t>
      </w:r>
      <w:r w:rsidRPr="00E27F0C">
        <w:rPr>
          <w:i/>
          <w:iCs/>
          <w:rtl/>
          <w:lang w:bidi="ar-SY"/>
        </w:rPr>
        <w:t xml:space="preserve"> </w:t>
      </w:r>
      <w:r w:rsidRPr="00E27F0C">
        <w:rPr>
          <w:rFonts w:hint="cs"/>
          <w:i/>
          <w:iCs/>
          <w:rtl/>
        </w:rPr>
        <w:t>و</w:t>
      </w:r>
      <w:r w:rsidRPr="00E27F0C">
        <w:rPr>
          <w:rStyle w:val="Appref"/>
          <w:b/>
          <w:bCs/>
          <w:i/>
          <w:iCs/>
          <w:lang w:bidi="ar-SY"/>
        </w:rPr>
        <w:t>30A</w:t>
      </w:r>
      <w:r w:rsidRPr="00E27F0C">
        <w:rPr>
          <w:i/>
          <w:iCs/>
          <w:rtl/>
          <w:lang w:bidi="ar-SY"/>
        </w:rPr>
        <w:t xml:space="preserve"> (</w:t>
      </w:r>
      <w:hyperlink r:id="rId15" w:history="1">
        <w:r w:rsidRPr="0087544C">
          <w:rPr>
            <w:rStyle w:val="Hyperlink"/>
            <w:rFonts w:ascii="Dubai" w:hAnsi="Dubai" w:cs="Dubai"/>
            <w:i/>
            <w:iCs/>
            <w:rtl/>
            <w:lang w:bidi="ar-SY"/>
          </w:rPr>
          <w:t>انظر البند 4</w:t>
        </w:r>
        <w:r w:rsidRPr="0087544C">
          <w:rPr>
            <w:rStyle w:val="Hyperlink"/>
            <w:rFonts w:ascii="Dubai" w:hAnsi="Dubai" w:cs="Dubai"/>
            <w:i/>
            <w:iCs/>
            <w:lang w:bidi="ar-SY"/>
          </w:rPr>
          <w:t>n</w:t>
        </w:r>
        <w:r w:rsidRPr="0087544C">
          <w:rPr>
            <w:rStyle w:val="Hyperlink"/>
            <w:rFonts w:ascii="Dubai" w:hAnsi="Dubai" w:cs="Dubai"/>
            <w:i/>
            <w:iCs/>
            <w:rtl/>
            <w:lang w:bidi="ar-SY"/>
          </w:rPr>
          <w:t xml:space="preserve"> من خلاصة قرارات الاجتماع الثاني والتسعين للجنة لوائح الراديو</w:t>
        </w:r>
      </w:hyperlink>
      <w:r w:rsidRPr="0087544C">
        <w:rPr>
          <w:i/>
          <w:iCs/>
          <w:rtl/>
          <w:lang w:bidi="ar-SY"/>
        </w:rPr>
        <w:t xml:space="preserve"> للاطلاع على تفاصيل الحالة ومسار العمل المعتم</w:t>
      </w:r>
      <w:r w:rsidRPr="0087544C">
        <w:rPr>
          <w:rFonts w:hint="cs"/>
          <w:i/>
          <w:iCs/>
          <w:rtl/>
          <w:lang w:bidi="ar-SY"/>
        </w:rPr>
        <w:t>َ</w:t>
      </w:r>
      <w:r w:rsidRPr="0087544C">
        <w:rPr>
          <w:i/>
          <w:iCs/>
          <w:rtl/>
          <w:lang w:bidi="ar-SY"/>
        </w:rPr>
        <w:t>د</w:t>
      </w:r>
      <w:r w:rsidRPr="00E27F0C">
        <w:rPr>
          <w:i/>
          <w:iCs/>
          <w:rtl/>
          <w:lang w:bidi="ar-SY"/>
        </w:rPr>
        <w:t>)</w:t>
      </w:r>
      <w:r w:rsidRPr="0087544C">
        <w:rPr>
          <w:rtl/>
          <w:lang w:bidi="ar-SY"/>
        </w:rPr>
        <w:t>.</w:t>
      </w:r>
    </w:p>
    <w:p w14:paraId="62B54763" w14:textId="77777777" w:rsidR="00D335F7" w:rsidRPr="00E27F0C" w:rsidRDefault="00D335F7" w:rsidP="00D335F7">
      <w:pPr>
        <w:rPr>
          <w:i/>
          <w:iCs/>
          <w:rtl/>
          <w:lang w:bidi="ar-SY"/>
        </w:rPr>
      </w:pPr>
      <w:r w:rsidRPr="00E27F0C">
        <w:rPr>
          <w:i/>
          <w:iCs/>
          <w:rtl/>
          <w:lang w:bidi="ar-SY"/>
        </w:rPr>
        <w:t xml:space="preserve">وعلى الرغم من القرار </w:t>
      </w:r>
      <w:r w:rsidRPr="00E27F0C">
        <w:rPr>
          <w:rFonts w:hint="cs"/>
          <w:i/>
          <w:iCs/>
          <w:rtl/>
          <w:lang w:bidi="ar-SY"/>
        </w:rPr>
        <w:t xml:space="preserve">القاضي </w:t>
      </w:r>
      <w:r w:rsidRPr="00E27F0C">
        <w:rPr>
          <w:i/>
          <w:iCs/>
          <w:rtl/>
          <w:lang w:bidi="ar-SY"/>
        </w:rPr>
        <w:t xml:space="preserve">بإرسال رسالة تذكيرية، يبدو أن فترة الثلاث سنوات لطلب التمديد قد </w:t>
      </w:r>
      <w:r w:rsidRPr="00E27F0C">
        <w:rPr>
          <w:rFonts w:hint="cs"/>
          <w:i/>
          <w:iCs/>
          <w:rtl/>
          <w:lang w:bidi="ar-SY"/>
        </w:rPr>
        <w:t>ي</w:t>
      </w:r>
      <w:r w:rsidRPr="00E27F0C">
        <w:rPr>
          <w:i/>
          <w:iCs/>
          <w:rtl/>
          <w:lang w:bidi="ar-SY"/>
        </w:rPr>
        <w:t xml:space="preserve">صعب على الإدارات تنفيذها بسبب </w:t>
      </w:r>
      <w:r w:rsidRPr="00E27F0C">
        <w:rPr>
          <w:rFonts w:hint="cs"/>
          <w:i/>
          <w:iCs/>
          <w:rtl/>
          <w:lang w:bidi="ar-SY"/>
        </w:rPr>
        <w:t xml:space="preserve">طول </w:t>
      </w:r>
      <w:r w:rsidRPr="00E27F0C">
        <w:rPr>
          <w:i/>
          <w:iCs/>
          <w:rtl/>
          <w:lang w:bidi="ar-SY"/>
        </w:rPr>
        <w:t>الفترة الزمنية بين الوقت الذي يتعين فيه إرسال الطلب ونهاية فترة التشغيل الأولى البالغة 15 سنة.</w:t>
      </w:r>
    </w:p>
    <w:p w14:paraId="5F809015" w14:textId="77777777" w:rsidR="00D335F7" w:rsidRPr="00E27F0C" w:rsidRDefault="00D335F7" w:rsidP="00D335F7">
      <w:pPr>
        <w:rPr>
          <w:i/>
          <w:iCs/>
          <w:rtl/>
          <w:lang w:bidi="ar-SY"/>
        </w:rPr>
      </w:pPr>
      <w:r w:rsidRPr="00E27F0C">
        <w:rPr>
          <w:rFonts w:hint="cs"/>
          <w:i/>
          <w:iCs/>
          <w:rtl/>
          <w:lang w:bidi="ar-SY"/>
        </w:rPr>
        <w:t>ف</w:t>
      </w:r>
      <w:r w:rsidRPr="00E27F0C">
        <w:rPr>
          <w:i/>
          <w:iCs/>
          <w:rtl/>
          <w:lang w:bidi="ar-SY"/>
        </w:rPr>
        <w:t xml:space="preserve">ي ضوء ما ورد أعلاه، قد يرغب المؤتمر في </w:t>
      </w:r>
      <w:r w:rsidRPr="00E27F0C">
        <w:rPr>
          <w:rFonts w:hint="cs"/>
          <w:i/>
          <w:iCs/>
          <w:rtl/>
          <w:lang w:bidi="ar-SY"/>
        </w:rPr>
        <w:t>استعراض</w:t>
      </w:r>
      <w:r w:rsidRPr="00E27F0C">
        <w:rPr>
          <w:i/>
          <w:iCs/>
          <w:rtl/>
          <w:lang w:bidi="ar-SY"/>
        </w:rPr>
        <w:t xml:space="preserve"> الفقرة 24.1.4 من المادة 4 من التذييلين </w:t>
      </w:r>
      <w:r w:rsidRPr="00E27F0C">
        <w:rPr>
          <w:rStyle w:val="Appref"/>
          <w:b/>
          <w:bCs/>
          <w:i/>
          <w:iCs/>
          <w:rtl/>
          <w:lang w:bidi="ar-SY"/>
        </w:rPr>
        <w:t>30</w:t>
      </w:r>
      <w:r w:rsidRPr="00E27F0C">
        <w:rPr>
          <w:i/>
          <w:iCs/>
          <w:rtl/>
          <w:lang w:bidi="ar-SY"/>
        </w:rPr>
        <w:t xml:space="preserve"> </w:t>
      </w:r>
      <w:r w:rsidRPr="00E27F0C">
        <w:rPr>
          <w:rFonts w:hint="cs"/>
          <w:i/>
          <w:iCs/>
          <w:rtl/>
        </w:rPr>
        <w:t>و</w:t>
      </w:r>
      <w:r w:rsidRPr="00E27F0C">
        <w:rPr>
          <w:rStyle w:val="Appref"/>
          <w:b/>
          <w:bCs/>
          <w:i/>
          <w:iCs/>
          <w:lang w:bidi="ar-SY"/>
        </w:rPr>
        <w:t>30A</w:t>
      </w:r>
      <w:r w:rsidRPr="00E27F0C">
        <w:rPr>
          <w:i/>
          <w:iCs/>
          <w:rtl/>
          <w:lang w:bidi="ar-SY"/>
        </w:rPr>
        <w:t>.</w:t>
      </w:r>
    </w:p>
    <w:p w14:paraId="2EE45A67" w14:textId="04C90A44" w:rsidR="00D335F7" w:rsidRDefault="00D335F7" w:rsidP="00D335F7">
      <w:pPr>
        <w:pStyle w:val="Headingb"/>
        <w:rPr>
          <w:rtl/>
        </w:rPr>
      </w:pPr>
      <w:r>
        <w:rPr>
          <w:rFonts w:hint="cs"/>
          <w:rtl/>
        </w:rPr>
        <w:t>المقترح</w:t>
      </w:r>
    </w:p>
    <w:p w14:paraId="12EE6D40" w14:textId="77777777" w:rsidR="00C80C95" w:rsidRPr="007579F6" w:rsidRDefault="00C80C95" w:rsidP="00C80C95"/>
    <w:p w14:paraId="53CC9C3C" w14:textId="5BD77CED" w:rsidR="00FD7BB8" w:rsidRPr="00D335F7" w:rsidRDefault="004C67F1" w:rsidP="009E4080">
      <w:pPr>
        <w:rPr>
          <w:lang w:val="en-GB" w:bidi="ar-EG"/>
        </w:rPr>
      </w:pPr>
      <w:r>
        <w:rPr>
          <w:rtl/>
          <w:lang w:val="en-GB" w:bidi="ar-EG"/>
        </w:rPr>
        <w:br w:type="page"/>
      </w:r>
    </w:p>
    <w:p w14:paraId="6E32BCFF" w14:textId="77777777" w:rsidR="00B77871" w:rsidRDefault="007A31F0">
      <w:pPr>
        <w:pStyle w:val="Proposal"/>
      </w:pPr>
      <w:r>
        <w:lastRenderedPageBreak/>
        <w:tab/>
        <w:t>EUR/65A25A4/1</w:t>
      </w:r>
    </w:p>
    <w:p w14:paraId="425D6203" w14:textId="1541342F" w:rsidR="008414FD" w:rsidRDefault="008414FD" w:rsidP="00C80C95">
      <w:pPr>
        <w:rPr>
          <w:rtl/>
          <w:lang w:bidi="ar-SY"/>
        </w:rPr>
      </w:pPr>
      <w:r>
        <w:rPr>
          <w:rtl/>
          <w:lang w:bidi="ar-SY"/>
        </w:rPr>
        <w:t>يتفق المؤتمر الأوروبي لإدارات البريد والاتصالات (</w:t>
      </w:r>
      <w:r>
        <w:rPr>
          <w:lang w:bidi="ar-SY"/>
        </w:rPr>
        <w:t>CEPT</w:t>
      </w:r>
      <w:r>
        <w:rPr>
          <w:rtl/>
          <w:lang w:bidi="ar-SY"/>
        </w:rPr>
        <w:t>) على أنه نظر</w:t>
      </w:r>
      <w:r w:rsidR="00C80C95">
        <w:rPr>
          <w:rFonts w:hint="cs"/>
          <w:rtl/>
          <w:lang w:bidi="ar-SY"/>
        </w:rPr>
        <w:t>اً</w:t>
      </w:r>
      <w:r>
        <w:rPr>
          <w:rtl/>
          <w:lang w:bidi="ar-SY"/>
        </w:rPr>
        <w:t xml:space="preserve"> للأفق الزمني الطويل، قد يكون من الصعب على الإدارات أن تتفاعل خلال فترة زمنية مدتها 90 يوما</w:t>
      </w:r>
      <w:r w:rsidR="00C80C95">
        <w:rPr>
          <w:rFonts w:hint="cs"/>
          <w:rtl/>
          <w:lang w:bidi="ar-SY"/>
        </w:rPr>
        <w:t>ً</w:t>
      </w:r>
      <w:r>
        <w:rPr>
          <w:rtl/>
          <w:lang w:bidi="ar-SY"/>
        </w:rPr>
        <w:t>. ويلاحظ المؤتمر الأوروبي لإدارات البريد والاتصالات أيضا</w:t>
      </w:r>
      <w:r w:rsidR="00C80C95">
        <w:rPr>
          <w:rFonts w:hint="cs"/>
          <w:rtl/>
          <w:lang w:bidi="ar-SY"/>
        </w:rPr>
        <w:t>ً</w:t>
      </w:r>
      <w:r>
        <w:rPr>
          <w:rtl/>
          <w:lang w:bidi="ar-SY"/>
        </w:rPr>
        <w:t xml:space="preserve"> أن الفقرة 24.1.4 من المادة</w:t>
      </w:r>
      <w:r w:rsidR="00C80C95">
        <w:rPr>
          <w:rFonts w:hint="cs"/>
          <w:rtl/>
          <w:lang w:bidi="ar-SY"/>
        </w:rPr>
        <w:t> </w:t>
      </w:r>
      <w:r w:rsidRPr="009E4080">
        <w:rPr>
          <w:rStyle w:val="Artref"/>
          <w:rtl/>
        </w:rPr>
        <w:t>4</w:t>
      </w:r>
      <w:r w:rsidRPr="008414FD">
        <w:rPr>
          <w:b/>
          <w:bCs/>
          <w:rtl/>
          <w:lang w:bidi="ar-SY"/>
        </w:rPr>
        <w:t xml:space="preserve"> </w:t>
      </w:r>
      <w:r>
        <w:rPr>
          <w:rtl/>
          <w:lang w:bidi="ar-SY"/>
        </w:rPr>
        <w:t xml:space="preserve">من التذييلين </w:t>
      </w:r>
      <w:r w:rsidRPr="00C80C95">
        <w:rPr>
          <w:rStyle w:val="Appref"/>
          <w:b/>
          <w:bCs/>
          <w:rtl/>
        </w:rPr>
        <w:t>30</w:t>
      </w:r>
      <w:r>
        <w:rPr>
          <w:rtl/>
          <w:lang w:bidi="ar-SY"/>
        </w:rPr>
        <w:t xml:space="preserve"> و</w:t>
      </w:r>
      <w:r w:rsidRPr="00C80C95">
        <w:rPr>
          <w:rStyle w:val="Appref"/>
          <w:b/>
          <w:bCs/>
        </w:rPr>
        <w:t>30A</w:t>
      </w:r>
      <w:r>
        <w:rPr>
          <w:rtl/>
          <w:lang w:bidi="ar-SY"/>
        </w:rPr>
        <w:t xml:space="preserve"> للوائح الراديو تحدد </w:t>
      </w:r>
      <w:r>
        <w:rPr>
          <w:rFonts w:hint="cs"/>
          <w:rtl/>
          <w:lang w:bidi="ar-SY"/>
        </w:rPr>
        <w:t>موعد</w:t>
      </w:r>
      <w:r w:rsidR="00C80C95">
        <w:rPr>
          <w:rFonts w:hint="cs"/>
          <w:rtl/>
          <w:lang w:bidi="ar-SY"/>
        </w:rPr>
        <w:t>اً</w:t>
      </w:r>
      <w:r>
        <w:rPr>
          <w:rtl/>
          <w:lang w:bidi="ar-SY"/>
        </w:rPr>
        <w:t xml:space="preserve"> نهائي</w:t>
      </w:r>
      <w:r>
        <w:rPr>
          <w:rFonts w:hint="cs"/>
          <w:rtl/>
          <w:lang w:bidi="ar-SY"/>
        </w:rPr>
        <w:t>ا</w:t>
      </w:r>
      <w:r w:rsidR="00C80C95">
        <w:rPr>
          <w:rFonts w:hint="cs"/>
          <w:rtl/>
          <w:lang w:bidi="ar-SY"/>
        </w:rPr>
        <w:t>ً</w:t>
      </w:r>
      <w:r>
        <w:rPr>
          <w:rtl/>
          <w:lang w:bidi="ar-SY"/>
        </w:rPr>
        <w:t xml:space="preserve"> للتخصيصات الواردة في القائمة بغض النظر عما إذا كانت هذه التخصيصات تعمل في ذلك الوقت أم لا. وهذا يتعارض مع أحكام الفقرة 2.1 من "</w:t>
      </w:r>
      <w:r w:rsidRPr="008414FD">
        <w:rPr>
          <w:i/>
          <w:iCs/>
          <w:rtl/>
          <w:lang w:bidi="ar-SY"/>
        </w:rPr>
        <w:t>يقرر</w:t>
      </w:r>
      <w:r>
        <w:rPr>
          <w:rtl/>
          <w:lang w:bidi="ar-SY"/>
        </w:rPr>
        <w:t xml:space="preserve">" في القرار </w:t>
      </w:r>
      <w:r w:rsidRPr="000F6A39">
        <w:rPr>
          <w:b/>
        </w:rPr>
        <w:t>4 (Rev.WRC-03)</w:t>
      </w:r>
      <w:r>
        <w:rPr>
          <w:rFonts w:hint="cs"/>
          <w:b/>
          <w:rtl/>
        </w:rPr>
        <w:t xml:space="preserve"> </w:t>
      </w:r>
      <w:r>
        <w:rPr>
          <w:rtl/>
          <w:lang w:bidi="ar-SY"/>
        </w:rPr>
        <w:t xml:space="preserve">ويمكن أن يضع الإدارات في صعوبات شديدة إذ إن الشبكات </w:t>
      </w:r>
      <w:proofErr w:type="spellStart"/>
      <w:r>
        <w:rPr>
          <w:rtl/>
          <w:lang w:bidi="ar-SY"/>
        </w:rPr>
        <w:t>الساتلية</w:t>
      </w:r>
      <w:proofErr w:type="spellEnd"/>
      <w:r>
        <w:rPr>
          <w:rtl/>
          <w:lang w:bidi="ar-SY"/>
        </w:rPr>
        <w:t xml:space="preserve"> المنسقة والتشغيلية قد لا تحظى بأي اعتراف في قواعد بيانات الاتحاد. ومن شأن ذلك أن يسبب صعوبة ليس فقط للإدارة المبلغة التي ألغيت شبكتها التشغيلية، بل أيضا</w:t>
      </w:r>
      <w:r w:rsidR="00C80C95">
        <w:rPr>
          <w:rFonts w:hint="cs"/>
          <w:rtl/>
          <w:lang w:bidi="ar-SY"/>
        </w:rPr>
        <w:t>ً</w:t>
      </w:r>
      <w:r>
        <w:rPr>
          <w:rtl/>
          <w:lang w:bidi="ar-SY"/>
        </w:rPr>
        <w:t xml:space="preserve"> للإدارات الأخرى التي تسعى إلى إنشاء شبكة </w:t>
      </w:r>
      <w:proofErr w:type="spellStart"/>
      <w:r>
        <w:rPr>
          <w:rtl/>
          <w:lang w:bidi="ar-SY"/>
        </w:rPr>
        <w:t>ساتلية</w:t>
      </w:r>
      <w:proofErr w:type="spellEnd"/>
      <w:r>
        <w:rPr>
          <w:rtl/>
          <w:lang w:bidi="ar-SY"/>
        </w:rPr>
        <w:t xml:space="preserve"> جديدة والتي ستعجز عن اكتشاف وجود الشبكة </w:t>
      </w:r>
      <w:proofErr w:type="spellStart"/>
      <w:r>
        <w:rPr>
          <w:rtl/>
          <w:lang w:bidi="ar-SY"/>
        </w:rPr>
        <w:t>الساتلية</w:t>
      </w:r>
      <w:proofErr w:type="spellEnd"/>
      <w:r>
        <w:rPr>
          <w:rtl/>
          <w:lang w:bidi="ar-SY"/>
        </w:rPr>
        <w:t xml:space="preserve"> التشغيلية والآثار المترتبة عنها فيما يتعلق بالتوافق التقني.</w:t>
      </w:r>
    </w:p>
    <w:p w14:paraId="1385F59E" w14:textId="76356657" w:rsidR="008414FD" w:rsidRPr="007466B9" w:rsidRDefault="008414FD" w:rsidP="00C80C95">
      <w:pPr>
        <w:rPr>
          <w:spacing w:val="-2"/>
          <w:rtl/>
          <w:lang w:bidi="ar-SY"/>
        </w:rPr>
      </w:pPr>
      <w:r w:rsidRPr="007466B9">
        <w:rPr>
          <w:spacing w:val="-2"/>
          <w:rtl/>
          <w:lang w:bidi="ar-SY"/>
        </w:rPr>
        <w:t xml:space="preserve">ويتعين دراسة سبل تسوية المشاكل المرتبطة بالفقرة 24.1.4 من المادة </w:t>
      </w:r>
      <w:r w:rsidRPr="007466B9">
        <w:rPr>
          <w:rStyle w:val="Artref"/>
          <w:spacing w:val="-2"/>
          <w:rtl/>
        </w:rPr>
        <w:t>4</w:t>
      </w:r>
      <w:r w:rsidRPr="007466B9">
        <w:rPr>
          <w:spacing w:val="-2"/>
          <w:rtl/>
          <w:lang w:bidi="ar-SY"/>
        </w:rPr>
        <w:t xml:space="preserve"> من التذييلين </w:t>
      </w:r>
      <w:r w:rsidRPr="007466B9">
        <w:rPr>
          <w:rStyle w:val="Appref"/>
          <w:b/>
          <w:bCs/>
          <w:spacing w:val="-2"/>
          <w:rtl/>
        </w:rPr>
        <w:t>30</w:t>
      </w:r>
      <w:r w:rsidRPr="007466B9">
        <w:rPr>
          <w:spacing w:val="-2"/>
          <w:rtl/>
          <w:lang w:bidi="ar-SY"/>
        </w:rPr>
        <w:t xml:space="preserve"> و</w:t>
      </w:r>
      <w:r w:rsidRPr="007466B9">
        <w:rPr>
          <w:rStyle w:val="Appref"/>
          <w:b/>
          <w:bCs/>
          <w:spacing w:val="-2"/>
        </w:rPr>
        <w:t>30A</w:t>
      </w:r>
      <w:r w:rsidRPr="007466B9">
        <w:rPr>
          <w:spacing w:val="-2"/>
          <w:rtl/>
          <w:lang w:bidi="ar-SY"/>
        </w:rPr>
        <w:t xml:space="preserve"> للوائح الراديو وتحديد الحلول.</w:t>
      </w:r>
    </w:p>
    <w:p w14:paraId="152C70CA" w14:textId="77777777" w:rsidR="008414FD" w:rsidRDefault="008414FD" w:rsidP="00C80C95">
      <w:pPr>
        <w:rPr>
          <w:rtl/>
          <w:lang w:bidi="ar-SY"/>
        </w:rPr>
      </w:pPr>
      <w:r>
        <w:rPr>
          <w:rtl/>
          <w:lang w:bidi="ar-SY"/>
        </w:rPr>
        <w:t xml:space="preserve">ولذلك يقترح المؤتمر الأوروبي لإدارات البريد والاتصالات إدراج البيان التالي في محضر المؤتمر </w:t>
      </w:r>
      <w:r>
        <w:rPr>
          <w:lang w:bidi="ar-SY"/>
        </w:rPr>
        <w:t>WRC-23</w:t>
      </w:r>
      <w:r>
        <w:rPr>
          <w:rtl/>
          <w:lang w:bidi="ar-SY"/>
        </w:rPr>
        <w:t>:</w:t>
      </w:r>
    </w:p>
    <w:p w14:paraId="64EFA64F" w14:textId="402E5BD7" w:rsidR="008414FD" w:rsidRPr="00D05DA4" w:rsidRDefault="008414FD" w:rsidP="008414FD">
      <w:pPr>
        <w:pStyle w:val="enumlev1"/>
        <w:rPr>
          <w:rtl/>
          <w:lang w:bidi="ar-SY"/>
        </w:rPr>
      </w:pPr>
      <w:r>
        <w:rPr>
          <w:rtl/>
          <w:lang w:bidi="ar-SY"/>
        </w:rPr>
        <w:tab/>
      </w:r>
      <w:r w:rsidRPr="008414FD">
        <w:rPr>
          <w:i/>
          <w:iCs/>
          <w:rtl/>
          <w:lang w:bidi="ar-SY"/>
        </w:rPr>
        <w:t>يتفق المؤتمر الأوروبي لإدارات البريد والاتصالات (</w:t>
      </w:r>
      <w:r w:rsidRPr="008414FD">
        <w:rPr>
          <w:i/>
          <w:iCs/>
          <w:lang w:bidi="ar-SY"/>
        </w:rPr>
        <w:t>CEPT</w:t>
      </w:r>
      <w:r w:rsidRPr="008414FD">
        <w:rPr>
          <w:i/>
          <w:iCs/>
          <w:rtl/>
          <w:lang w:bidi="ar-SY"/>
        </w:rPr>
        <w:t>) على أنه نظرا</w:t>
      </w:r>
      <w:r w:rsidR="00FA115F">
        <w:rPr>
          <w:rFonts w:hint="cs"/>
          <w:i/>
          <w:iCs/>
          <w:rtl/>
          <w:lang w:bidi="ar-SY"/>
        </w:rPr>
        <w:t>ً</w:t>
      </w:r>
      <w:r w:rsidRPr="008414FD">
        <w:rPr>
          <w:i/>
          <w:iCs/>
          <w:rtl/>
          <w:lang w:bidi="ar-SY"/>
        </w:rPr>
        <w:t xml:space="preserve"> للأفق الزمني الطويل، قد يكون من الصعب على الإدارات أن تتفاعل خلال فترة زمنية مدتها 90 يوما</w:t>
      </w:r>
      <w:r w:rsidR="00FA115F">
        <w:rPr>
          <w:rFonts w:hint="cs"/>
          <w:i/>
          <w:iCs/>
          <w:rtl/>
          <w:lang w:bidi="ar-SY"/>
        </w:rPr>
        <w:t>ً</w:t>
      </w:r>
      <w:r w:rsidRPr="008414FD">
        <w:rPr>
          <w:i/>
          <w:iCs/>
          <w:rtl/>
          <w:lang w:bidi="ar-SY"/>
        </w:rPr>
        <w:t>. ويلاحظ المؤتمر الأوروبي لإدارات البريد والاتصالات أيضا</w:t>
      </w:r>
      <w:r w:rsidR="00FA115F">
        <w:rPr>
          <w:rFonts w:hint="cs"/>
          <w:i/>
          <w:iCs/>
          <w:rtl/>
          <w:lang w:bidi="ar-SY"/>
        </w:rPr>
        <w:t>ً</w:t>
      </w:r>
      <w:r w:rsidRPr="008414FD">
        <w:rPr>
          <w:i/>
          <w:iCs/>
          <w:rtl/>
          <w:lang w:bidi="ar-SY"/>
        </w:rPr>
        <w:t xml:space="preserve"> أن الفقرة 24.1.4 من المادة </w:t>
      </w:r>
      <w:r w:rsidRPr="007466B9">
        <w:rPr>
          <w:rStyle w:val="Artref"/>
          <w:i/>
          <w:iCs/>
          <w:rtl/>
        </w:rPr>
        <w:t>4</w:t>
      </w:r>
      <w:r w:rsidRPr="008414FD">
        <w:rPr>
          <w:i/>
          <w:iCs/>
          <w:rtl/>
          <w:lang w:bidi="ar-SY"/>
        </w:rPr>
        <w:t xml:space="preserve"> من التذييلين </w:t>
      </w:r>
      <w:r w:rsidRPr="00FA115F">
        <w:rPr>
          <w:rStyle w:val="Appref"/>
          <w:b/>
          <w:bCs/>
          <w:i/>
          <w:iCs/>
          <w:rtl/>
        </w:rPr>
        <w:t>30</w:t>
      </w:r>
      <w:r w:rsidRPr="008414FD">
        <w:rPr>
          <w:i/>
          <w:iCs/>
          <w:rtl/>
          <w:lang w:bidi="ar-SY"/>
        </w:rPr>
        <w:t xml:space="preserve"> </w:t>
      </w:r>
      <w:r w:rsidRPr="00FA115F">
        <w:rPr>
          <w:rStyle w:val="Appref"/>
          <w:rtl/>
        </w:rPr>
        <w:t>و</w:t>
      </w:r>
      <w:r w:rsidRPr="00FA115F">
        <w:rPr>
          <w:rStyle w:val="Appref"/>
          <w:b/>
          <w:bCs/>
          <w:i/>
          <w:iCs/>
        </w:rPr>
        <w:t>30A</w:t>
      </w:r>
      <w:r w:rsidRPr="008414FD">
        <w:rPr>
          <w:rFonts w:hint="cs"/>
          <w:i/>
          <w:iCs/>
          <w:rtl/>
          <w:lang w:val="fr-FR" w:bidi="ar-LB"/>
        </w:rPr>
        <w:t xml:space="preserve"> </w:t>
      </w:r>
      <w:r w:rsidRPr="008414FD">
        <w:rPr>
          <w:i/>
          <w:iCs/>
          <w:rtl/>
          <w:lang w:bidi="ar-SY"/>
        </w:rPr>
        <w:t xml:space="preserve">للوائح الراديو تحدد </w:t>
      </w:r>
      <w:r w:rsidRPr="008414FD">
        <w:rPr>
          <w:rFonts w:hint="cs"/>
          <w:i/>
          <w:iCs/>
          <w:rtl/>
          <w:lang w:bidi="ar-SY"/>
        </w:rPr>
        <w:t>موعدا</w:t>
      </w:r>
      <w:r w:rsidR="00FA115F">
        <w:rPr>
          <w:rFonts w:hint="cs"/>
          <w:i/>
          <w:iCs/>
          <w:rtl/>
          <w:lang w:bidi="ar-SY"/>
        </w:rPr>
        <w:t>ً</w:t>
      </w:r>
      <w:r w:rsidRPr="008414FD">
        <w:rPr>
          <w:i/>
          <w:iCs/>
          <w:rtl/>
          <w:lang w:bidi="ar-SY"/>
        </w:rPr>
        <w:t xml:space="preserve"> نهائي</w:t>
      </w:r>
      <w:r w:rsidRPr="008414FD">
        <w:rPr>
          <w:rFonts w:hint="cs"/>
          <w:i/>
          <w:iCs/>
          <w:rtl/>
          <w:lang w:bidi="ar-SY"/>
        </w:rPr>
        <w:t>ا</w:t>
      </w:r>
      <w:r w:rsidR="00FA115F">
        <w:rPr>
          <w:rFonts w:hint="cs"/>
          <w:i/>
          <w:iCs/>
          <w:rtl/>
          <w:lang w:bidi="ar-SY"/>
        </w:rPr>
        <w:t>ً</w:t>
      </w:r>
      <w:r w:rsidRPr="008414FD">
        <w:rPr>
          <w:i/>
          <w:iCs/>
          <w:rtl/>
          <w:lang w:bidi="ar-SY"/>
        </w:rPr>
        <w:t xml:space="preserve"> للتخصيصات الواردة في القائمة بغض النظر عما إذا كانت هذه التخصيصات تعمل في ذلك الوقت أم لا. وهذا يتعارض مع أحكام الفقرة </w:t>
      </w:r>
      <w:r w:rsidRPr="00FA115F">
        <w:rPr>
          <w:rtl/>
          <w:lang w:bidi="ar-SY"/>
        </w:rPr>
        <w:t>2.1</w:t>
      </w:r>
      <w:r w:rsidRPr="008414FD">
        <w:rPr>
          <w:i/>
          <w:iCs/>
          <w:rtl/>
          <w:lang w:bidi="ar-SY"/>
        </w:rPr>
        <w:t xml:space="preserve"> من "يقرر" في القرار </w:t>
      </w:r>
      <w:r w:rsidRPr="008414FD">
        <w:rPr>
          <w:b/>
          <w:i/>
          <w:iCs/>
        </w:rPr>
        <w:t>4 (Rev.WRC-03)</w:t>
      </w:r>
      <w:r w:rsidRPr="008414FD">
        <w:rPr>
          <w:rFonts w:hint="cs"/>
          <w:b/>
          <w:i/>
          <w:iCs/>
          <w:rtl/>
        </w:rPr>
        <w:t xml:space="preserve"> </w:t>
      </w:r>
      <w:r w:rsidRPr="008414FD">
        <w:rPr>
          <w:i/>
          <w:iCs/>
          <w:rtl/>
          <w:lang w:bidi="ar-SY"/>
        </w:rPr>
        <w:t xml:space="preserve">ويمكن أن يضع الإدارات في صعوبات شديدة إذ إن الشبكات </w:t>
      </w:r>
      <w:proofErr w:type="spellStart"/>
      <w:r w:rsidRPr="008414FD">
        <w:rPr>
          <w:i/>
          <w:iCs/>
          <w:rtl/>
          <w:lang w:bidi="ar-SY"/>
        </w:rPr>
        <w:t>الساتلية</w:t>
      </w:r>
      <w:proofErr w:type="spellEnd"/>
      <w:r w:rsidRPr="008414FD">
        <w:rPr>
          <w:i/>
          <w:iCs/>
          <w:rtl/>
          <w:lang w:bidi="ar-SY"/>
        </w:rPr>
        <w:t xml:space="preserve"> المنسقة والتشغيلية قد لا تحظى بأي اعتراف في قواعد بيانات الاتحاد. ومن شأن ذلك أن يسبب صعوبة ليس فقط للإدارة المبلغة التي ألغيت شبكتها التشغيلية، بل أيضا</w:t>
      </w:r>
      <w:r w:rsidR="00FA115F">
        <w:rPr>
          <w:rFonts w:hint="cs"/>
          <w:i/>
          <w:iCs/>
          <w:rtl/>
          <w:lang w:bidi="ar-SY"/>
        </w:rPr>
        <w:t>ً</w:t>
      </w:r>
      <w:r w:rsidRPr="008414FD">
        <w:rPr>
          <w:i/>
          <w:iCs/>
          <w:rtl/>
          <w:lang w:bidi="ar-SY"/>
        </w:rPr>
        <w:t xml:space="preserve"> للإدارات الأخرى التي تسعى إلى إنشاء شبكة </w:t>
      </w:r>
      <w:proofErr w:type="spellStart"/>
      <w:r w:rsidRPr="008414FD">
        <w:rPr>
          <w:i/>
          <w:iCs/>
          <w:rtl/>
          <w:lang w:bidi="ar-SY"/>
        </w:rPr>
        <w:t>ساتلية</w:t>
      </w:r>
      <w:proofErr w:type="spellEnd"/>
      <w:r w:rsidRPr="008414FD">
        <w:rPr>
          <w:i/>
          <w:iCs/>
          <w:rtl/>
          <w:lang w:bidi="ar-SY"/>
        </w:rPr>
        <w:t xml:space="preserve"> جديدة والتي ستعجز عن اكتشاف وجود الشبكة </w:t>
      </w:r>
      <w:proofErr w:type="spellStart"/>
      <w:r w:rsidRPr="008414FD">
        <w:rPr>
          <w:i/>
          <w:iCs/>
          <w:rtl/>
          <w:lang w:bidi="ar-SY"/>
        </w:rPr>
        <w:t>الساتلية</w:t>
      </w:r>
      <w:proofErr w:type="spellEnd"/>
      <w:r w:rsidRPr="008414FD">
        <w:rPr>
          <w:i/>
          <w:iCs/>
          <w:rtl/>
          <w:lang w:bidi="ar-SY"/>
        </w:rPr>
        <w:t xml:space="preserve"> التشغيلية والآثار المترتبة عنها فيما يتعلق بالتوافق التقني</w:t>
      </w:r>
      <w:r w:rsidRPr="00D05DA4">
        <w:rPr>
          <w:rtl/>
          <w:lang w:bidi="ar-SY"/>
        </w:rPr>
        <w:t>.</w:t>
      </w:r>
    </w:p>
    <w:p w14:paraId="58CC15FD" w14:textId="0173C196" w:rsidR="008414FD" w:rsidRPr="00D05DA4" w:rsidRDefault="008414FD" w:rsidP="008414FD">
      <w:pPr>
        <w:pStyle w:val="enumlev1"/>
        <w:rPr>
          <w:rtl/>
          <w:lang w:bidi="ar-SY"/>
        </w:rPr>
      </w:pPr>
      <w:r w:rsidRPr="008414FD">
        <w:rPr>
          <w:i/>
          <w:iCs/>
          <w:rtl/>
          <w:lang w:bidi="ar-SY"/>
        </w:rPr>
        <w:tab/>
        <w:t xml:space="preserve">ويتعين دراسة سبل تسوية المشاكل المرتبطة بالفقرة 24.1.4 من المادة </w:t>
      </w:r>
      <w:r w:rsidRPr="00D05DA4">
        <w:rPr>
          <w:rStyle w:val="Artref"/>
          <w:i/>
          <w:iCs/>
          <w:rtl/>
        </w:rPr>
        <w:t>4</w:t>
      </w:r>
      <w:r w:rsidRPr="008414FD">
        <w:rPr>
          <w:i/>
          <w:iCs/>
          <w:rtl/>
          <w:lang w:bidi="ar-SY"/>
        </w:rPr>
        <w:t xml:space="preserve"> من التذييلين </w:t>
      </w:r>
      <w:r w:rsidR="00FA115F" w:rsidRPr="00FA115F">
        <w:rPr>
          <w:rStyle w:val="Appref"/>
          <w:b/>
          <w:bCs/>
          <w:i/>
          <w:iCs/>
          <w:rtl/>
        </w:rPr>
        <w:t>30</w:t>
      </w:r>
      <w:r w:rsidR="00FA115F" w:rsidRPr="008414FD">
        <w:rPr>
          <w:i/>
          <w:iCs/>
          <w:rtl/>
          <w:lang w:bidi="ar-SY"/>
        </w:rPr>
        <w:t xml:space="preserve"> </w:t>
      </w:r>
      <w:r w:rsidR="00FA115F" w:rsidRPr="00FA115F">
        <w:rPr>
          <w:rStyle w:val="Appref"/>
          <w:rtl/>
        </w:rPr>
        <w:t>و</w:t>
      </w:r>
      <w:r w:rsidR="00FA115F" w:rsidRPr="00FA115F">
        <w:rPr>
          <w:rStyle w:val="Appref"/>
          <w:b/>
          <w:bCs/>
          <w:i/>
          <w:iCs/>
        </w:rPr>
        <w:t>30A</w:t>
      </w:r>
      <w:r w:rsidR="00FA115F" w:rsidRPr="008414FD">
        <w:rPr>
          <w:rFonts w:hint="cs"/>
          <w:i/>
          <w:iCs/>
          <w:rtl/>
          <w:lang w:val="fr-FR" w:bidi="ar-LB"/>
        </w:rPr>
        <w:t xml:space="preserve"> </w:t>
      </w:r>
      <w:r w:rsidRPr="008414FD">
        <w:rPr>
          <w:i/>
          <w:iCs/>
          <w:rtl/>
          <w:lang w:bidi="ar-SY"/>
        </w:rPr>
        <w:t>للوائح الراديو وتحديد الحلول</w:t>
      </w:r>
      <w:r w:rsidRPr="00D05DA4">
        <w:rPr>
          <w:rtl/>
          <w:lang w:bidi="ar-SY"/>
        </w:rPr>
        <w:t>.</w:t>
      </w:r>
    </w:p>
    <w:p w14:paraId="079C5F96" w14:textId="33118D47" w:rsidR="00F819B9" w:rsidRPr="00D05DA4" w:rsidRDefault="008414FD" w:rsidP="008414FD">
      <w:pPr>
        <w:pStyle w:val="enumlev1"/>
        <w:rPr>
          <w:lang w:bidi="ar-SY"/>
        </w:rPr>
      </w:pPr>
      <w:r w:rsidRPr="008414FD">
        <w:rPr>
          <w:i/>
          <w:iCs/>
          <w:rtl/>
          <w:lang w:bidi="ar-SY"/>
        </w:rPr>
        <w:tab/>
        <w:t xml:space="preserve">وفي ضوء ما ورد أعلاه، يدعو المؤتمر </w:t>
      </w:r>
      <w:r w:rsidRPr="008414FD">
        <w:rPr>
          <w:i/>
          <w:iCs/>
          <w:lang w:bidi="ar-SY"/>
        </w:rPr>
        <w:t>WRC-23</w:t>
      </w:r>
      <w:r w:rsidRPr="008414FD">
        <w:rPr>
          <w:i/>
          <w:iCs/>
          <w:rtl/>
          <w:lang w:bidi="ar-SY"/>
        </w:rPr>
        <w:t xml:space="preserve"> قطاع الاتصالات الراديوية إلى إجراء دراسات في الوقت المناسب لكي ينظر فيها المؤتمر </w:t>
      </w:r>
      <w:r w:rsidRPr="008414FD">
        <w:rPr>
          <w:i/>
          <w:iCs/>
          <w:lang w:bidi="ar-SY"/>
        </w:rPr>
        <w:t>WRC-27</w:t>
      </w:r>
      <w:r w:rsidRPr="008414FD">
        <w:rPr>
          <w:i/>
          <w:iCs/>
          <w:rtl/>
          <w:lang w:bidi="ar-SY"/>
        </w:rPr>
        <w:t xml:space="preserve"> فيما يتعلق بالمراجعات المحتملة للفقرة 24.1.4 </w:t>
      </w:r>
      <w:r w:rsidR="00FA115F" w:rsidRPr="008414FD">
        <w:rPr>
          <w:i/>
          <w:iCs/>
          <w:rtl/>
          <w:lang w:bidi="ar-SY"/>
        </w:rPr>
        <w:t xml:space="preserve">من المادة </w:t>
      </w:r>
      <w:r w:rsidR="00FA115F" w:rsidRPr="00D05DA4">
        <w:rPr>
          <w:rStyle w:val="Artref"/>
          <w:i/>
          <w:iCs/>
          <w:rtl/>
        </w:rPr>
        <w:t>4</w:t>
      </w:r>
      <w:r w:rsidR="00FA115F" w:rsidRPr="008414FD">
        <w:rPr>
          <w:i/>
          <w:iCs/>
          <w:rtl/>
          <w:lang w:bidi="ar-SY"/>
        </w:rPr>
        <w:t xml:space="preserve"> من التذييلين </w:t>
      </w:r>
      <w:r w:rsidR="00FA115F" w:rsidRPr="00FA115F">
        <w:rPr>
          <w:rStyle w:val="Appref"/>
          <w:b/>
          <w:bCs/>
          <w:i/>
          <w:iCs/>
          <w:rtl/>
        </w:rPr>
        <w:t>30</w:t>
      </w:r>
      <w:r w:rsidR="00FA115F" w:rsidRPr="008414FD">
        <w:rPr>
          <w:i/>
          <w:iCs/>
          <w:rtl/>
          <w:lang w:bidi="ar-SY"/>
        </w:rPr>
        <w:t xml:space="preserve"> </w:t>
      </w:r>
      <w:r w:rsidR="00FA115F" w:rsidRPr="00FA115F">
        <w:rPr>
          <w:rStyle w:val="Appref"/>
          <w:rtl/>
        </w:rPr>
        <w:t>و</w:t>
      </w:r>
      <w:r w:rsidR="00FA115F" w:rsidRPr="00FA115F">
        <w:rPr>
          <w:rStyle w:val="Appref"/>
          <w:b/>
          <w:bCs/>
          <w:i/>
          <w:iCs/>
        </w:rPr>
        <w:t>30A</w:t>
      </w:r>
      <w:r w:rsidR="00FA115F" w:rsidRPr="008414FD">
        <w:rPr>
          <w:rFonts w:hint="cs"/>
          <w:i/>
          <w:iCs/>
          <w:rtl/>
          <w:lang w:val="fr-FR" w:bidi="ar-LB"/>
        </w:rPr>
        <w:t xml:space="preserve"> </w:t>
      </w:r>
      <w:r w:rsidRPr="008414FD">
        <w:rPr>
          <w:i/>
          <w:iCs/>
          <w:rtl/>
          <w:lang w:bidi="ar-SY"/>
        </w:rPr>
        <w:t>للوائح الراديو واتخاذ أي إجراءات أخرى، حسب الاقتضاء، لمعالجة الصعوبات المحددة أعلاه</w:t>
      </w:r>
      <w:r w:rsidRPr="00D05DA4">
        <w:rPr>
          <w:rtl/>
          <w:lang w:bidi="ar-SY"/>
        </w:rPr>
        <w:t>.</w:t>
      </w:r>
    </w:p>
    <w:p w14:paraId="6E487607" w14:textId="7A8DAFDA" w:rsidR="00F819B9" w:rsidRDefault="00F819B9" w:rsidP="00F819B9">
      <w:pPr>
        <w:pStyle w:val="Reasons"/>
        <w:rPr>
          <w:lang w:bidi="ar-SY"/>
        </w:rPr>
      </w:pPr>
    </w:p>
    <w:p w14:paraId="28A040DF" w14:textId="52D13F85" w:rsidR="00F819B9" w:rsidRPr="00F819B9" w:rsidRDefault="00F819B9" w:rsidP="00F819B9">
      <w:pPr>
        <w:tabs>
          <w:tab w:val="clear" w:pos="1134"/>
          <w:tab w:val="clear" w:pos="1871"/>
          <w:tab w:val="clear" w:pos="2268"/>
          <w:tab w:val="left" w:pos="794"/>
        </w:tabs>
        <w:spacing w:before="600"/>
        <w:jc w:val="center"/>
        <w:rPr>
          <w:rFonts w:eastAsia="SimSun"/>
          <w:lang w:eastAsia="zh-CN" w:bidi="ar-EG"/>
        </w:rPr>
      </w:pPr>
      <w:r w:rsidRPr="00F819B9">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F819B9" w:rsidRPr="00F819B9" w:rsidSect="004C67F1">
      <w:headerReference w:type="even" r:id="rId16"/>
      <w:headerReference w:type="default" r:id="rId17"/>
      <w:footerReference w:type="even" r:id="rId18"/>
      <w:footerReference w:type="default" r:id="rId19"/>
      <w:footerReference w:type="first" r:id="rId20"/>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636C" w14:textId="77777777" w:rsidR="001A6F04" w:rsidRDefault="001A6F04" w:rsidP="002919E1">
      <w:r>
        <w:separator/>
      </w:r>
    </w:p>
    <w:p w14:paraId="70F7F80E" w14:textId="77777777" w:rsidR="001A6F04" w:rsidRDefault="001A6F04" w:rsidP="002919E1"/>
    <w:p w14:paraId="73F41869" w14:textId="77777777" w:rsidR="001A6F04" w:rsidRDefault="001A6F04" w:rsidP="002919E1"/>
    <w:p w14:paraId="76596090" w14:textId="77777777" w:rsidR="001A6F04" w:rsidRDefault="001A6F04"/>
    <w:p w14:paraId="5DDA6E38" w14:textId="77777777" w:rsidR="001A6F04" w:rsidRDefault="001A6F04"/>
  </w:endnote>
  <w:endnote w:type="continuationSeparator" w:id="0">
    <w:p w14:paraId="21C39D92" w14:textId="77777777" w:rsidR="001A6F04" w:rsidRDefault="001A6F04" w:rsidP="002919E1">
      <w:r>
        <w:continuationSeparator/>
      </w:r>
    </w:p>
    <w:p w14:paraId="6880BB09" w14:textId="77777777" w:rsidR="001A6F04" w:rsidRDefault="001A6F04" w:rsidP="002919E1"/>
    <w:p w14:paraId="2D942FAC" w14:textId="77777777" w:rsidR="001A6F04" w:rsidRDefault="001A6F04" w:rsidP="002919E1"/>
    <w:p w14:paraId="28F5A670" w14:textId="77777777" w:rsidR="001A6F04" w:rsidRDefault="001A6F04"/>
    <w:p w14:paraId="72FEDF1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30FC" w14:textId="55610AB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4CEF">
      <w:rPr>
        <w:sz w:val="16"/>
        <w:szCs w:val="16"/>
      </w:rPr>
      <w:instrText xml:space="preserve"> FILENAME \p \* MERGEFORMAT </w:instrText>
    </w:r>
    <w:r w:rsidRPr="0026373E">
      <w:rPr>
        <w:sz w:val="16"/>
        <w:szCs w:val="16"/>
        <w:lang w:val="fr-FR"/>
      </w:rPr>
      <w:fldChar w:fldCharType="separate"/>
    </w:r>
    <w:r w:rsidR="00187E8F">
      <w:rPr>
        <w:noProof/>
        <w:sz w:val="16"/>
        <w:szCs w:val="16"/>
      </w:rPr>
      <w:t>P:\ARA\ITU-R\CONF-R\CMR23\000\065ADD25ADD04A.docx</w:t>
    </w:r>
    <w:r w:rsidRPr="0026373E">
      <w:rPr>
        <w:sz w:val="16"/>
        <w:szCs w:val="16"/>
      </w:rPr>
      <w:fldChar w:fldCharType="end"/>
    </w:r>
    <w:proofErr w:type="gramStart"/>
    <w:r w:rsidRPr="0026373E">
      <w:rPr>
        <w:sz w:val="16"/>
        <w:szCs w:val="16"/>
      </w:rPr>
      <w:t xml:space="preserve">  </w:t>
    </w:r>
    <w:r w:rsidRPr="00264CEF">
      <w:rPr>
        <w:sz w:val="16"/>
        <w:szCs w:val="16"/>
      </w:rPr>
      <w:t xml:space="preserve"> (</w:t>
    </w:r>
    <w:proofErr w:type="gramEnd"/>
    <w:r w:rsidR="00C22410" w:rsidRPr="00264CEF">
      <w:rPr>
        <w:sz w:val="16"/>
        <w:szCs w:val="16"/>
      </w:rPr>
      <w:t>530575</w:t>
    </w:r>
    <w:r w:rsidRPr="00264CEF">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8298" w14:textId="0CB5371B" w:rsidR="00187E8F" w:rsidRPr="00187E8F" w:rsidRDefault="00187E8F" w:rsidP="00187E8F">
    <w:pPr>
      <w:pStyle w:val="Footer"/>
      <w:tabs>
        <w:tab w:val="center" w:pos="5103"/>
        <w:tab w:val="right" w:pos="9639"/>
      </w:tabs>
      <w:bidi w:val="0"/>
      <w:spacing w:before="120"/>
      <w:rPr>
        <w:sz w:val="16"/>
        <w:szCs w:val="16"/>
      </w:rPr>
    </w:pPr>
    <w:r w:rsidRPr="0026373E">
      <w:rPr>
        <w:sz w:val="16"/>
        <w:szCs w:val="16"/>
        <w:lang w:val="fr-FR"/>
      </w:rPr>
      <w:fldChar w:fldCharType="begin"/>
    </w:r>
    <w:r w:rsidRPr="00264CEF">
      <w:rPr>
        <w:sz w:val="16"/>
        <w:szCs w:val="16"/>
      </w:rPr>
      <w:instrText xml:space="preserve"> FILENAME \p \* MERGEFORMAT </w:instrText>
    </w:r>
    <w:r w:rsidRPr="0026373E">
      <w:rPr>
        <w:sz w:val="16"/>
        <w:szCs w:val="16"/>
        <w:lang w:val="fr-FR"/>
      </w:rPr>
      <w:fldChar w:fldCharType="separate"/>
    </w:r>
    <w:r>
      <w:rPr>
        <w:noProof/>
        <w:sz w:val="16"/>
        <w:szCs w:val="16"/>
      </w:rPr>
      <w:t>P:\ARA\ITU-R\CONF-R\CMR23\000\065ADD25ADD04A.docx</w:t>
    </w:r>
    <w:r w:rsidRPr="0026373E">
      <w:rPr>
        <w:sz w:val="16"/>
        <w:szCs w:val="16"/>
      </w:rPr>
      <w:fldChar w:fldCharType="end"/>
    </w:r>
    <w:proofErr w:type="gramStart"/>
    <w:r w:rsidRPr="0026373E">
      <w:rPr>
        <w:sz w:val="16"/>
        <w:szCs w:val="16"/>
      </w:rPr>
      <w:t xml:space="preserve">  </w:t>
    </w:r>
    <w:r w:rsidRPr="00264CEF">
      <w:rPr>
        <w:sz w:val="16"/>
        <w:szCs w:val="16"/>
      </w:rPr>
      <w:t xml:space="preserve"> (</w:t>
    </w:r>
    <w:proofErr w:type="gramEnd"/>
    <w:r w:rsidRPr="00264CEF">
      <w:rPr>
        <w:sz w:val="16"/>
        <w:szCs w:val="16"/>
      </w:rPr>
      <w:t>530575)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01B8" w14:textId="39CEEFAA" w:rsidR="00187E8F" w:rsidRPr="00187E8F" w:rsidRDefault="00187E8F" w:rsidP="00187E8F">
    <w:pPr>
      <w:pStyle w:val="Footer"/>
      <w:tabs>
        <w:tab w:val="center" w:pos="5103"/>
        <w:tab w:val="right" w:pos="9639"/>
      </w:tabs>
      <w:bidi w:val="0"/>
      <w:spacing w:before="120"/>
      <w:rPr>
        <w:sz w:val="16"/>
        <w:szCs w:val="16"/>
      </w:rPr>
    </w:pPr>
    <w:r w:rsidRPr="0026373E">
      <w:rPr>
        <w:sz w:val="16"/>
        <w:szCs w:val="16"/>
        <w:lang w:val="fr-FR"/>
      </w:rPr>
      <w:fldChar w:fldCharType="begin"/>
    </w:r>
    <w:r w:rsidRPr="00264CEF">
      <w:rPr>
        <w:sz w:val="16"/>
        <w:szCs w:val="16"/>
      </w:rPr>
      <w:instrText xml:space="preserve"> FILENAME \p \* MERGEFORMAT </w:instrText>
    </w:r>
    <w:r w:rsidRPr="0026373E">
      <w:rPr>
        <w:sz w:val="16"/>
        <w:szCs w:val="16"/>
        <w:lang w:val="fr-FR"/>
      </w:rPr>
      <w:fldChar w:fldCharType="separate"/>
    </w:r>
    <w:r>
      <w:rPr>
        <w:noProof/>
        <w:sz w:val="16"/>
        <w:szCs w:val="16"/>
      </w:rPr>
      <w:t>P:\ARA\ITU-R\CONF-R\CMR23\000\065ADD25ADD04A.docx</w:t>
    </w:r>
    <w:r w:rsidRPr="0026373E">
      <w:rPr>
        <w:sz w:val="16"/>
        <w:szCs w:val="16"/>
      </w:rPr>
      <w:fldChar w:fldCharType="end"/>
    </w:r>
    <w:proofErr w:type="gramStart"/>
    <w:r w:rsidRPr="0026373E">
      <w:rPr>
        <w:sz w:val="16"/>
        <w:szCs w:val="16"/>
      </w:rPr>
      <w:t xml:space="preserve">  </w:t>
    </w:r>
    <w:r w:rsidRPr="00264CEF">
      <w:rPr>
        <w:sz w:val="16"/>
        <w:szCs w:val="16"/>
      </w:rPr>
      <w:t xml:space="preserve"> (</w:t>
    </w:r>
    <w:proofErr w:type="gramEnd"/>
    <w:r w:rsidRPr="00264CEF">
      <w:rPr>
        <w:sz w:val="16"/>
        <w:szCs w:val="16"/>
      </w:rPr>
      <w:t>530575)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2402" w14:textId="77777777" w:rsidR="001A6F04" w:rsidRDefault="001A6F04" w:rsidP="00C45930">
      <w:r>
        <w:separator/>
      </w:r>
    </w:p>
  </w:footnote>
  <w:footnote w:type="continuationSeparator" w:id="0">
    <w:p w14:paraId="3A7F2C51" w14:textId="77777777" w:rsidR="001A6F04" w:rsidRDefault="001A6F04" w:rsidP="002919E1">
      <w:r>
        <w:continuationSeparator/>
      </w:r>
    </w:p>
    <w:p w14:paraId="3BD3E9AE" w14:textId="77777777" w:rsidR="001A6F04" w:rsidRDefault="001A6F04" w:rsidP="002919E1"/>
    <w:p w14:paraId="4BB89246" w14:textId="77777777" w:rsidR="001A6F04" w:rsidRDefault="001A6F04" w:rsidP="002919E1"/>
    <w:p w14:paraId="02D06E03" w14:textId="77777777" w:rsidR="001A6F04" w:rsidRDefault="001A6F04"/>
    <w:p w14:paraId="11190FC2" w14:textId="77777777" w:rsidR="001A6F04" w:rsidRDefault="001A6F04"/>
  </w:footnote>
  <w:footnote w:id="1">
    <w:p w14:paraId="7E583E3C" w14:textId="69D89537" w:rsidR="00D05DA4" w:rsidRPr="00FE2CFF" w:rsidRDefault="007A31F0" w:rsidP="0087544C">
      <w:pPr>
        <w:pStyle w:val="FootnoteText"/>
        <w:tabs>
          <w:tab w:val="clear" w:pos="1134"/>
          <w:tab w:val="clear" w:pos="1871"/>
          <w:tab w:val="left" w:pos="702"/>
          <w:tab w:val="left" w:pos="1269"/>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187E8F">
        <w:rPr>
          <w:rFonts w:hint="eastAsia"/>
          <w:rtl/>
        </w:rPr>
        <w:t> </w:t>
      </w:r>
      <w:r w:rsidRPr="00FE2CFF">
        <w:rPr>
          <w:rFonts w:hint="cs"/>
          <w:rtl/>
        </w:rPr>
        <w:t>الراديو.</w:t>
      </w:r>
    </w:p>
  </w:footnote>
  <w:footnote w:id="2">
    <w:p w14:paraId="689E0AF3" w14:textId="7CF2D4C2" w:rsidR="00C22410" w:rsidRPr="00FE2CFF" w:rsidRDefault="00187E8F" w:rsidP="00C22410">
      <w:pPr>
        <w:pStyle w:val="FootnoteText"/>
        <w:tabs>
          <w:tab w:val="clear" w:pos="1134"/>
          <w:tab w:val="left" w:pos="708"/>
        </w:tabs>
      </w:pPr>
      <w:r>
        <w:rPr>
          <w:rStyle w:val="FootnoteReference"/>
          <w:rFonts w:hint="cs"/>
          <w:i/>
          <w:iCs/>
          <w:rtl/>
        </w:rPr>
        <w:t>9</w:t>
      </w:r>
      <w:r w:rsidR="00C22410" w:rsidRPr="00264CEF">
        <w:rPr>
          <w:rStyle w:val="FootnoteReference"/>
          <w:i/>
          <w:iCs/>
          <w:rtl/>
        </w:rPr>
        <w:t>مكرراً</w:t>
      </w:r>
      <w:r w:rsidR="00C22410" w:rsidRPr="00FE2CFF">
        <w:rPr>
          <w:rtl/>
        </w:rPr>
        <w:tab/>
      </w:r>
      <w:r w:rsidR="00C22410" w:rsidRPr="00264CEF">
        <w:rPr>
          <w:rFonts w:hint="eastAsia"/>
          <w:i/>
          <w:iCs/>
          <w:spacing w:val="-4"/>
          <w:rtl/>
        </w:rPr>
        <w:t>ما</w:t>
      </w:r>
      <w:r w:rsidR="00C22410" w:rsidRPr="00264CEF">
        <w:rPr>
          <w:i/>
          <w:iCs/>
          <w:spacing w:val="-4"/>
          <w:rtl/>
        </w:rPr>
        <w:t xml:space="preserve"> لم يكن المكتب قد </w:t>
      </w:r>
      <w:r w:rsidR="00C22410" w:rsidRPr="00264CEF">
        <w:rPr>
          <w:rFonts w:hint="eastAsia"/>
          <w:i/>
          <w:iCs/>
          <w:spacing w:val="-4"/>
          <w:rtl/>
        </w:rPr>
        <w:t>استلم</w:t>
      </w:r>
      <w:r w:rsidR="00C22410" w:rsidRPr="00264CEF">
        <w:rPr>
          <w:i/>
          <w:iCs/>
          <w:spacing w:val="-4"/>
          <w:rtl/>
        </w:rPr>
        <w:t xml:space="preserve"> الطلب، يرسل في موعد أقصاه </w:t>
      </w:r>
      <w:r w:rsidR="00C22410" w:rsidRPr="00264CEF">
        <w:rPr>
          <w:i/>
          <w:iCs/>
          <w:spacing w:val="-4"/>
        </w:rPr>
        <w:t>90</w:t>
      </w:r>
      <w:r w:rsidR="00C22410" w:rsidRPr="00264CEF">
        <w:rPr>
          <w:i/>
          <w:iCs/>
          <w:spacing w:val="-4"/>
          <w:rtl/>
        </w:rPr>
        <w:t xml:space="preserve"> يوم</w:t>
      </w:r>
      <w:r w:rsidR="00C22410" w:rsidRPr="00264CEF">
        <w:rPr>
          <w:rFonts w:hint="eastAsia"/>
          <w:i/>
          <w:iCs/>
          <w:spacing w:val="-4"/>
          <w:rtl/>
        </w:rPr>
        <w:t>اً</w:t>
      </w:r>
      <w:r w:rsidR="00C22410" w:rsidRPr="00264CEF">
        <w:rPr>
          <w:i/>
          <w:iCs/>
          <w:spacing w:val="-4"/>
          <w:rtl/>
        </w:rPr>
        <w:t xml:space="preserve"> قبل الموعد النهائي لهذا الطلب، رسالة تذكير إلى الإدارة </w:t>
      </w:r>
      <w:proofErr w:type="gramStart"/>
      <w:r w:rsidR="00C22410" w:rsidRPr="00264CEF">
        <w:rPr>
          <w:i/>
          <w:iCs/>
          <w:spacing w:val="-4"/>
          <w:rtl/>
        </w:rPr>
        <w:t>المبلغة</w:t>
      </w:r>
      <w:r w:rsidR="00C22410" w:rsidRPr="00187E8F">
        <w:rPr>
          <w:i/>
          <w:iCs/>
          <w:spacing w:val="-4"/>
          <w:sz w:val="16"/>
          <w:szCs w:val="16"/>
          <w:rtl/>
        </w:rPr>
        <w:t>.</w:t>
      </w:r>
      <w:r w:rsidR="00C22410" w:rsidRPr="00187E8F">
        <w:rPr>
          <w:i/>
          <w:iCs/>
          <w:spacing w:val="-4"/>
          <w:sz w:val="16"/>
          <w:szCs w:val="16"/>
        </w:rPr>
        <w:t>(</w:t>
      </w:r>
      <w:proofErr w:type="gramEnd"/>
      <w:r w:rsidR="00C22410" w:rsidRPr="00187E8F">
        <w:rPr>
          <w:i/>
          <w:iCs/>
          <w:spacing w:val="-4"/>
          <w:sz w:val="16"/>
          <w:szCs w:val="16"/>
        </w:rPr>
        <w:t>WRC</w:t>
      </w:r>
      <w:r w:rsidR="00C22410" w:rsidRPr="00187E8F">
        <w:rPr>
          <w:i/>
          <w:iCs/>
          <w:spacing w:val="-4"/>
          <w:sz w:val="16"/>
          <w:szCs w:val="16"/>
        </w:rPr>
        <w:noBreakHyphen/>
        <w:t>19)</w:t>
      </w:r>
      <w:r w:rsidR="00C22410" w:rsidRPr="00FE2CFF">
        <w:rPr>
          <w:spacing w:val="-4"/>
          <w:sz w:val="16"/>
          <w:szCs w:val="16"/>
        </w:rPr>
        <w:t> </w:t>
      </w:r>
      <w:r>
        <w:rPr>
          <w:spacing w:val="-4"/>
          <w:sz w:val="16"/>
          <w:szCs w:val="16"/>
        </w:rPr>
        <w:t> </w:t>
      </w:r>
      <w:r w:rsidR="00C22410" w:rsidRPr="00FE2CFF">
        <w:rPr>
          <w:spacing w:val="-4"/>
          <w:sz w:val="16"/>
          <w:szCs w:val="16"/>
        </w:rPr>
        <w:t>   </w:t>
      </w:r>
    </w:p>
  </w:footnote>
  <w:footnote w:id="3">
    <w:p w14:paraId="5029C717" w14:textId="77777777" w:rsidR="00D335F7" w:rsidRPr="00264CEF" w:rsidRDefault="00D335F7" w:rsidP="00D335F7">
      <w:pPr>
        <w:pStyle w:val="FootnoteText"/>
        <w:tabs>
          <w:tab w:val="clear" w:pos="1134"/>
          <w:tab w:val="clear" w:pos="1871"/>
          <w:tab w:val="left" w:pos="708"/>
        </w:tabs>
        <w:rPr>
          <w:i/>
          <w:iCs/>
          <w:spacing w:val="-6"/>
        </w:rPr>
      </w:pPr>
      <w:r w:rsidRPr="00264CEF">
        <w:rPr>
          <w:rStyle w:val="FootnoteReference"/>
          <w:i/>
          <w:iCs/>
          <w:spacing w:val="-6"/>
          <w:rtl/>
        </w:rPr>
        <w:t>11مكرراً</w:t>
      </w:r>
      <w:r w:rsidRPr="00264CEF">
        <w:rPr>
          <w:i/>
          <w:iCs/>
          <w:spacing w:val="-6"/>
          <w:rtl/>
        </w:rPr>
        <w:tab/>
      </w:r>
      <w:r w:rsidRPr="00264CEF">
        <w:rPr>
          <w:rFonts w:hint="cs"/>
          <w:i/>
          <w:iCs/>
          <w:spacing w:val="-6"/>
          <w:rtl/>
        </w:rPr>
        <w:t xml:space="preserve">ما لم يكن المكتب قد استلم الطلب، يرسل في موعد أقصاه </w:t>
      </w:r>
      <w:r w:rsidRPr="00264CEF">
        <w:rPr>
          <w:i/>
          <w:iCs/>
          <w:spacing w:val="-6"/>
        </w:rPr>
        <w:t>30</w:t>
      </w:r>
      <w:r w:rsidRPr="00264CEF">
        <w:rPr>
          <w:rFonts w:hint="cs"/>
          <w:i/>
          <w:iCs/>
          <w:spacing w:val="-6"/>
          <w:rtl/>
        </w:rPr>
        <w:t xml:space="preserve"> يوماً قبل الموعد النهائي لهذا الطلب، رسالة تذكير إلى الإدارة </w:t>
      </w:r>
      <w:proofErr w:type="gramStart"/>
      <w:r w:rsidRPr="00264CEF">
        <w:rPr>
          <w:rFonts w:hint="cs"/>
          <w:i/>
          <w:iCs/>
          <w:spacing w:val="-6"/>
          <w:rtl/>
        </w:rPr>
        <w:t>المبلغة.</w:t>
      </w:r>
      <w:r w:rsidRPr="00264CEF">
        <w:rPr>
          <w:i/>
          <w:iCs/>
          <w:color w:val="000000"/>
          <w:spacing w:val="-6"/>
          <w:sz w:val="16"/>
          <w:szCs w:val="16"/>
        </w:rPr>
        <w:t>(</w:t>
      </w:r>
      <w:proofErr w:type="gramEnd"/>
      <w:r w:rsidRPr="00264CEF">
        <w:rPr>
          <w:i/>
          <w:iCs/>
          <w:color w:val="000000"/>
          <w:spacing w:val="-6"/>
          <w:sz w:val="16"/>
          <w:szCs w:val="16"/>
        </w:rPr>
        <w:t>WRC</w:t>
      </w:r>
      <w:r w:rsidRPr="00264CEF">
        <w:rPr>
          <w:i/>
          <w:iCs/>
          <w:color w:val="000000"/>
          <w:spacing w:val="-6"/>
          <w:sz w:val="16"/>
          <w:szCs w:val="16"/>
        </w:rPr>
        <w:noBreakHyphen/>
        <w:t>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46DD" w14:textId="6D705004" w:rsidR="00D63A6F" w:rsidRPr="00340DFF" w:rsidRDefault="005E5F16" w:rsidP="00340DFF">
    <w:pPr>
      <w:bidi w:val="0"/>
      <w:spacing w:after="360" w:line="240" w:lineRule="auto"/>
      <w:jc w:val="center"/>
      <w:rPr>
        <w:sz w:val="20"/>
        <w:szCs w:val="20"/>
      </w:rPr>
    </w:pPr>
    <w:r w:rsidRPr="00340DFF">
      <w:rPr>
        <w:rStyle w:val="PageNumber"/>
        <w:rFonts w:ascii="Dubai" w:hAnsi="Dubai" w:cs="Dubai"/>
      </w:rPr>
      <w:fldChar w:fldCharType="begin"/>
    </w:r>
    <w:r w:rsidRPr="00340DFF">
      <w:rPr>
        <w:rStyle w:val="PageNumber"/>
        <w:rFonts w:ascii="Dubai" w:hAnsi="Dubai" w:cs="Dubai"/>
      </w:rPr>
      <w:instrText xml:space="preserve"> PAGE </w:instrText>
    </w:r>
    <w:r w:rsidRPr="00340DFF">
      <w:rPr>
        <w:rStyle w:val="PageNumber"/>
        <w:rFonts w:ascii="Dubai" w:hAnsi="Dubai" w:cs="Dubai"/>
      </w:rPr>
      <w:fldChar w:fldCharType="separate"/>
    </w:r>
    <w:r w:rsidR="008414FD">
      <w:rPr>
        <w:rStyle w:val="PageNumber"/>
        <w:rFonts w:ascii="Dubai" w:hAnsi="Dubai" w:cs="Dubai"/>
        <w:noProof/>
      </w:rPr>
      <w:t>2</w:t>
    </w:r>
    <w:r w:rsidRPr="00340DFF">
      <w:rPr>
        <w:rStyle w:val="PageNumber"/>
        <w:rFonts w:ascii="Dubai" w:hAnsi="Dubai" w:cs="Dubai"/>
      </w:rPr>
      <w:fldChar w:fldCharType="end"/>
    </w:r>
    <w:r w:rsidRPr="00340DFF">
      <w:rPr>
        <w:rStyle w:val="PageNumber"/>
        <w:rFonts w:ascii="Dubai" w:hAnsi="Dubai" w:cs="Dubai"/>
        <w:rtl/>
      </w:rPr>
      <w:br/>
    </w:r>
    <w:r w:rsidR="004F5F29" w:rsidRPr="00340DFF">
      <w:rPr>
        <w:rStyle w:val="PageNumber"/>
        <w:rFonts w:ascii="Dubai" w:hAnsi="Dubai" w:cs="Dubai"/>
      </w:rPr>
      <w:t>WRC</w:t>
    </w:r>
    <w:r w:rsidRPr="00340DFF">
      <w:rPr>
        <w:rStyle w:val="PageNumber"/>
        <w:rFonts w:ascii="Dubai" w:hAnsi="Dubai" w:cs="Dubai"/>
      </w:rPr>
      <w:t>23/65(Add.</w:t>
    </w:r>
    <w:proofErr w:type="gramStart"/>
    <w:r w:rsidRPr="00340DFF">
      <w:rPr>
        <w:rStyle w:val="PageNumber"/>
        <w:rFonts w:ascii="Dubai" w:hAnsi="Dubai" w:cs="Dubai"/>
      </w:rPr>
      <w:t>25)(</w:t>
    </w:r>
    <w:proofErr w:type="gramEnd"/>
    <w:r w:rsidRPr="00340DFF">
      <w:rPr>
        <w:rStyle w:val="PageNumber"/>
        <w:rFonts w:ascii="Dubai" w:hAnsi="Dubai" w:cs="Dubai"/>
      </w:rPr>
      <w:t>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2AB8" w14:textId="437ACEDB" w:rsidR="00187E8F" w:rsidRPr="00187E8F" w:rsidRDefault="00187E8F" w:rsidP="00187E8F">
    <w:pPr>
      <w:bidi w:val="0"/>
      <w:spacing w:after="360" w:line="240" w:lineRule="auto"/>
      <w:jc w:val="center"/>
      <w:rPr>
        <w:sz w:val="20"/>
        <w:szCs w:val="20"/>
      </w:rPr>
    </w:pPr>
    <w:r w:rsidRPr="00340DFF">
      <w:rPr>
        <w:rStyle w:val="PageNumber"/>
        <w:rFonts w:ascii="Dubai" w:hAnsi="Dubai" w:cs="Dubai"/>
      </w:rPr>
      <w:fldChar w:fldCharType="begin"/>
    </w:r>
    <w:r w:rsidRPr="00340DFF">
      <w:rPr>
        <w:rStyle w:val="PageNumber"/>
        <w:rFonts w:ascii="Dubai" w:hAnsi="Dubai" w:cs="Dubai"/>
      </w:rPr>
      <w:instrText xml:space="preserve"> PAGE </w:instrText>
    </w:r>
    <w:r w:rsidRPr="00340DFF">
      <w:rPr>
        <w:rStyle w:val="PageNumber"/>
        <w:rFonts w:ascii="Dubai" w:hAnsi="Dubai" w:cs="Dubai"/>
      </w:rPr>
      <w:fldChar w:fldCharType="separate"/>
    </w:r>
    <w:r>
      <w:rPr>
        <w:rStyle w:val="PageNumber"/>
        <w:rFonts w:ascii="Dubai" w:hAnsi="Dubai" w:cs="Dubai"/>
      </w:rPr>
      <w:t>2</w:t>
    </w:r>
    <w:r w:rsidRPr="00340DFF">
      <w:rPr>
        <w:rStyle w:val="PageNumber"/>
        <w:rFonts w:ascii="Dubai" w:hAnsi="Dubai" w:cs="Dubai"/>
      </w:rPr>
      <w:fldChar w:fldCharType="end"/>
    </w:r>
    <w:r w:rsidRPr="00340DFF">
      <w:rPr>
        <w:rStyle w:val="PageNumber"/>
        <w:rFonts w:ascii="Dubai" w:hAnsi="Dubai" w:cs="Dubai"/>
        <w:rtl/>
      </w:rPr>
      <w:br/>
    </w:r>
    <w:r w:rsidRPr="00340DFF">
      <w:rPr>
        <w:rStyle w:val="PageNumber"/>
        <w:rFonts w:ascii="Dubai" w:hAnsi="Dubai" w:cs="Dubai"/>
      </w:rPr>
      <w:t>WRC23/65(Add.</w:t>
    </w:r>
    <w:proofErr w:type="gramStart"/>
    <w:r w:rsidRPr="00340DFF">
      <w:rPr>
        <w:rStyle w:val="PageNumber"/>
        <w:rFonts w:ascii="Dubai" w:hAnsi="Dubai" w:cs="Dubai"/>
      </w:rPr>
      <w:t>25)(</w:t>
    </w:r>
    <w:proofErr w:type="gramEnd"/>
    <w:r w:rsidRPr="00340DFF">
      <w:rPr>
        <w:rStyle w:val="PageNumber"/>
        <w:rFonts w:ascii="Dubai" w:hAnsi="Dubai" w:cs="Dubai"/>
      </w:rPr>
      <w:t>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84753201">
    <w:abstractNumId w:val="9"/>
  </w:num>
  <w:num w:numId="2" w16cid:durableId="191496847">
    <w:abstractNumId w:val="13"/>
  </w:num>
  <w:num w:numId="3" w16cid:durableId="1316881172">
    <w:abstractNumId w:val="11"/>
  </w:num>
  <w:num w:numId="4" w16cid:durableId="968585782">
    <w:abstractNumId w:val="14"/>
  </w:num>
  <w:num w:numId="5" w16cid:durableId="659967476">
    <w:abstractNumId w:val="7"/>
  </w:num>
  <w:num w:numId="6" w16cid:durableId="1030952052">
    <w:abstractNumId w:val="6"/>
  </w:num>
  <w:num w:numId="7" w16cid:durableId="1299148509">
    <w:abstractNumId w:val="5"/>
  </w:num>
  <w:num w:numId="8" w16cid:durableId="1217280292">
    <w:abstractNumId w:val="4"/>
  </w:num>
  <w:num w:numId="9" w16cid:durableId="479882193">
    <w:abstractNumId w:val="8"/>
  </w:num>
  <w:num w:numId="10" w16cid:durableId="1265266547">
    <w:abstractNumId w:val="3"/>
  </w:num>
  <w:num w:numId="11" w16cid:durableId="352806756">
    <w:abstractNumId w:val="2"/>
  </w:num>
  <w:num w:numId="12" w16cid:durableId="1694844644">
    <w:abstractNumId w:val="1"/>
  </w:num>
  <w:num w:numId="13" w16cid:durableId="525678683">
    <w:abstractNumId w:val="0"/>
  </w:num>
  <w:num w:numId="14" w16cid:durableId="1770540942">
    <w:abstractNumId w:val="10"/>
  </w:num>
  <w:num w:numId="15" w16cid:durableId="281763769">
    <w:abstractNumId w:val="15"/>
  </w:num>
  <w:num w:numId="16" w16cid:durableId="1244486398">
    <w:abstractNumId w:val="12"/>
  </w:num>
  <w:num w:numId="17" w16cid:durableId="1859075404">
    <w:abstractNumId w:val="6"/>
  </w:num>
  <w:num w:numId="18" w16cid:durableId="1544562147">
    <w:abstractNumId w:val="5"/>
  </w:num>
  <w:num w:numId="19" w16cid:durableId="1977176576">
    <w:abstractNumId w:val="3"/>
  </w:num>
  <w:num w:numId="20" w16cid:durableId="1792016624">
    <w:abstractNumId w:val="2"/>
  </w:num>
  <w:num w:numId="21" w16cid:durableId="756706597">
    <w:abstractNumId w:val="6"/>
  </w:num>
  <w:num w:numId="22" w16cid:durableId="1734770603">
    <w:abstractNumId w:val="5"/>
  </w:num>
  <w:num w:numId="23" w16cid:durableId="984091046">
    <w:abstractNumId w:val="3"/>
  </w:num>
  <w:num w:numId="24" w16cid:durableId="157196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7E8F"/>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4CEF"/>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0DFF"/>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65D9"/>
    <w:rsid w:val="003E02EF"/>
    <w:rsid w:val="003E1D90"/>
    <w:rsid w:val="003E653C"/>
    <w:rsid w:val="003F4A1B"/>
    <w:rsid w:val="00400CD4"/>
    <w:rsid w:val="00410223"/>
    <w:rsid w:val="004104A8"/>
    <w:rsid w:val="004147B9"/>
    <w:rsid w:val="00417575"/>
    <w:rsid w:val="00417E14"/>
    <w:rsid w:val="00420385"/>
    <w:rsid w:val="004226EB"/>
    <w:rsid w:val="00422C04"/>
    <w:rsid w:val="00423213"/>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77D90"/>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1BB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66B9"/>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1F0"/>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14FD"/>
    <w:rsid w:val="00844DE0"/>
    <w:rsid w:val="00851E79"/>
    <w:rsid w:val="0085569D"/>
    <w:rsid w:val="00855B59"/>
    <w:rsid w:val="008562C5"/>
    <w:rsid w:val="0085774F"/>
    <w:rsid w:val="008614B8"/>
    <w:rsid w:val="00862C7E"/>
    <w:rsid w:val="008657CB"/>
    <w:rsid w:val="008672FD"/>
    <w:rsid w:val="00873A6F"/>
    <w:rsid w:val="0087544C"/>
    <w:rsid w:val="00880DBE"/>
    <w:rsid w:val="0088384B"/>
    <w:rsid w:val="00885DA7"/>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4080"/>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7871"/>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5E95"/>
    <w:rsid w:val="00C22074"/>
    <w:rsid w:val="00C22410"/>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0C95"/>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05DA4"/>
    <w:rsid w:val="00D10CFC"/>
    <w:rsid w:val="00D1728C"/>
    <w:rsid w:val="00D21226"/>
    <w:rsid w:val="00D21235"/>
    <w:rsid w:val="00D25120"/>
    <w:rsid w:val="00D27F6E"/>
    <w:rsid w:val="00D335F7"/>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2581"/>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27F0C"/>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9B9"/>
    <w:rsid w:val="00F84613"/>
    <w:rsid w:val="00F8654D"/>
    <w:rsid w:val="00F868C4"/>
    <w:rsid w:val="00F900C9"/>
    <w:rsid w:val="00F926B9"/>
    <w:rsid w:val="00F92C96"/>
    <w:rsid w:val="00F9310C"/>
    <w:rsid w:val="00F932BC"/>
    <w:rsid w:val="00F95E93"/>
    <w:rsid w:val="00F97D1C"/>
    <w:rsid w:val="00FA0D4E"/>
    <w:rsid w:val="00FA115F"/>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5F27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Reference/ + Text 1"/>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DD2581"/>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customStyle="1" w:styleId="UnresolvedMention2">
    <w:name w:val="Unresolved Mention2"/>
    <w:basedOn w:val="DefaultParagraphFont"/>
    <w:uiPriority w:val="99"/>
    <w:semiHidden/>
    <w:unhideWhenUsed/>
    <w:rsid w:val="00D335F7"/>
    <w:rPr>
      <w:color w:val="605E5C"/>
      <w:shd w:val="clear" w:color="auto" w:fill="E1DFDD"/>
    </w:rPr>
  </w:style>
  <w:style w:type="character" w:styleId="UnresolvedMention">
    <w:name w:val="Unresolved Mention"/>
    <w:basedOn w:val="DefaultParagraphFont"/>
    <w:uiPriority w:val="99"/>
    <w:semiHidden/>
    <w:unhideWhenUsed/>
    <w:rsid w:val="00875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3-RRB23.1-C-0015/e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37443c-d41e-46ce-851f-39220799294f" targetNamespace="http://schemas.microsoft.com/office/2006/metadata/properties" ma:root="true" ma:fieldsID="d41af5c836d734370eb92e7ee5f83852" ns2:_="" ns3:_="">
    <xsd:import namespace="996b2e75-67fd-4955-a3b0-5ab9934cb50b"/>
    <xsd:import namespace="4c37443c-d41e-46ce-851f-3922079929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37443c-d41e-46ce-851f-3922079929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c37443c-d41e-46ce-851f-39220799294f">DPM</DPM_x0020_Author>
    <DPM_x0020_File_x0020_name xmlns="4c37443c-d41e-46ce-851f-39220799294f">R23-WRC23-C-0065!A25-A4!MSW-A</DPM_x0020_File_x0020_name>
    <DPM_x0020_Version xmlns="4c37443c-d41e-46ce-851f-39220799294f">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37443c-d41e-46ce-851f-392207992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http://schemas.microsoft.com/office/infopath/2007/PartnerControls"/>
    <ds:schemaRef ds:uri="4c37443c-d41e-46ce-851f-39220799294f"/>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8F6D026-37EE-4774-8910-E013FCEBB03F}">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830</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R23-WRC23-C-0065!A25-A4!MSW-A</vt:lpstr>
    </vt:vector>
  </TitlesOfParts>
  <Manager>General Secretariat - Pool</Manager>
  <Company>International Telecommunication Union (ITU)</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R23-WRC23-C-0065!A25-A4!MSW-A</dc:title>
  <dc:creator>Documents Proposals Manager (DPM)</dc:creator>
  <cp:keywords>DPM_v2023.11.6.1_prod</cp:keywords>
  <cp:lastModifiedBy>Arabic-AAM</cp:lastModifiedBy>
  <cp:revision>8</cp:revision>
  <cp:lastPrinted>2020-08-11T14:28:00Z</cp:lastPrinted>
  <dcterms:created xsi:type="dcterms:W3CDTF">2023-11-17T08:25:00Z</dcterms:created>
  <dcterms:modified xsi:type="dcterms:W3CDTF">2023-11-17T17:56:00Z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