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5E3954" w14:paraId="682DD18F" w14:textId="77777777" w:rsidTr="00C1305F">
        <w:trPr>
          <w:cantSplit/>
        </w:trPr>
        <w:tc>
          <w:tcPr>
            <w:tcW w:w="1418" w:type="dxa"/>
            <w:vAlign w:val="center"/>
          </w:tcPr>
          <w:p w14:paraId="6C0D3866" w14:textId="77777777" w:rsidR="00C1305F" w:rsidRPr="005E3954" w:rsidRDefault="00C1305F" w:rsidP="00E4256B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5E3954">
              <w:drawing>
                <wp:inline distT="0" distB="0" distL="0" distR="0" wp14:anchorId="39F1C24B" wp14:editId="0AB78D1E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523997AA" w14:textId="282E2F7B" w:rsidR="00C1305F" w:rsidRPr="005E3954" w:rsidRDefault="00C1305F" w:rsidP="00E4256B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5E3954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5E3954">
              <w:rPr>
                <w:rFonts w:ascii="Verdana" w:hAnsi="Verdana"/>
                <w:b/>
                <w:bCs/>
                <w:sz w:val="20"/>
              </w:rPr>
              <w:br/>
            </w:r>
            <w:r w:rsidRPr="005E3954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121B74" w:rsidRPr="005E395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5E3954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067C4348" w14:textId="77777777" w:rsidR="00C1305F" w:rsidRPr="005E3954" w:rsidRDefault="00C1305F" w:rsidP="00E4256B">
            <w:pPr>
              <w:spacing w:before="0"/>
            </w:pPr>
            <w:bookmarkStart w:id="0" w:name="ditulogo"/>
            <w:bookmarkEnd w:id="0"/>
            <w:r w:rsidRPr="005E3954">
              <w:drawing>
                <wp:inline distT="0" distB="0" distL="0" distR="0" wp14:anchorId="3EAD7185" wp14:editId="1EE8C8F2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5E3954" w14:paraId="7F7E1A72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0CD41D3" w14:textId="77777777" w:rsidR="00BB1D82" w:rsidRPr="005E3954" w:rsidRDefault="00BB1D82" w:rsidP="00E4256B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D63248E" w14:textId="77777777" w:rsidR="00BB1D82" w:rsidRPr="005E3954" w:rsidRDefault="00BB1D82" w:rsidP="00E4256B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5E3954" w14:paraId="6EED6579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3C996D4" w14:textId="77777777" w:rsidR="00BB1D82" w:rsidRPr="005E3954" w:rsidRDefault="00BB1D82" w:rsidP="00E4256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7AC0FF9" w14:textId="77777777" w:rsidR="00BB1D82" w:rsidRPr="005E3954" w:rsidRDefault="00BB1D82" w:rsidP="00E4256B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5E3954" w14:paraId="404626E5" w14:textId="77777777" w:rsidTr="00BB1D82">
        <w:trPr>
          <w:cantSplit/>
        </w:trPr>
        <w:tc>
          <w:tcPr>
            <w:tcW w:w="6911" w:type="dxa"/>
            <w:gridSpan w:val="2"/>
          </w:tcPr>
          <w:p w14:paraId="245ABEA2" w14:textId="77777777" w:rsidR="00BB1D82" w:rsidRPr="005E3954" w:rsidRDefault="006D4724" w:rsidP="00E4256B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E3954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48500114" w14:textId="77777777" w:rsidR="00BB1D82" w:rsidRPr="005E3954" w:rsidRDefault="006D4724" w:rsidP="00E4256B">
            <w:pPr>
              <w:spacing w:before="0"/>
              <w:rPr>
                <w:rFonts w:ascii="Verdana" w:hAnsi="Verdana"/>
                <w:sz w:val="20"/>
              </w:rPr>
            </w:pPr>
            <w:r w:rsidRPr="005E3954">
              <w:rPr>
                <w:rFonts w:ascii="Verdana" w:hAnsi="Verdana"/>
                <w:b/>
                <w:sz w:val="20"/>
              </w:rPr>
              <w:t>Addendum 5 au</w:t>
            </w:r>
            <w:r w:rsidRPr="005E3954">
              <w:rPr>
                <w:rFonts w:ascii="Verdana" w:hAnsi="Verdana"/>
                <w:b/>
                <w:sz w:val="20"/>
              </w:rPr>
              <w:br/>
              <w:t>Document 65(Add.24)</w:t>
            </w:r>
            <w:r w:rsidR="00BB1D82" w:rsidRPr="005E3954">
              <w:rPr>
                <w:rFonts w:ascii="Verdana" w:hAnsi="Verdana"/>
                <w:b/>
                <w:sz w:val="20"/>
              </w:rPr>
              <w:t>-</w:t>
            </w:r>
            <w:r w:rsidRPr="005E3954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5E3954" w14:paraId="308EC8F8" w14:textId="77777777" w:rsidTr="00BB1D82">
        <w:trPr>
          <w:cantSplit/>
        </w:trPr>
        <w:tc>
          <w:tcPr>
            <w:tcW w:w="6911" w:type="dxa"/>
            <w:gridSpan w:val="2"/>
          </w:tcPr>
          <w:p w14:paraId="5E4EF5BB" w14:textId="77777777" w:rsidR="00690C7B" w:rsidRPr="005E3954" w:rsidRDefault="00690C7B" w:rsidP="00E4256B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1635FF45" w14:textId="77777777" w:rsidR="00690C7B" w:rsidRPr="005E3954" w:rsidRDefault="00690C7B" w:rsidP="00E4256B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E3954">
              <w:rPr>
                <w:rFonts w:ascii="Verdana" w:hAnsi="Verdana"/>
                <w:b/>
                <w:sz w:val="20"/>
              </w:rPr>
              <w:t>29 septembre 2023</w:t>
            </w:r>
          </w:p>
        </w:tc>
      </w:tr>
      <w:tr w:rsidR="00690C7B" w:rsidRPr="005E3954" w14:paraId="0536E19B" w14:textId="77777777" w:rsidTr="00BB1D82">
        <w:trPr>
          <w:cantSplit/>
        </w:trPr>
        <w:tc>
          <w:tcPr>
            <w:tcW w:w="6911" w:type="dxa"/>
            <w:gridSpan w:val="2"/>
          </w:tcPr>
          <w:p w14:paraId="70C08FD5" w14:textId="77777777" w:rsidR="00690C7B" w:rsidRPr="005E3954" w:rsidRDefault="00690C7B" w:rsidP="00E4256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65AD1FF" w14:textId="77777777" w:rsidR="00690C7B" w:rsidRPr="005E3954" w:rsidRDefault="00690C7B" w:rsidP="00E4256B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E3954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5E3954" w14:paraId="48D8C456" w14:textId="77777777" w:rsidTr="00C11970">
        <w:trPr>
          <w:cantSplit/>
        </w:trPr>
        <w:tc>
          <w:tcPr>
            <w:tcW w:w="10031" w:type="dxa"/>
            <w:gridSpan w:val="4"/>
          </w:tcPr>
          <w:p w14:paraId="2579B31A" w14:textId="77777777" w:rsidR="00690C7B" w:rsidRPr="005E3954" w:rsidRDefault="00690C7B" w:rsidP="00E4256B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5E3954" w14:paraId="3CBC6009" w14:textId="77777777" w:rsidTr="0050008E">
        <w:trPr>
          <w:cantSplit/>
        </w:trPr>
        <w:tc>
          <w:tcPr>
            <w:tcW w:w="10031" w:type="dxa"/>
            <w:gridSpan w:val="4"/>
          </w:tcPr>
          <w:p w14:paraId="3EF0F38E" w14:textId="77777777" w:rsidR="00690C7B" w:rsidRPr="005E3954" w:rsidRDefault="00690C7B" w:rsidP="00E4256B">
            <w:pPr>
              <w:pStyle w:val="Source"/>
            </w:pPr>
            <w:bookmarkStart w:id="2" w:name="dsource" w:colFirst="0" w:colLast="0"/>
            <w:r w:rsidRPr="005E3954">
              <w:t>Propositions européennes communes</w:t>
            </w:r>
          </w:p>
        </w:tc>
      </w:tr>
      <w:tr w:rsidR="00690C7B" w:rsidRPr="005E3954" w14:paraId="6A5FAFB3" w14:textId="77777777" w:rsidTr="0050008E">
        <w:trPr>
          <w:cantSplit/>
        </w:trPr>
        <w:tc>
          <w:tcPr>
            <w:tcW w:w="10031" w:type="dxa"/>
            <w:gridSpan w:val="4"/>
          </w:tcPr>
          <w:p w14:paraId="21BCFDC2" w14:textId="35139738" w:rsidR="00690C7B" w:rsidRPr="005E3954" w:rsidRDefault="00825730" w:rsidP="00E4256B">
            <w:pPr>
              <w:pStyle w:val="Title1"/>
            </w:pPr>
            <w:bookmarkStart w:id="3" w:name="dtitle1" w:colFirst="0" w:colLast="0"/>
            <w:bookmarkEnd w:id="2"/>
            <w:r w:rsidRPr="005E3954">
              <w:t>PROPOSITIONS POUR LES TRAVAUX DE LA CONFÉRENCE</w:t>
            </w:r>
          </w:p>
        </w:tc>
      </w:tr>
      <w:tr w:rsidR="00690C7B" w:rsidRPr="005E3954" w14:paraId="19EB315C" w14:textId="77777777" w:rsidTr="0050008E">
        <w:trPr>
          <w:cantSplit/>
        </w:trPr>
        <w:tc>
          <w:tcPr>
            <w:tcW w:w="10031" w:type="dxa"/>
            <w:gridSpan w:val="4"/>
          </w:tcPr>
          <w:p w14:paraId="73E45704" w14:textId="77777777" w:rsidR="00690C7B" w:rsidRPr="005E3954" w:rsidRDefault="00690C7B" w:rsidP="00E4256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5E3954" w14:paraId="72A19975" w14:textId="77777777" w:rsidTr="0050008E">
        <w:trPr>
          <w:cantSplit/>
        </w:trPr>
        <w:tc>
          <w:tcPr>
            <w:tcW w:w="10031" w:type="dxa"/>
            <w:gridSpan w:val="4"/>
          </w:tcPr>
          <w:p w14:paraId="6ED16877" w14:textId="77777777" w:rsidR="00690C7B" w:rsidRPr="005E3954" w:rsidRDefault="00690C7B" w:rsidP="00E4256B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5E3954">
              <w:rPr>
                <w:lang w:val="fr-FR"/>
              </w:rPr>
              <w:t>Point 9.1 de l'ordre du jour</w:t>
            </w:r>
          </w:p>
        </w:tc>
      </w:tr>
    </w:tbl>
    <w:bookmarkEnd w:id="5"/>
    <w:p w14:paraId="3C892400" w14:textId="099BEAF8" w:rsidR="00121B74" w:rsidRPr="005E3954" w:rsidRDefault="00121B74" w:rsidP="00E4256B">
      <w:r w:rsidRPr="005E3954">
        <w:t>9</w:t>
      </w:r>
      <w:r w:rsidRPr="005E3954">
        <w:tab/>
        <w:t>examiner et approuver le rapport du Directeur du Bureau des radiocommunications, conformément à l'article 7 de la Convention de l'UIT</w:t>
      </w:r>
      <w:r w:rsidR="00E4256B" w:rsidRPr="005E3954">
        <w:t>:</w:t>
      </w:r>
    </w:p>
    <w:p w14:paraId="7436EFA2" w14:textId="77777777" w:rsidR="00121B74" w:rsidRPr="005E3954" w:rsidRDefault="00121B74" w:rsidP="00E4256B">
      <w:r w:rsidRPr="005E3954">
        <w:t>9.1</w:t>
      </w:r>
      <w:r w:rsidRPr="005E3954">
        <w:tab/>
        <w:t>sur les activités du Secteur des radiocommunications de l'UIT depuis la CMR</w:t>
      </w:r>
      <w:r w:rsidRPr="005E3954">
        <w:noBreakHyphen/>
        <w:t>19;</w:t>
      </w:r>
    </w:p>
    <w:p w14:paraId="7A941FAC" w14:textId="14C2890C" w:rsidR="003A583E" w:rsidRPr="005E3954" w:rsidRDefault="00121B74" w:rsidP="00E4256B">
      <w:pPr>
        <w:pStyle w:val="Headingb"/>
      </w:pPr>
      <w:r w:rsidRPr="005E3954">
        <w:t>Introduction</w:t>
      </w:r>
    </w:p>
    <w:p w14:paraId="3B60FE11" w14:textId="2693C85C" w:rsidR="00121B74" w:rsidRPr="005E3954" w:rsidRDefault="0093218F" w:rsidP="00E4256B">
      <w:r w:rsidRPr="005E3954">
        <w:t xml:space="preserve">Par sa Résolution </w:t>
      </w:r>
      <w:r w:rsidRPr="005E3954">
        <w:rPr>
          <w:b/>
          <w:bCs/>
        </w:rPr>
        <w:t>427 (CMR-19)</w:t>
      </w:r>
      <w:r w:rsidRPr="005E3954">
        <w:t>, intitulée «Mise à jour des dispositions relatives aux services aéronautiques dans le Règlement des radiocommunications», la CMR</w:t>
      </w:r>
      <w:r w:rsidRPr="005E3954">
        <w:rPr>
          <w:i/>
          <w:iCs/>
        </w:rPr>
        <w:t xml:space="preserve"> a décidé d'invit</w:t>
      </w:r>
      <w:r w:rsidR="0026289A" w:rsidRPr="005E3954">
        <w:rPr>
          <w:i/>
          <w:iCs/>
        </w:rPr>
        <w:t>er</w:t>
      </w:r>
      <w:r w:rsidRPr="005E3954">
        <w:rPr>
          <w:i/>
          <w:iCs/>
        </w:rPr>
        <w:t xml:space="preserve"> le Secteur des radiocommunications de l'UIT</w:t>
      </w:r>
    </w:p>
    <w:p w14:paraId="7B329F54" w14:textId="0E7A3888" w:rsidR="00121B74" w:rsidRPr="005E3954" w:rsidRDefault="0093218F" w:rsidP="00113F0A">
      <w:pPr>
        <w:ind w:left="567"/>
      </w:pPr>
      <w:r w:rsidRPr="005E3954">
        <w:t>à étudier uniquement les Articles des Chapitres IV, V, VI et VIII du Volume 1 du Règlement des radiocommunications ainsi que les Appendices associés, selon qu'il convient, afin d'identifier les dispositions obsolètes relatives aux services aéronautiques, eu égard aux normes et pratiques recommandées de l'OACI, et à élaborer des exemples de textes réglementaires pour mettre à jour ces dispositions, tout en veillant à ce que les modifications éventuelles apportées à ces dispositions n'aient pas d'incidences sur les autres systèmes ou services fonctionnant conformément au Règlement des radiocommunications.</w:t>
      </w:r>
    </w:p>
    <w:p w14:paraId="6642E272" w14:textId="313A17A0" w:rsidR="00121B74" w:rsidRPr="005E3954" w:rsidRDefault="00EA0422" w:rsidP="00E4256B">
      <w:r w:rsidRPr="005E3954">
        <w:t>Conformément à la</w:t>
      </w:r>
      <w:r w:rsidR="00156908" w:rsidRPr="005E3954">
        <w:t xml:space="preserve"> présente proposition </w:t>
      </w:r>
      <w:r w:rsidR="001B3EF4" w:rsidRPr="005E3954">
        <w:t xml:space="preserve">européenne </w:t>
      </w:r>
      <w:r w:rsidR="00156908" w:rsidRPr="005E3954">
        <w:t>commune</w:t>
      </w:r>
      <w:r w:rsidR="007652B0" w:rsidRPr="005E3954">
        <w:t>,</w:t>
      </w:r>
      <w:r w:rsidR="00156908" w:rsidRPr="005E3954">
        <w:t xml:space="preserve"> aucune </w:t>
      </w:r>
      <w:r w:rsidR="00C80EBA" w:rsidRPr="005E3954">
        <w:t xml:space="preserve">modification </w:t>
      </w:r>
      <w:r w:rsidR="007652B0" w:rsidRPr="005E3954">
        <w:t>d</w:t>
      </w:r>
      <w:r w:rsidR="00C80EBA" w:rsidRPr="005E3954">
        <w:t>u</w:t>
      </w:r>
      <w:r w:rsidR="00156908" w:rsidRPr="005E3954">
        <w:t xml:space="preserve"> Règlement des radiocommunications</w:t>
      </w:r>
      <w:r w:rsidR="00546819" w:rsidRPr="005E3954">
        <w:t xml:space="preserve"> n'est attendue</w:t>
      </w:r>
      <w:r w:rsidR="00C80EBA" w:rsidRPr="005E3954">
        <w:t xml:space="preserve"> à cet égard lors de</w:t>
      </w:r>
      <w:r w:rsidR="00156908" w:rsidRPr="005E3954">
        <w:t xml:space="preserve"> la CMR-23.</w:t>
      </w:r>
    </w:p>
    <w:p w14:paraId="0AA1E4C9" w14:textId="16BC6897" w:rsidR="00121B74" w:rsidRPr="005E3954" w:rsidRDefault="00121B74" w:rsidP="00E4256B">
      <w:pPr>
        <w:pStyle w:val="Headingb"/>
      </w:pPr>
      <w:r w:rsidRPr="005E3954">
        <w:t>Propositions</w:t>
      </w:r>
    </w:p>
    <w:p w14:paraId="1F8FF336" w14:textId="77777777" w:rsidR="0015203F" w:rsidRPr="005E3954" w:rsidRDefault="0015203F" w:rsidP="00E4256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E3954">
        <w:br w:type="page"/>
      </w:r>
    </w:p>
    <w:p w14:paraId="70721D7B" w14:textId="77777777" w:rsidR="00402CFC" w:rsidRPr="005E3954" w:rsidRDefault="00121B74" w:rsidP="00E4256B">
      <w:pPr>
        <w:pStyle w:val="Proposal"/>
      </w:pPr>
      <w:r w:rsidRPr="005E3954">
        <w:rPr>
          <w:u w:val="single"/>
        </w:rPr>
        <w:lastRenderedPageBreak/>
        <w:t>NOC</w:t>
      </w:r>
      <w:r w:rsidRPr="005E3954">
        <w:tab/>
        <w:t>EUR/65A24A5/1</w:t>
      </w:r>
    </w:p>
    <w:p w14:paraId="64E1E0BB" w14:textId="77777777" w:rsidR="00121B74" w:rsidRPr="005E3954" w:rsidRDefault="00121B74" w:rsidP="00E4256B">
      <w:pPr>
        <w:pStyle w:val="ChapNo"/>
        <w:rPr>
          <w:rFonts w:ascii="Times New Roman" w:hAnsi="Times New Roman"/>
          <w:b w:val="0"/>
          <w:bCs/>
        </w:rPr>
      </w:pPr>
      <w:bookmarkStart w:id="6" w:name="_Toc327956603"/>
      <w:bookmarkStart w:id="7" w:name="_Toc455752935"/>
      <w:bookmarkStart w:id="8" w:name="_Toc455756174"/>
      <w:r w:rsidRPr="005E3954">
        <w:rPr>
          <w:rFonts w:ascii="Times New Roman" w:hAnsi="Times New Roman"/>
          <w:b w:val="0"/>
          <w:bCs/>
        </w:rPr>
        <w:t xml:space="preserve">CHAPITRE </w:t>
      </w:r>
      <w:r w:rsidRPr="005E3954">
        <w:rPr>
          <w:rStyle w:val="href"/>
          <w:rFonts w:ascii="Times New Roman" w:hAnsi="Times New Roman"/>
          <w:b w:val="0"/>
          <w:bCs/>
        </w:rPr>
        <w:t>IV</w:t>
      </w:r>
      <w:bookmarkEnd w:id="6"/>
      <w:bookmarkEnd w:id="7"/>
      <w:bookmarkEnd w:id="8"/>
    </w:p>
    <w:p w14:paraId="4877593F" w14:textId="77777777" w:rsidR="00121B74" w:rsidRPr="005E3954" w:rsidRDefault="00121B74" w:rsidP="00E4256B">
      <w:pPr>
        <w:pStyle w:val="Chaptitle"/>
      </w:pPr>
      <w:bookmarkStart w:id="9" w:name="_Toc455752936"/>
      <w:bookmarkStart w:id="10" w:name="_Toc455756175"/>
      <w:r w:rsidRPr="005E3954">
        <w:t>Brouillages</w:t>
      </w:r>
      <w:bookmarkEnd w:id="9"/>
      <w:bookmarkEnd w:id="10"/>
    </w:p>
    <w:p w14:paraId="25A7B4A2" w14:textId="77777777" w:rsidR="00402CFC" w:rsidRPr="005E3954" w:rsidRDefault="00402CFC" w:rsidP="00E4256B">
      <w:pPr>
        <w:pStyle w:val="Reasons"/>
      </w:pPr>
    </w:p>
    <w:p w14:paraId="2DC97029" w14:textId="77777777" w:rsidR="00402CFC" w:rsidRPr="005E3954" w:rsidRDefault="00121B74" w:rsidP="00E4256B">
      <w:pPr>
        <w:pStyle w:val="Proposal"/>
      </w:pPr>
      <w:r w:rsidRPr="005E3954">
        <w:rPr>
          <w:u w:val="single"/>
        </w:rPr>
        <w:t>NOC</w:t>
      </w:r>
      <w:r w:rsidRPr="005E3954">
        <w:tab/>
        <w:t>EUR/65A24A5/2</w:t>
      </w:r>
    </w:p>
    <w:p w14:paraId="23E0AF69" w14:textId="77777777" w:rsidR="00121B74" w:rsidRPr="005E3954" w:rsidRDefault="00121B74" w:rsidP="00E4256B">
      <w:pPr>
        <w:pStyle w:val="ChapNo"/>
        <w:rPr>
          <w:rFonts w:ascii="Times New Roman" w:hAnsi="Times New Roman"/>
          <w:b w:val="0"/>
          <w:bCs/>
        </w:rPr>
      </w:pPr>
      <w:bookmarkStart w:id="11" w:name="_Toc455752941"/>
      <w:bookmarkStart w:id="12" w:name="_Toc455756180"/>
      <w:r w:rsidRPr="005E3954">
        <w:rPr>
          <w:rFonts w:ascii="Times New Roman" w:hAnsi="Times New Roman"/>
          <w:b w:val="0"/>
          <w:bCs/>
        </w:rPr>
        <w:t>CHAPITRE V</w:t>
      </w:r>
      <w:bookmarkEnd w:id="11"/>
      <w:bookmarkEnd w:id="12"/>
    </w:p>
    <w:p w14:paraId="7DB612CD" w14:textId="77777777" w:rsidR="00121B74" w:rsidRPr="005E3954" w:rsidRDefault="00121B74" w:rsidP="00E4256B">
      <w:pPr>
        <w:pStyle w:val="Chaptitle"/>
      </w:pPr>
      <w:bookmarkStart w:id="13" w:name="_Toc455752942"/>
      <w:bookmarkStart w:id="14" w:name="_Toc455756181"/>
      <w:r w:rsidRPr="005E3954">
        <w:t>Dispositions administratives</w:t>
      </w:r>
      <w:bookmarkEnd w:id="13"/>
      <w:bookmarkEnd w:id="14"/>
    </w:p>
    <w:p w14:paraId="4CFC4380" w14:textId="77777777" w:rsidR="00402CFC" w:rsidRPr="005E3954" w:rsidRDefault="00402CFC" w:rsidP="00E4256B">
      <w:pPr>
        <w:pStyle w:val="Reasons"/>
      </w:pPr>
    </w:p>
    <w:p w14:paraId="04B65740" w14:textId="77777777" w:rsidR="00402CFC" w:rsidRPr="005E3954" w:rsidRDefault="00121B74" w:rsidP="00E4256B">
      <w:pPr>
        <w:pStyle w:val="Proposal"/>
      </w:pPr>
      <w:r w:rsidRPr="005E3954">
        <w:rPr>
          <w:u w:val="single"/>
        </w:rPr>
        <w:t>NOC</w:t>
      </w:r>
      <w:r w:rsidRPr="005E3954">
        <w:tab/>
        <w:t>EUR/65A24A5/3</w:t>
      </w:r>
    </w:p>
    <w:p w14:paraId="623DEC3E" w14:textId="77777777" w:rsidR="00121B74" w:rsidRPr="005E3954" w:rsidRDefault="00121B74" w:rsidP="00E4256B">
      <w:pPr>
        <w:pStyle w:val="ChapNo"/>
        <w:rPr>
          <w:rFonts w:ascii="Times New Roman" w:hAnsi="Times New Roman"/>
          <w:b w:val="0"/>
          <w:bCs/>
        </w:rPr>
      </w:pPr>
      <w:bookmarkStart w:id="15" w:name="_Toc327956619"/>
      <w:bookmarkStart w:id="16" w:name="_Toc455752951"/>
      <w:bookmarkStart w:id="17" w:name="_Toc455756190"/>
      <w:r w:rsidRPr="005E3954">
        <w:rPr>
          <w:rFonts w:ascii="Times New Roman" w:hAnsi="Times New Roman"/>
          <w:b w:val="0"/>
          <w:bCs/>
        </w:rPr>
        <w:t xml:space="preserve">CHAPITRE </w:t>
      </w:r>
      <w:r w:rsidRPr="005E3954">
        <w:rPr>
          <w:rStyle w:val="href"/>
          <w:rFonts w:ascii="Times New Roman" w:hAnsi="Times New Roman"/>
          <w:b w:val="0"/>
          <w:bCs/>
        </w:rPr>
        <w:t>VI</w:t>
      </w:r>
      <w:bookmarkEnd w:id="15"/>
      <w:bookmarkEnd w:id="16"/>
      <w:bookmarkEnd w:id="17"/>
    </w:p>
    <w:p w14:paraId="7C9CF6FD" w14:textId="77777777" w:rsidR="00121B74" w:rsidRPr="005E3954" w:rsidRDefault="00121B74" w:rsidP="00E4256B">
      <w:pPr>
        <w:pStyle w:val="Chaptitle"/>
      </w:pPr>
      <w:bookmarkStart w:id="18" w:name="_Toc455752952"/>
      <w:bookmarkStart w:id="19" w:name="_Toc455756191"/>
      <w:r w:rsidRPr="005E3954">
        <w:t>Dispositions relatives aux services et aux stations</w:t>
      </w:r>
      <w:bookmarkEnd w:id="18"/>
      <w:bookmarkEnd w:id="19"/>
    </w:p>
    <w:p w14:paraId="2CBC3A67" w14:textId="77777777" w:rsidR="00402CFC" w:rsidRPr="005E3954" w:rsidRDefault="00402CFC" w:rsidP="00E4256B">
      <w:pPr>
        <w:pStyle w:val="Reasons"/>
      </w:pPr>
    </w:p>
    <w:p w14:paraId="4C1949E0" w14:textId="77777777" w:rsidR="00402CFC" w:rsidRPr="005E3954" w:rsidRDefault="00121B74" w:rsidP="00E4256B">
      <w:pPr>
        <w:pStyle w:val="Proposal"/>
      </w:pPr>
      <w:r w:rsidRPr="005E3954">
        <w:rPr>
          <w:u w:val="single"/>
        </w:rPr>
        <w:t>NOC</w:t>
      </w:r>
      <w:r w:rsidRPr="005E3954">
        <w:tab/>
        <w:t>EUR/65A24A5/4</w:t>
      </w:r>
    </w:p>
    <w:p w14:paraId="0133E2A8" w14:textId="77777777" w:rsidR="00121B74" w:rsidRPr="005E3954" w:rsidRDefault="00121B74" w:rsidP="00E4256B">
      <w:pPr>
        <w:pStyle w:val="ChapNo"/>
        <w:rPr>
          <w:rFonts w:ascii="Times New Roman" w:hAnsi="Times New Roman"/>
          <w:b w:val="0"/>
          <w:bCs/>
        </w:rPr>
      </w:pPr>
      <w:bookmarkStart w:id="20" w:name="_Toc455752985"/>
      <w:bookmarkStart w:id="21" w:name="_Toc455756224"/>
      <w:r w:rsidRPr="005E3954">
        <w:rPr>
          <w:rFonts w:ascii="Times New Roman" w:hAnsi="Times New Roman"/>
          <w:b w:val="0"/>
          <w:bCs/>
        </w:rPr>
        <w:t xml:space="preserve">CHAPITRE </w:t>
      </w:r>
      <w:r w:rsidRPr="005E3954">
        <w:rPr>
          <w:rStyle w:val="href"/>
          <w:rFonts w:ascii="Times New Roman" w:hAnsi="Times New Roman"/>
          <w:b w:val="0"/>
          <w:bCs/>
        </w:rPr>
        <w:t>VIII</w:t>
      </w:r>
      <w:bookmarkEnd w:id="20"/>
      <w:bookmarkEnd w:id="21"/>
    </w:p>
    <w:p w14:paraId="3E8AF710" w14:textId="77777777" w:rsidR="00121B74" w:rsidRPr="005E3954" w:rsidRDefault="00121B74" w:rsidP="00E4256B">
      <w:pPr>
        <w:pStyle w:val="Chaptitle"/>
      </w:pPr>
      <w:bookmarkStart w:id="22" w:name="_Toc455752986"/>
      <w:bookmarkStart w:id="23" w:name="_Toc455756225"/>
      <w:r w:rsidRPr="005E3954">
        <w:t>Services aéronautiques</w:t>
      </w:r>
      <w:bookmarkEnd w:id="22"/>
      <w:bookmarkEnd w:id="23"/>
    </w:p>
    <w:p w14:paraId="7434E4D8" w14:textId="7FF73502" w:rsidR="00402CFC" w:rsidRPr="005E3954" w:rsidRDefault="00121B74" w:rsidP="00E4256B">
      <w:pPr>
        <w:pStyle w:val="Reasons"/>
      </w:pPr>
      <w:r w:rsidRPr="005E3954">
        <w:rPr>
          <w:b/>
        </w:rPr>
        <w:t>Motifs:</w:t>
      </w:r>
      <w:r w:rsidRPr="005E3954">
        <w:tab/>
      </w:r>
      <w:r w:rsidR="003063C6" w:rsidRPr="005E3954">
        <w:t xml:space="preserve">Des études ont été entreprises par l'UIT-R en novembre 2022 en application de la Résolution </w:t>
      </w:r>
      <w:r w:rsidR="003063C6" w:rsidRPr="005E3954">
        <w:rPr>
          <w:b/>
          <w:bCs/>
        </w:rPr>
        <w:t>427 (CMR-19)</w:t>
      </w:r>
      <w:r w:rsidR="003063C6" w:rsidRPr="005E3954">
        <w:t>, mais tel n'est pas encore le cas au sein de l'OACI. Les études ne sont donc pas suffisamment abouties pour justifier que des modifications soient apportées lors de la CMR-23.</w:t>
      </w:r>
    </w:p>
    <w:p w14:paraId="2C3C3B70" w14:textId="77777777" w:rsidR="00402CFC" w:rsidRPr="005E3954" w:rsidRDefault="00121B74" w:rsidP="00E4256B">
      <w:pPr>
        <w:pStyle w:val="Proposal"/>
      </w:pPr>
      <w:r w:rsidRPr="005E3954">
        <w:t>SUP</w:t>
      </w:r>
      <w:r w:rsidRPr="005E3954">
        <w:tab/>
        <w:t>EUR/65A24A5/5</w:t>
      </w:r>
    </w:p>
    <w:p w14:paraId="1DC11307" w14:textId="77777777" w:rsidR="00121B74" w:rsidRPr="005E3954" w:rsidRDefault="00121B74" w:rsidP="00E4256B">
      <w:pPr>
        <w:pStyle w:val="ResNo"/>
      </w:pPr>
      <w:bookmarkStart w:id="24" w:name="_Toc35933839"/>
      <w:bookmarkStart w:id="25" w:name="_Toc39829277"/>
      <w:r w:rsidRPr="005E3954">
        <w:t xml:space="preserve">RÉSOLUTION </w:t>
      </w:r>
      <w:r w:rsidRPr="005E3954">
        <w:rPr>
          <w:rStyle w:val="href"/>
        </w:rPr>
        <w:t>427</w:t>
      </w:r>
      <w:r w:rsidRPr="005E3954">
        <w:t xml:space="preserve"> (CMR-19)</w:t>
      </w:r>
      <w:bookmarkEnd w:id="24"/>
      <w:bookmarkEnd w:id="25"/>
    </w:p>
    <w:p w14:paraId="1303B722" w14:textId="77777777" w:rsidR="00121B74" w:rsidRPr="005E3954" w:rsidRDefault="00121B74" w:rsidP="00E4256B">
      <w:pPr>
        <w:pStyle w:val="Restitle"/>
      </w:pPr>
      <w:bookmarkStart w:id="26" w:name="_Toc35933840"/>
      <w:bookmarkStart w:id="27" w:name="_Toc39829278"/>
      <w:r w:rsidRPr="005E3954">
        <w:rPr>
          <w:bCs/>
        </w:rPr>
        <w:t xml:space="preserve">Mise à jour des dispositions relatives aux services aéronautiques </w:t>
      </w:r>
      <w:r w:rsidRPr="005E3954">
        <w:rPr>
          <w:bCs/>
        </w:rPr>
        <w:br/>
        <w:t>dans le Règlement des radiocommunications</w:t>
      </w:r>
      <w:bookmarkEnd w:id="26"/>
      <w:bookmarkEnd w:id="27"/>
    </w:p>
    <w:p w14:paraId="75CD9729" w14:textId="32E7BB5E" w:rsidR="00121B74" w:rsidRPr="005E3954" w:rsidRDefault="00121B74" w:rsidP="00E4256B">
      <w:pPr>
        <w:pStyle w:val="Reasons"/>
      </w:pPr>
      <w:r w:rsidRPr="005E3954">
        <w:rPr>
          <w:b/>
        </w:rPr>
        <w:t>Motifs:</w:t>
      </w:r>
      <w:r w:rsidRPr="005E3954">
        <w:tab/>
      </w:r>
      <w:r w:rsidR="003063C6" w:rsidRPr="005E3954">
        <w:t xml:space="preserve">Une nouvelle Résolution relative à un nouveau point éventuel de l'ordre du jour de la CMR-27, dont la portée sera plus ciblée, pourra être envisagée pour remplacer la Résolution </w:t>
      </w:r>
      <w:r w:rsidR="003063C6" w:rsidRPr="005E3954">
        <w:rPr>
          <w:b/>
          <w:bCs/>
        </w:rPr>
        <w:t>427 (CMR-19)</w:t>
      </w:r>
      <w:r w:rsidR="003063C6" w:rsidRPr="005E3954">
        <w:t>, compte tenu de l'avancement des études au sein de l'UIT-R.</w:t>
      </w:r>
    </w:p>
    <w:p w14:paraId="48DF4F4B" w14:textId="7A0644C5" w:rsidR="00402CFC" w:rsidRPr="005E3954" w:rsidRDefault="00121B74" w:rsidP="00E4256B">
      <w:pPr>
        <w:jc w:val="center"/>
      </w:pPr>
      <w:r w:rsidRPr="005E3954">
        <w:t>______________</w:t>
      </w:r>
    </w:p>
    <w:sectPr w:rsidR="00402CFC" w:rsidRPr="005E395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1FFFA" w14:textId="77777777" w:rsidR="00CB685A" w:rsidRDefault="00CB685A">
      <w:r>
        <w:separator/>
      </w:r>
    </w:p>
  </w:endnote>
  <w:endnote w:type="continuationSeparator" w:id="0">
    <w:p w14:paraId="42144189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8A1C" w14:textId="4AADA1D3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13F0A">
      <w:rPr>
        <w:noProof/>
      </w:rPr>
      <w:t>11.10.23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9745" w14:textId="4BEEE47B" w:rsidR="00936D25" w:rsidRDefault="005E3954" w:rsidP="00121B74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E4256B">
      <w:t>P:\FRA\ITU-R\CONF-R\CMR23\000\065ADD24ADD05F.docx</w:t>
    </w:r>
    <w:r>
      <w:fldChar w:fldCharType="end"/>
    </w:r>
    <w:r w:rsidR="00121B74">
      <w:t xml:space="preserve"> (528863)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EF23" w14:textId="75D4AD11" w:rsidR="00936D25" w:rsidRDefault="00121B74" w:rsidP="00121B74">
    <w:pPr>
      <w:pStyle w:val="Footer"/>
      <w:rPr>
        <w:lang w:val="en-US"/>
      </w:rPr>
    </w:pPr>
    <w:r w:rsidRPr="00121B74">
      <w:rPr>
        <w:lang w:val="en-US"/>
      </w:rPr>
      <w:fldChar w:fldCharType="begin"/>
    </w:r>
    <w:r w:rsidRPr="00121B74">
      <w:rPr>
        <w:lang w:val="en-US"/>
      </w:rPr>
      <w:instrText xml:space="preserve"> FILENAME \p  \* MERGEFORMAT </w:instrText>
    </w:r>
    <w:r w:rsidRPr="00121B74">
      <w:rPr>
        <w:lang w:val="en-US"/>
      </w:rPr>
      <w:fldChar w:fldCharType="separate"/>
    </w:r>
    <w:r w:rsidR="00113F0A">
      <w:rPr>
        <w:lang w:val="en-US"/>
      </w:rPr>
      <w:t>P:\FRA\ITU-R\CONF-R\CMR23\000\065ADD24ADD05F.docx</w:t>
    </w:r>
    <w:r w:rsidRPr="00121B74">
      <w:rPr>
        <w:lang w:val="en-US"/>
      </w:rPr>
      <w:fldChar w:fldCharType="end"/>
    </w:r>
    <w:r w:rsidRPr="00121B74">
      <w:rPr>
        <w:lang w:val="en-US"/>
      </w:rPr>
      <w:t xml:space="preserve"> (</w:t>
    </w:r>
    <w:r>
      <w:rPr>
        <w:lang w:val="en-US"/>
      </w:rPr>
      <w:t>528863</w:t>
    </w:r>
    <w:r w:rsidRPr="00121B74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5051B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4AC44B35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043E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365D936B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65(Add.24)(Add.5)-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87369162">
    <w:abstractNumId w:val="0"/>
  </w:num>
  <w:num w:numId="2" w16cid:durableId="73964101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3F0A"/>
    <w:rsid w:val="001167B9"/>
    <w:rsid w:val="00121B74"/>
    <w:rsid w:val="001267A0"/>
    <w:rsid w:val="0015203F"/>
    <w:rsid w:val="00156908"/>
    <w:rsid w:val="00160C64"/>
    <w:rsid w:val="0018169B"/>
    <w:rsid w:val="0019352B"/>
    <w:rsid w:val="001960D0"/>
    <w:rsid w:val="001A11F6"/>
    <w:rsid w:val="001B3EF4"/>
    <w:rsid w:val="001F17E8"/>
    <w:rsid w:val="00204306"/>
    <w:rsid w:val="00225CF2"/>
    <w:rsid w:val="00232FD2"/>
    <w:rsid w:val="0026289A"/>
    <w:rsid w:val="0026554E"/>
    <w:rsid w:val="002A4622"/>
    <w:rsid w:val="002A6F8F"/>
    <w:rsid w:val="002B17E5"/>
    <w:rsid w:val="002C0EBF"/>
    <w:rsid w:val="002C28A4"/>
    <w:rsid w:val="002D7E0A"/>
    <w:rsid w:val="003063C6"/>
    <w:rsid w:val="00315AFE"/>
    <w:rsid w:val="00323069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02CFC"/>
    <w:rsid w:val="00466211"/>
    <w:rsid w:val="00483196"/>
    <w:rsid w:val="004834A9"/>
    <w:rsid w:val="004D01FC"/>
    <w:rsid w:val="004E28C3"/>
    <w:rsid w:val="004F1F8E"/>
    <w:rsid w:val="00512A32"/>
    <w:rsid w:val="005343DA"/>
    <w:rsid w:val="00546819"/>
    <w:rsid w:val="00560874"/>
    <w:rsid w:val="00586CF2"/>
    <w:rsid w:val="005A7C75"/>
    <w:rsid w:val="005C3768"/>
    <w:rsid w:val="005C6C3F"/>
    <w:rsid w:val="005E3954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652B0"/>
    <w:rsid w:val="00774362"/>
    <w:rsid w:val="00786598"/>
    <w:rsid w:val="00790C74"/>
    <w:rsid w:val="007A04E8"/>
    <w:rsid w:val="007B2C34"/>
    <w:rsid w:val="007F282B"/>
    <w:rsid w:val="00825730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029EF"/>
    <w:rsid w:val="00923064"/>
    <w:rsid w:val="00930FFD"/>
    <w:rsid w:val="0093218F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53FCA"/>
    <w:rsid w:val="00C565BD"/>
    <w:rsid w:val="00C71DEB"/>
    <w:rsid w:val="00C76BAF"/>
    <w:rsid w:val="00C80EBA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4256B"/>
    <w:rsid w:val="00E537FF"/>
    <w:rsid w:val="00E60CB2"/>
    <w:rsid w:val="00E6539B"/>
    <w:rsid w:val="00E70A31"/>
    <w:rsid w:val="00E723A7"/>
    <w:rsid w:val="00EA0422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AF42D85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063C6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R23-WRC23-C-0065!A24-A5!MSW-F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E90729-6286-4102-93B2-35ADF65FF43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5013BD54-8F6A-4EB0-9B7E-69F4A8EDC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29710C-6EDA-44E9-9A18-AB0B8C81C3D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353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R23-WRC23-C-0065!A24-A5!MSW-F</vt:lpstr>
    </vt:vector>
  </TitlesOfParts>
  <Manager>Secrétariat général - Pool</Manager>
  <Company>Union internationale des télécommunications (UIT)</Company>
  <LinksUpToDate>false</LinksUpToDate>
  <CharactersWithSpaces>2506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R23-WRC23-C-0065!A24-A5!MSW-F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5</cp:revision>
  <cp:lastPrinted>2003-06-05T19:34:00Z</cp:lastPrinted>
  <dcterms:created xsi:type="dcterms:W3CDTF">2023-10-11T13:07:00Z</dcterms:created>
  <dcterms:modified xsi:type="dcterms:W3CDTF">2023-10-12T09:16:00Z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