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55"/>
        <w:gridCol w:w="1349"/>
        <w:gridCol w:w="1809"/>
      </w:tblGrid>
      <w:tr w:rsidR="0080079E" w:rsidRPr="0002785D" w14:paraId="0753AA9F" w14:textId="77777777" w:rsidTr="0080079E">
        <w:trPr>
          <w:cantSplit/>
        </w:trPr>
        <w:tc>
          <w:tcPr>
            <w:tcW w:w="1418" w:type="dxa"/>
            <w:vAlign w:val="center"/>
          </w:tcPr>
          <w:p w14:paraId="27A3D61D"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2A9780AA" wp14:editId="112FCF5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359E3C9" w14:textId="47B3BB36"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 xml:space="preserve">Dubái, 20 de noviembre </w:t>
            </w:r>
            <w:r w:rsidR="00261140" w:rsidRPr="00261140">
              <w:rPr>
                <w:rFonts w:ascii="Verdana" w:hAnsi="Verdana" w:cs="Times"/>
                <w:b/>
                <w:position w:val="6"/>
                <w:sz w:val="18"/>
                <w:szCs w:val="18"/>
              </w:rPr>
              <w:t>–</w:t>
            </w:r>
            <w:r w:rsidRPr="00DC1922">
              <w:rPr>
                <w:rFonts w:ascii="Verdana" w:hAnsi="Verdana" w:cs="Times"/>
                <w:b/>
                <w:position w:val="6"/>
                <w:sz w:val="18"/>
                <w:szCs w:val="18"/>
              </w:rPr>
              <w:t xml:space="preserve"> 15 de diciembre de 2023</w:t>
            </w:r>
          </w:p>
        </w:tc>
        <w:tc>
          <w:tcPr>
            <w:tcW w:w="1809" w:type="dxa"/>
            <w:vAlign w:val="center"/>
          </w:tcPr>
          <w:p w14:paraId="3A847A46"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72318D9F" wp14:editId="7213113B">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524A1599" w14:textId="77777777" w:rsidTr="00261140">
        <w:trPr>
          <w:cantSplit/>
        </w:trPr>
        <w:tc>
          <w:tcPr>
            <w:tcW w:w="6873" w:type="dxa"/>
            <w:gridSpan w:val="2"/>
            <w:tcBorders>
              <w:bottom w:val="single" w:sz="12" w:space="0" w:color="auto"/>
            </w:tcBorders>
          </w:tcPr>
          <w:p w14:paraId="2FC54B69" w14:textId="77777777" w:rsidR="0090121B" w:rsidRPr="0002785D" w:rsidRDefault="0090121B" w:rsidP="0090121B">
            <w:pPr>
              <w:spacing w:before="0" w:after="48" w:line="240" w:lineRule="atLeast"/>
              <w:rPr>
                <w:b/>
                <w:smallCaps/>
                <w:szCs w:val="24"/>
                <w:lang w:val="en-US"/>
              </w:rPr>
            </w:pPr>
            <w:bookmarkStart w:id="1" w:name="dhead"/>
          </w:p>
        </w:tc>
        <w:tc>
          <w:tcPr>
            <w:tcW w:w="3158" w:type="dxa"/>
            <w:gridSpan w:val="2"/>
            <w:tcBorders>
              <w:bottom w:val="single" w:sz="12" w:space="0" w:color="auto"/>
            </w:tcBorders>
          </w:tcPr>
          <w:p w14:paraId="3EEAD715" w14:textId="77777777" w:rsidR="0090121B" w:rsidRPr="0002785D" w:rsidRDefault="0090121B" w:rsidP="0090121B">
            <w:pPr>
              <w:spacing w:before="0" w:line="240" w:lineRule="atLeast"/>
              <w:rPr>
                <w:rFonts w:ascii="Verdana" w:hAnsi="Verdana"/>
                <w:szCs w:val="24"/>
                <w:lang w:val="en-US"/>
              </w:rPr>
            </w:pPr>
          </w:p>
        </w:tc>
      </w:tr>
      <w:tr w:rsidR="0090121B" w:rsidRPr="0002785D" w14:paraId="70D522C3" w14:textId="77777777" w:rsidTr="00261140">
        <w:trPr>
          <w:cantSplit/>
        </w:trPr>
        <w:tc>
          <w:tcPr>
            <w:tcW w:w="6873" w:type="dxa"/>
            <w:gridSpan w:val="2"/>
            <w:tcBorders>
              <w:top w:val="single" w:sz="12" w:space="0" w:color="auto"/>
            </w:tcBorders>
          </w:tcPr>
          <w:p w14:paraId="7F2B67AB" w14:textId="77777777" w:rsidR="0090121B" w:rsidRPr="0002785D" w:rsidRDefault="0090121B" w:rsidP="0090121B">
            <w:pPr>
              <w:spacing w:before="0" w:after="48" w:line="240" w:lineRule="atLeast"/>
              <w:rPr>
                <w:rFonts w:ascii="Verdana" w:hAnsi="Verdana"/>
                <w:b/>
                <w:smallCaps/>
                <w:sz w:val="20"/>
                <w:lang w:val="en-US"/>
              </w:rPr>
            </w:pPr>
          </w:p>
        </w:tc>
        <w:tc>
          <w:tcPr>
            <w:tcW w:w="3158" w:type="dxa"/>
            <w:gridSpan w:val="2"/>
            <w:tcBorders>
              <w:top w:val="single" w:sz="12" w:space="0" w:color="auto"/>
            </w:tcBorders>
          </w:tcPr>
          <w:p w14:paraId="3F350A33" w14:textId="77777777" w:rsidR="0090121B" w:rsidRPr="0002785D" w:rsidRDefault="0090121B" w:rsidP="0090121B">
            <w:pPr>
              <w:spacing w:before="0" w:line="240" w:lineRule="atLeast"/>
              <w:rPr>
                <w:rFonts w:ascii="Verdana" w:hAnsi="Verdana"/>
                <w:sz w:val="20"/>
                <w:lang w:val="en-US"/>
              </w:rPr>
            </w:pPr>
          </w:p>
        </w:tc>
      </w:tr>
      <w:tr w:rsidR="0090121B" w:rsidRPr="006D2251" w14:paraId="0AAA13AB" w14:textId="77777777" w:rsidTr="00261140">
        <w:trPr>
          <w:cantSplit/>
        </w:trPr>
        <w:tc>
          <w:tcPr>
            <w:tcW w:w="6873" w:type="dxa"/>
            <w:gridSpan w:val="2"/>
          </w:tcPr>
          <w:p w14:paraId="3BA383AF" w14:textId="77777777" w:rsidR="0090121B" w:rsidRPr="00261140" w:rsidRDefault="001E7D42" w:rsidP="00EA77F0">
            <w:pPr>
              <w:pStyle w:val="Committee"/>
              <w:framePr w:hSpace="0" w:wrap="auto" w:hAnchor="text" w:yAlign="inline"/>
              <w:rPr>
                <w:szCs w:val="20"/>
                <w:lang w:val="es-ES_tradnl"/>
              </w:rPr>
            </w:pPr>
            <w:r w:rsidRPr="00261140">
              <w:rPr>
                <w:szCs w:val="20"/>
                <w:lang w:val="es-ES_tradnl"/>
              </w:rPr>
              <w:t>SESIÓN PLENARIA</w:t>
            </w:r>
          </w:p>
        </w:tc>
        <w:tc>
          <w:tcPr>
            <w:tcW w:w="3158" w:type="dxa"/>
            <w:gridSpan w:val="2"/>
          </w:tcPr>
          <w:p w14:paraId="0AFF9955" w14:textId="77777777" w:rsidR="0090121B" w:rsidRPr="00261140" w:rsidRDefault="00AE658F" w:rsidP="0045384C">
            <w:pPr>
              <w:spacing w:before="0"/>
              <w:rPr>
                <w:rFonts w:ascii="Verdana" w:hAnsi="Verdana"/>
                <w:sz w:val="20"/>
              </w:rPr>
            </w:pPr>
            <w:r w:rsidRPr="00261140">
              <w:rPr>
                <w:rFonts w:ascii="Verdana" w:hAnsi="Verdana"/>
                <w:b/>
                <w:sz w:val="20"/>
              </w:rPr>
              <w:t>Addéndum 3 al</w:t>
            </w:r>
            <w:r w:rsidRPr="00261140">
              <w:rPr>
                <w:rFonts w:ascii="Verdana" w:hAnsi="Verdana"/>
                <w:b/>
                <w:sz w:val="20"/>
              </w:rPr>
              <w:br/>
              <w:t>Documento 65(Add.24)</w:t>
            </w:r>
            <w:r w:rsidR="0090121B" w:rsidRPr="00261140">
              <w:rPr>
                <w:rFonts w:ascii="Verdana" w:hAnsi="Verdana"/>
                <w:b/>
                <w:sz w:val="20"/>
              </w:rPr>
              <w:t>-</w:t>
            </w:r>
            <w:r w:rsidRPr="00261140">
              <w:rPr>
                <w:rFonts w:ascii="Verdana" w:hAnsi="Verdana"/>
                <w:b/>
                <w:sz w:val="20"/>
              </w:rPr>
              <w:t>S</w:t>
            </w:r>
          </w:p>
        </w:tc>
      </w:tr>
      <w:bookmarkEnd w:id="1"/>
      <w:tr w:rsidR="000A5B9A" w:rsidRPr="006D2251" w14:paraId="039F451C" w14:textId="77777777" w:rsidTr="00261140">
        <w:trPr>
          <w:cantSplit/>
        </w:trPr>
        <w:tc>
          <w:tcPr>
            <w:tcW w:w="6873" w:type="dxa"/>
            <w:gridSpan w:val="2"/>
          </w:tcPr>
          <w:p w14:paraId="39C14D08" w14:textId="77777777" w:rsidR="000A5B9A" w:rsidRPr="006D2251" w:rsidRDefault="000A5B9A" w:rsidP="0045384C">
            <w:pPr>
              <w:spacing w:before="0" w:after="48"/>
              <w:rPr>
                <w:rFonts w:ascii="Verdana" w:hAnsi="Verdana"/>
                <w:b/>
                <w:smallCaps/>
                <w:sz w:val="18"/>
                <w:szCs w:val="18"/>
              </w:rPr>
            </w:pPr>
          </w:p>
        </w:tc>
        <w:tc>
          <w:tcPr>
            <w:tcW w:w="3158" w:type="dxa"/>
            <w:gridSpan w:val="2"/>
          </w:tcPr>
          <w:p w14:paraId="47B4F171" w14:textId="77777777" w:rsidR="000A5B9A" w:rsidRPr="00261140" w:rsidRDefault="000A5B9A" w:rsidP="0045384C">
            <w:pPr>
              <w:spacing w:before="0"/>
              <w:rPr>
                <w:rFonts w:ascii="Verdana" w:hAnsi="Verdana"/>
                <w:b/>
                <w:sz w:val="20"/>
              </w:rPr>
            </w:pPr>
            <w:r w:rsidRPr="00261140">
              <w:rPr>
                <w:rFonts w:ascii="Verdana" w:hAnsi="Verdana"/>
                <w:b/>
                <w:sz w:val="20"/>
              </w:rPr>
              <w:t>29 de septiembre de 2023</w:t>
            </w:r>
          </w:p>
        </w:tc>
      </w:tr>
      <w:tr w:rsidR="000A5B9A" w:rsidRPr="006D2251" w14:paraId="7B89DBA1" w14:textId="77777777" w:rsidTr="00261140">
        <w:trPr>
          <w:cantSplit/>
        </w:trPr>
        <w:tc>
          <w:tcPr>
            <w:tcW w:w="6873" w:type="dxa"/>
            <w:gridSpan w:val="2"/>
          </w:tcPr>
          <w:p w14:paraId="102AFA79" w14:textId="77777777" w:rsidR="000A5B9A" w:rsidRPr="006D2251" w:rsidRDefault="000A5B9A" w:rsidP="0045384C">
            <w:pPr>
              <w:spacing w:before="0" w:after="48"/>
              <w:rPr>
                <w:rFonts w:ascii="Verdana" w:hAnsi="Verdana"/>
                <w:b/>
                <w:smallCaps/>
                <w:sz w:val="18"/>
                <w:szCs w:val="18"/>
              </w:rPr>
            </w:pPr>
          </w:p>
        </w:tc>
        <w:tc>
          <w:tcPr>
            <w:tcW w:w="3158" w:type="dxa"/>
            <w:gridSpan w:val="2"/>
          </w:tcPr>
          <w:p w14:paraId="5BD7A961" w14:textId="77777777" w:rsidR="000A5B9A" w:rsidRPr="00261140" w:rsidRDefault="000A5B9A" w:rsidP="0045384C">
            <w:pPr>
              <w:spacing w:before="0"/>
              <w:rPr>
                <w:rFonts w:ascii="Verdana" w:hAnsi="Verdana"/>
                <w:b/>
                <w:sz w:val="20"/>
              </w:rPr>
            </w:pPr>
            <w:r w:rsidRPr="00261140">
              <w:rPr>
                <w:rFonts w:ascii="Verdana" w:hAnsi="Verdana"/>
                <w:b/>
                <w:sz w:val="20"/>
              </w:rPr>
              <w:t>Original: inglés</w:t>
            </w:r>
          </w:p>
        </w:tc>
      </w:tr>
      <w:tr w:rsidR="000A5B9A" w:rsidRPr="006D2251" w14:paraId="266F5E1E" w14:textId="77777777" w:rsidTr="006744FC">
        <w:trPr>
          <w:cantSplit/>
        </w:trPr>
        <w:tc>
          <w:tcPr>
            <w:tcW w:w="10031" w:type="dxa"/>
            <w:gridSpan w:val="4"/>
          </w:tcPr>
          <w:p w14:paraId="72BBB72E" w14:textId="77777777" w:rsidR="000A5B9A" w:rsidRPr="006D2251" w:rsidRDefault="000A5B9A" w:rsidP="0045384C">
            <w:pPr>
              <w:spacing w:before="0"/>
              <w:rPr>
                <w:rFonts w:ascii="Verdana" w:hAnsi="Verdana"/>
                <w:b/>
                <w:sz w:val="18"/>
                <w:szCs w:val="22"/>
              </w:rPr>
            </w:pPr>
          </w:p>
        </w:tc>
      </w:tr>
      <w:tr w:rsidR="000A5B9A" w:rsidRPr="006D2251" w14:paraId="08159019" w14:textId="77777777" w:rsidTr="0050008E">
        <w:trPr>
          <w:cantSplit/>
        </w:trPr>
        <w:tc>
          <w:tcPr>
            <w:tcW w:w="10031" w:type="dxa"/>
            <w:gridSpan w:val="4"/>
          </w:tcPr>
          <w:p w14:paraId="197A68DC" w14:textId="77777777" w:rsidR="000A5B9A" w:rsidRPr="006D2251" w:rsidRDefault="000A5B9A" w:rsidP="000A5B9A">
            <w:pPr>
              <w:pStyle w:val="Source"/>
            </w:pPr>
            <w:bookmarkStart w:id="2" w:name="dsource" w:colFirst="0" w:colLast="0"/>
            <w:r w:rsidRPr="006D2251">
              <w:t>Propuestas Comunes Europeas</w:t>
            </w:r>
          </w:p>
        </w:tc>
      </w:tr>
      <w:tr w:rsidR="000A5B9A" w:rsidRPr="00CE7945" w14:paraId="1750E216" w14:textId="77777777" w:rsidTr="0050008E">
        <w:trPr>
          <w:cantSplit/>
        </w:trPr>
        <w:tc>
          <w:tcPr>
            <w:tcW w:w="10031" w:type="dxa"/>
            <w:gridSpan w:val="4"/>
          </w:tcPr>
          <w:p w14:paraId="3E45D032" w14:textId="53B99D04" w:rsidR="000A5B9A" w:rsidRPr="00CE7945" w:rsidRDefault="006D2251" w:rsidP="000A5B9A">
            <w:pPr>
              <w:pStyle w:val="Title1"/>
            </w:pPr>
            <w:bookmarkStart w:id="3" w:name="dtitle1" w:colFirst="0" w:colLast="0"/>
            <w:bookmarkEnd w:id="2"/>
            <w:r w:rsidRPr="00CE7945">
              <w:t>PROPUESTAS PARA LOS TRABAJOS DE LA CONFERENCIA</w:t>
            </w:r>
          </w:p>
        </w:tc>
      </w:tr>
      <w:tr w:rsidR="000A5B9A" w:rsidRPr="00CE7945" w14:paraId="75A7C54B" w14:textId="77777777" w:rsidTr="0050008E">
        <w:trPr>
          <w:cantSplit/>
        </w:trPr>
        <w:tc>
          <w:tcPr>
            <w:tcW w:w="10031" w:type="dxa"/>
            <w:gridSpan w:val="4"/>
          </w:tcPr>
          <w:p w14:paraId="14FE2A41" w14:textId="77777777" w:rsidR="000A5B9A" w:rsidRPr="00CE7945" w:rsidRDefault="000A5B9A" w:rsidP="000A5B9A">
            <w:pPr>
              <w:pStyle w:val="Title2"/>
            </w:pPr>
            <w:bookmarkStart w:id="4" w:name="dtitle2" w:colFirst="0" w:colLast="0"/>
            <w:bookmarkEnd w:id="3"/>
          </w:p>
        </w:tc>
      </w:tr>
      <w:tr w:rsidR="000A5B9A" w:rsidRPr="00CE7945" w14:paraId="43B7A870" w14:textId="77777777" w:rsidTr="0050008E">
        <w:trPr>
          <w:cantSplit/>
        </w:trPr>
        <w:tc>
          <w:tcPr>
            <w:tcW w:w="10031" w:type="dxa"/>
            <w:gridSpan w:val="4"/>
          </w:tcPr>
          <w:p w14:paraId="4048CB9A" w14:textId="77777777" w:rsidR="000A5B9A" w:rsidRPr="00CE7945" w:rsidRDefault="000A5B9A" w:rsidP="000A5B9A">
            <w:pPr>
              <w:pStyle w:val="Agendaitem"/>
            </w:pPr>
            <w:bookmarkStart w:id="5" w:name="dtitle3" w:colFirst="0" w:colLast="0"/>
            <w:bookmarkEnd w:id="4"/>
            <w:r w:rsidRPr="00CE7945">
              <w:t>Punto 9.1(9.1-c) del orden del día</w:t>
            </w:r>
          </w:p>
        </w:tc>
      </w:tr>
    </w:tbl>
    <w:bookmarkEnd w:id="5"/>
    <w:p w14:paraId="77C5B430" w14:textId="2B625F53" w:rsidR="008D26C9" w:rsidRPr="00CE7945" w:rsidRDefault="008D26C9" w:rsidP="00261140">
      <w:pPr>
        <w:pStyle w:val="Normalaftertitle"/>
      </w:pPr>
      <w:r w:rsidRPr="00CE7945">
        <w:t>9</w:t>
      </w:r>
      <w:r w:rsidRPr="00CE7945">
        <w:tab/>
        <w:t>examinar y aprobar el Informe del Director de la Oficina de Radiocomunicaciones, de conformidad con el Artículo</w:t>
      </w:r>
      <w:r w:rsidR="00261140">
        <w:t> </w:t>
      </w:r>
      <w:r w:rsidRPr="00CE7945">
        <w:t>7 del Convenio de la UIT:</w:t>
      </w:r>
    </w:p>
    <w:p w14:paraId="769E9E07" w14:textId="77777777" w:rsidR="008D26C9" w:rsidRPr="00CE7945" w:rsidRDefault="008D26C9" w:rsidP="0062039A">
      <w:r w:rsidRPr="00CE7945">
        <w:t>9.1</w:t>
      </w:r>
      <w:r w:rsidRPr="00CE7945">
        <w:tab/>
        <w:t>sobre las actividades del Sector de Radiocomunicaciones de la UIT desde la CMR</w:t>
      </w:r>
      <w:r w:rsidRPr="00CE7945">
        <w:noBreakHyphen/>
        <w:t>19;</w:t>
      </w:r>
    </w:p>
    <w:p w14:paraId="3E2177D7" w14:textId="4EC1875D" w:rsidR="008D26C9" w:rsidRPr="00CE7945" w:rsidRDefault="008D26C9" w:rsidP="00261140">
      <w:r w:rsidRPr="00CE7945">
        <w:t>(9.1-c)</w:t>
      </w:r>
      <w:r w:rsidRPr="00CE7945">
        <w:tab/>
        <w:t>estudiar la utilización de los sistemas de telecomunicaciones móviles internacionales para la banda ancha inalámbrica fija en las bandas de frecuencias atribuidas al servicio fijo a título primario, de conformidad con la Resolución</w:t>
      </w:r>
      <w:r w:rsidR="00261140">
        <w:t> </w:t>
      </w:r>
      <w:r w:rsidRPr="00261140">
        <w:rPr>
          <w:b/>
          <w:bCs/>
        </w:rPr>
        <w:t>175 (CMR-19)</w:t>
      </w:r>
      <w:r w:rsidRPr="00CE7945">
        <w:t>;</w:t>
      </w:r>
    </w:p>
    <w:p w14:paraId="24FF5257" w14:textId="70F606C8" w:rsidR="008D26C9" w:rsidRPr="00CE7945" w:rsidRDefault="008D26C9" w:rsidP="00B103C4">
      <w:r w:rsidRPr="00CE7945">
        <w:t>Resolución</w:t>
      </w:r>
      <w:r w:rsidR="00261140">
        <w:t> </w:t>
      </w:r>
      <w:r w:rsidRPr="00CE7945">
        <w:rPr>
          <w:b/>
          <w:bCs/>
        </w:rPr>
        <w:t>175 (CMR-19)</w:t>
      </w:r>
      <w:r w:rsidRPr="00CE7945">
        <w:t xml:space="preserve"> </w:t>
      </w:r>
      <w:r w:rsidR="00261140">
        <w:t>–</w:t>
      </w:r>
      <w:r w:rsidRPr="00CE7945">
        <w:t xml:space="preserve"> Utilización de sistemas de telecomunicaciones móviles internacionales para la banda ancha fija inalámbrica en las bandas de frecuencias atribuidas al servicio fijo a título primario</w:t>
      </w:r>
    </w:p>
    <w:p w14:paraId="01FED185" w14:textId="791D2501" w:rsidR="006D2251" w:rsidRPr="00CE7945" w:rsidRDefault="006D2251" w:rsidP="006D2251">
      <w:pPr>
        <w:pStyle w:val="Headingb"/>
      </w:pPr>
      <w:r w:rsidRPr="00CE7945">
        <w:t>Introducción</w:t>
      </w:r>
    </w:p>
    <w:p w14:paraId="27B894B7" w14:textId="56B435FA" w:rsidR="006D2251" w:rsidRPr="00CE7945" w:rsidRDefault="006D2251" w:rsidP="006D2251">
      <w:pPr>
        <w:rPr>
          <w:i/>
          <w:iCs/>
        </w:rPr>
      </w:pPr>
      <w:r w:rsidRPr="00CE7945">
        <w:t>En la Resolución</w:t>
      </w:r>
      <w:r w:rsidR="00261140">
        <w:t> </w:t>
      </w:r>
      <w:r w:rsidRPr="00CE7945">
        <w:rPr>
          <w:b/>
          <w:bCs/>
        </w:rPr>
        <w:t>175 (CMR-19)</w:t>
      </w:r>
      <w:r w:rsidRPr="00CE7945">
        <w:t xml:space="preserve"> se </w:t>
      </w:r>
      <w:r w:rsidRPr="00CE7945">
        <w:rPr>
          <w:i/>
          <w:iCs/>
        </w:rPr>
        <w:t xml:space="preserve">resuelve invitar al Sector de Radiocomunicaciones de la UIT </w:t>
      </w:r>
      <w:r w:rsidRPr="00CE7945">
        <w:t>a realizar los estudios necesarios sobre la utilización de sistemas IMT para la banda ancha fija inalámbrica en las bandas de frecuencias atribuidas al servicio fijo a título primario, habida cuenta de los estudios, Manuales, Recomendaciones e Informes del UIT-R pertinentes.</w:t>
      </w:r>
    </w:p>
    <w:p w14:paraId="6F2DF4B3" w14:textId="79EC753E" w:rsidR="006D2251" w:rsidRPr="00CE7945" w:rsidRDefault="006D2251" w:rsidP="00A803BC">
      <w:r w:rsidRPr="00CE7945">
        <w:t xml:space="preserve">La CEPT opina que las </w:t>
      </w:r>
      <w:r w:rsidR="00A803BC" w:rsidRPr="00CE7945">
        <w:t xml:space="preserve">disposiciones actuales del Reglamento de Radiocomunicaciones que se aplican </w:t>
      </w:r>
      <w:r w:rsidRPr="00CE7945">
        <w:t xml:space="preserve">al servicio fijo ya permiten </w:t>
      </w:r>
      <w:r w:rsidR="00A803BC" w:rsidRPr="00CE7945">
        <w:t>el uso de</w:t>
      </w:r>
      <w:r w:rsidRPr="00CE7945">
        <w:t xml:space="preserve"> aplicaciones de banda ancha inalámbrica fija que utilizan tecnología IMT, </w:t>
      </w:r>
      <w:r w:rsidR="00A803BC" w:rsidRPr="00CE7945">
        <w:t>u</w:t>
      </w:r>
      <w:r w:rsidRPr="00CE7945">
        <w:t xml:space="preserve"> otras tecnologías</w:t>
      </w:r>
      <w:r w:rsidR="00A803BC" w:rsidRPr="00CE7945">
        <w:t>,</w:t>
      </w:r>
      <w:r w:rsidRPr="00CE7945">
        <w:t xml:space="preserve"> en las bandas atribuidas al servicio fijo.</w:t>
      </w:r>
      <w:r w:rsidR="00A803BC" w:rsidRPr="00CE7945">
        <w:t xml:space="preserve"> Habida cuenta de la flexibilidad del marco normativo</w:t>
      </w:r>
      <w:r w:rsidRPr="00CE7945">
        <w:t xml:space="preserve"> internacional e</w:t>
      </w:r>
      <w:r w:rsidR="00A803BC" w:rsidRPr="00CE7945">
        <w:t>n vigor</w:t>
      </w:r>
      <w:r w:rsidRPr="00CE7945">
        <w:t>, no es necesario estudiar bandas específicas ni</w:t>
      </w:r>
      <w:r w:rsidR="00A803BC" w:rsidRPr="00CE7945">
        <w:t xml:space="preserve"> incluir</w:t>
      </w:r>
      <w:r w:rsidRPr="00CE7945">
        <w:t xml:space="preserve"> disposiciones regl</w:t>
      </w:r>
      <w:r w:rsidR="00A803BC" w:rsidRPr="00CE7945">
        <w:t>amentarias</w:t>
      </w:r>
      <w:r w:rsidRPr="00CE7945">
        <w:t xml:space="preserve"> nuevas/adicionales </w:t>
      </w:r>
      <w:r w:rsidR="00A803BC" w:rsidRPr="00CE7945">
        <w:t>e</w:t>
      </w:r>
      <w:r w:rsidRPr="00CE7945">
        <w:t xml:space="preserve">n el </w:t>
      </w:r>
      <w:r w:rsidR="00A803BC" w:rsidRPr="00CE7945">
        <w:t xml:space="preserve">Reglamento </w:t>
      </w:r>
      <w:r w:rsidRPr="00CE7945">
        <w:t xml:space="preserve">de </w:t>
      </w:r>
      <w:r w:rsidR="00A803BC" w:rsidRPr="00CE7945">
        <w:t xml:space="preserve">Radiocomunicaciones </w:t>
      </w:r>
      <w:r w:rsidRPr="00CE7945">
        <w:t xml:space="preserve">para las aplicaciones de banda ancha inalámbrica fija que utilizan tecnología IMT. Por </w:t>
      </w:r>
      <w:r w:rsidR="00A803BC" w:rsidRPr="00CE7945">
        <w:t>consiguiente</w:t>
      </w:r>
      <w:r w:rsidRPr="00CE7945">
        <w:t>, la CEPT apoya la supresión de la Resolución</w:t>
      </w:r>
      <w:r w:rsidR="00261140">
        <w:t> </w:t>
      </w:r>
      <w:r w:rsidRPr="00CE7945">
        <w:rPr>
          <w:b/>
          <w:bCs/>
        </w:rPr>
        <w:t>175 (CMR-19)</w:t>
      </w:r>
      <w:r w:rsidRPr="00CE7945">
        <w:t xml:space="preserve"> y se opone a cualquier otr</w:t>
      </w:r>
      <w:r w:rsidR="00A803BC" w:rsidRPr="00CE7945">
        <w:t>a modificación d</w:t>
      </w:r>
      <w:r w:rsidRPr="00CE7945">
        <w:t xml:space="preserve">el Reglamento de Radiocomunicaciones en </w:t>
      </w:r>
      <w:r w:rsidR="00A803BC" w:rsidRPr="00CE7945">
        <w:t>virtud d</w:t>
      </w:r>
      <w:r w:rsidRPr="00CE7945">
        <w:t>el tema c) del</w:t>
      </w:r>
      <w:r w:rsidR="00A803BC" w:rsidRPr="00CE7945">
        <w:t xml:space="preserve"> punto</w:t>
      </w:r>
      <w:r w:rsidR="00261140">
        <w:t> </w:t>
      </w:r>
      <w:r w:rsidR="00A803BC" w:rsidRPr="00CE7945">
        <w:t>9.1 del</w:t>
      </w:r>
      <w:r w:rsidRPr="00CE7945">
        <w:t xml:space="preserve"> orden del día de la CMR-23.</w:t>
      </w:r>
    </w:p>
    <w:p w14:paraId="51115BC5" w14:textId="52F9D974" w:rsidR="006D2251" w:rsidRPr="00CE7945" w:rsidRDefault="006D2251" w:rsidP="00261140">
      <w:pPr>
        <w:keepNext/>
        <w:keepLines/>
      </w:pPr>
      <w:r w:rsidRPr="00CE7945">
        <w:lastRenderedPageBreak/>
        <w:t xml:space="preserve">La CEPT </w:t>
      </w:r>
      <w:r w:rsidR="00CE7945">
        <w:t>opina</w:t>
      </w:r>
      <w:r w:rsidRPr="00CE7945">
        <w:t xml:space="preserve"> que, en su lugar, </w:t>
      </w:r>
      <w:r w:rsidR="00A803BC" w:rsidRPr="00CE7945">
        <w:t>convendría</w:t>
      </w:r>
      <w:r w:rsidRPr="00CE7945">
        <w:t xml:space="preserve"> centrarse en la consideración del </w:t>
      </w:r>
      <w:r w:rsidR="00A803BC" w:rsidRPr="00CE7945">
        <w:t>acceso inalámbrico fijo de banda ancha (BFWA) con</w:t>
      </w:r>
      <w:r w:rsidRPr="00CE7945">
        <w:t xml:space="preserve"> tecnología IMT dentro del marco </w:t>
      </w:r>
      <w:r w:rsidR="00A803BC" w:rsidRPr="00CE7945">
        <w:t xml:space="preserve">normativo vigente para </w:t>
      </w:r>
      <w:r w:rsidRPr="00CE7945">
        <w:t xml:space="preserve">el servicio fijo. </w:t>
      </w:r>
      <w:r w:rsidR="00A803BC" w:rsidRPr="00CE7945">
        <w:t>De ser necesario, e</w:t>
      </w:r>
      <w:r w:rsidRPr="00CE7945">
        <w:t>st</w:t>
      </w:r>
      <w:r w:rsidR="00A803BC" w:rsidRPr="00CE7945">
        <w:t>a labor</w:t>
      </w:r>
      <w:r w:rsidRPr="00CE7945">
        <w:t xml:space="preserve"> puede abordarse adecuadamente mediante una actualización de l</w:t>
      </w:r>
      <w:r w:rsidR="00A803BC" w:rsidRPr="00CE7945">
        <w:t>o</w:t>
      </w:r>
      <w:r w:rsidRPr="00CE7945">
        <w:t>s</w:t>
      </w:r>
      <w:r w:rsidR="00A803BC" w:rsidRPr="00CE7945">
        <w:t xml:space="preserve"> correspondientes</w:t>
      </w:r>
      <w:r w:rsidRPr="00CE7945">
        <w:t xml:space="preserve"> </w:t>
      </w:r>
      <w:r w:rsidR="00A803BC" w:rsidRPr="00CE7945">
        <w:t>Informes/</w:t>
      </w:r>
      <w:r w:rsidRPr="00CE7945">
        <w:t xml:space="preserve">Recomendaciones/Manuales </w:t>
      </w:r>
      <w:r w:rsidR="00A803BC" w:rsidRPr="00CE7945">
        <w:t xml:space="preserve">del </w:t>
      </w:r>
      <w:r w:rsidRPr="00CE7945">
        <w:t>UIT-R existentes,</w:t>
      </w:r>
      <w:r w:rsidR="00D112C7" w:rsidRPr="00CE7945">
        <w:t xml:space="preserve"> lo que incumbe a</w:t>
      </w:r>
      <w:r w:rsidRPr="00CE7945">
        <w:t xml:space="preserve"> los Grupos de Trabajo 5A y 5C del UIT-R.</w:t>
      </w:r>
    </w:p>
    <w:p w14:paraId="21FA639E" w14:textId="56182044" w:rsidR="006D2251" w:rsidRPr="00CE7945" w:rsidRDefault="006D2251" w:rsidP="00D112C7">
      <w:r w:rsidRPr="00CE7945">
        <w:t xml:space="preserve">El uso del término </w:t>
      </w:r>
      <w:r w:rsidR="00261140">
        <w:t>«</w:t>
      </w:r>
      <w:r w:rsidRPr="00CE7945">
        <w:t>sistemas IMT</w:t>
      </w:r>
      <w:r w:rsidR="00261140">
        <w:t>»</w:t>
      </w:r>
      <w:r w:rsidRPr="00CE7945">
        <w:t xml:space="preserve">, que comúnmente se entiende como </w:t>
      </w:r>
      <w:r w:rsidR="00D112C7" w:rsidRPr="00CE7945">
        <w:t>sistemas de banda ancha móvil</w:t>
      </w:r>
      <w:r w:rsidR="00D112C7" w:rsidRPr="00CE7945">
        <w:rPr>
          <w:position w:val="6"/>
          <w:sz w:val="18"/>
        </w:rPr>
        <w:footnoteReference w:id="1"/>
      </w:r>
      <w:r w:rsidR="00D112C7" w:rsidRPr="00CE7945">
        <w:t>,</w:t>
      </w:r>
      <w:r w:rsidRPr="00CE7945">
        <w:t xml:space="preserve"> no </w:t>
      </w:r>
      <w:r w:rsidR="00D112C7" w:rsidRPr="00CE7945">
        <w:t xml:space="preserve">procede en el marco de </w:t>
      </w:r>
      <w:r w:rsidRPr="00CE7945">
        <w:t>la atribución al servicio fijo y, por tanto, no se ajusta a</w:t>
      </w:r>
      <w:r w:rsidR="00D112C7" w:rsidRPr="00CE7945">
        <w:t xml:space="preserve"> </w:t>
      </w:r>
      <w:r w:rsidRPr="00CE7945">
        <w:t>l</w:t>
      </w:r>
      <w:r w:rsidR="00D112C7" w:rsidRPr="00CE7945">
        <w:t>as disposiciones del</w:t>
      </w:r>
      <w:r w:rsidRPr="00CE7945">
        <w:t xml:space="preserve"> Reglamento de Radiocomunicaciones aplicable</w:t>
      </w:r>
      <w:r w:rsidR="00D112C7" w:rsidRPr="00CE7945">
        <w:t>s</w:t>
      </w:r>
      <w:r w:rsidRPr="00CE7945">
        <w:t xml:space="preserve"> al servicio fijo.</w:t>
      </w:r>
    </w:p>
    <w:p w14:paraId="1DCC7014" w14:textId="64FFAFF5" w:rsidR="006D2251" w:rsidRPr="00CE7945" w:rsidRDefault="006D2251" w:rsidP="006D2251">
      <w:pPr>
        <w:pStyle w:val="Headingb"/>
      </w:pPr>
      <w:r w:rsidRPr="00CE7945">
        <w:t>Propuestas</w:t>
      </w:r>
    </w:p>
    <w:p w14:paraId="04726903" w14:textId="77777777" w:rsidR="008750A8" w:rsidRPr="00CE7945" w:rsidRDefault="008750A8" w:rsidP="00261140">
      <w:r w:rsidRPr="00CE7945">
        <w:br w:type="page"/>
      </w:r>
    </w:p>
    <w:p w14:paraId="34335B00" w14:textId="77777777" w:rsidR="00B078E0" w:rsidRPr="00CE7945" w:rsidRDefault="008D26C9">
      <w:pPr>
        <w:pStyle w:val="Proposal"/>
      </w:pPr>
      <w:r w:rsidRPr="00CE7945">
        <w:rPr>
          <w:u w:val="single"/>
        </w:rPr>
        <w:lastRenderedPageBreak/>
        <w:t>NOC</w:t>
      </w:r>
      <w:r w:rsidRPr="00CE7945">
        <w:tab/>
        <w:t>EUR/65A24A3/1</w:t>
      </w:r>
    </w:p>
    <w:p w14:paraId="3136F0B5" w14:textId="77777777" w:rsidR="008D26C9" w:rsidRPr="00CE7945" w:rsidRDefault="008D26C9" w:rsidP="006C3DD2">
      <w:pPr>
        <w:pStyle w:val="Volumetitle"/>
      </w:pPr>
      <w:bookmarkStart w:id="6" w:name="_Toc48141288"/>
      <w:r w:rsidRPr="00CE7945">
        <w:t>ARTÍCULOS</w:t>
      </w:r>
      <w:bookmarkEnd w:id="6"/>
    </w:p>
    <w:p w14:paraId="23BD2433" w14:textId="77777777" w:rsidR="00B078E0" w:rsidRPr="00CE7945" w:rsidRDefault="00B078E0">
      <w:pPr>
        <w:pStyle w:val="Reasons"/>
      </w:pPr>
    </w:p>
    <w:p w14:paraId="2A228734" w14:textId="77777777" w:rsidR="00B078E0" w:rsidRPr="00CE7945" w:rsidRDefault="008D26C9">
      <w:pPr>
        <w:pStyle w:val="Proposal"/>
      </w:pPr>
      <w:r w:rsidRPr="00CE7945">
        <w:rPr>
          <w:u w:val="single"/>
        </w:rPr>
        <w:t>NOC</w:t>
      </w:r>
      <w:r w:rsidRPr="00CE7945">
        <w:tab/>
        <w:t>EUR/65A24A3/2</w:t>
      </w:r>
    </w:p>
    <w:p w14:paraId="09A9A518" w14:textId="77777777" w:rsidR="008D26C9" w:rsidRPr="00CE7945" w:rsidRDefault="008D26C9" w:rsidP="003271E3">
      <w:pPr>
        <w:pStyle w:val="Volumetitle"/>
      </w:pPr>
      <w:bookmarkStart w:id="7" w:name="_Toc327956568"/>
      <w:r w:rsidRPr="00CE7945">
        <w:t>APÉNDICES</w:t>
      </w:r>
      <w:bookmarkEnd w:id="7"/>
    </w:p>
    <w:p w14:paraId="4C2F3CF8" w14:textId="77777777" w:rsidR="00B078E0" w:rsidRPr="00CE7945" w:rsidRDefault="00B078E0">
      <w:pPr>
        <w:pStyle w:val="Reasons"/>
      </w:pPr>
    </w:p>
    <w:p w14:paraId="4B42D939" w14:textId="77777777" w:rsidR="00B078E0" w:rsidRPr="00CE7945" w:rsidRDefault="008D26C9">
      <w:pPr>
        <w:pStyle w:val="Proposal"/>
      </w:pPr>
      <w:r w:rsidRPr="00CE7945">
        <w:rPr>
          <w:u w:val="single"/>
        </w:rPr>
        <w:t>NOC</w:t>
      </w:r>
      <w:r w:rsidRPr="00CE7945">
        <w:tab/>
        <w:t>EUR/65A24A3/3</w:t>
      </w:r>
    </w:p>
    <w:p w14:paraId="5E944575" w14:textId="77777777" w:rsidR="008D26C9" w:rsidRPr="00CE7945" w:rsidRDefault="008D26C9" w:rsidP="00265C64">
      <w:pPr>
        <w:pStyle w:val="Volumetitle"/>
      </w:pPr>
      <w:bookmarkStart w:id="8" w:name="_Toc36190366"/>
      <w:r w:rsidRPr="00CE7945">
        <w:t>RECOMENDACIONES</w:t>
      </w:r>
      <w:bookmarkEnd w:id="8"/>
    </w:p>
    <w:p w14:paraId="79398CF7" w14:textId="1BCA579A" w:rsidR="00B078E0" w:rsidRPr="00CE7945" w:rsidRDefault="008D26C9">
      <w:pPr>
        <w:pStyle w:val="Reasons"/>
      </w:pPr>
      <w:r w:rsidRPr="00261140">
        <w:rPr>
          <w:b/>
          <w:bCs/>
        </w:rPr>
        <w:t>Motivos:</w:t>
      </w:r>
      <w:r w:rsidRPr="00261140">
        <w:tab/>
      </w:r>
      <w:r w:rsidR="00D112C7" w:rsidRPr="00CE7945">
        <w:t xml:space="preserve">El marco regulador del servicio fijo </w:t>
      </w:r>
      <w:r w:rsidR="00860B16" w:rsidRPr="00CE7945">
        <w:t>previsto en la edición de</w:t>
      </w:r>
      <w:r w:rsidR="00D112C7" w:rsidRPr="00CE7945">
        <w:t xml:space="preserve"> 2020 del Reglamento de Radiocomunicaciones </w:t>
      </w:r>
      <w:r w:rsidR="00860B16" w:rsidRPr="00CE7945">
        <w:t>permite</w:t>
      </w:r>
      <w:r w:rsidR="00D112C7" w:rsidRPr="00CE7945">
        <w:t xml:space="preserve"> el uso de aplicaciones de banda ancha inalámbrica fija, incluidas las que utilizan tecnología IMT.</w:t>
      </w:r>
    </w:p>
    <w:p w14:paraId="2FE1DC6A" w14:textId="77777777" w:rsidR="00B078E0" w:rsidRPr="00CE7945" w:rsidRDefault="008D26C9">
      <w:pPr>
        <w:pStyle w:val="Proposal"/>
      </w:pPr>
      <w:r w:rsidRPr="00CE7945">
        <w:t>SUP</w:t>
      </w:r>
      <w:r w:rsidRPr="00CE7945">
        <w:tab/>
        <w:t>EUR/65A24A3/4</w:t>
      </w:r>
    </w:p>
    <w:p w14:paraId="06D18B94" w14:textId="77777777" w:rsidR="008D26C9" w:rsidRPr="00CE7945" w:rsidRDefault="008D26C9" w:rsidP="00261140">
      <w:pPr>
        <w:pStyle w:val="ResNo"/>
      </w:pPr>
      <w:bookmarkStart w:id="9" w:name="_Toc36190215"/>
      <w:bookmarkStart w:id="10" w:name="_Toc39734881"/>
      <w:r w:rsidRPr="00CE7945">
        <w:t xml:space="preserve">RESOLUCIÓN </w:t>
      </w:r>
      <w:r w:rsidRPr="00CE7945">
        <w:rPr>
          <w:rStyle w:val="href"/>
          <w:caps w:val="0"/>
        </w:rPr>
        <w:t>175</w:t>
      </w:r>
      <w:r w:rsidRPr="00CE7945">
        <w:t xml:space="preserve"> (CMR-19)</w:t>
      </w:r>
      <w:bookmarkEnd w:id="9"/>
      <w:bookmarkEnd w:id="10"/>
    </w:p>
    <w:p w14:paraId="2FE461AB" w14:textId="77777777" w:rsidR="008D26C9" w:rsidRPr="00CE7945" w:rsidRDefault="008D26C9" w:rsidP="00265C64">
      <w:pPr>
        <w:pStyle w:val="Restitle"/>
      </w:pPr>
      <w:bookmarkStart w:id="11" w:name="_Toc36190216"/>
      <w:bookmarkStart w:id="12" w:name="_Toc39734882"/>
      <w:r w:rsidRPr="00CE7945">
        <w:t>Utilización de sistemas de Telecomunicaciones Móviles Internacionales</w:t>
      </w:r>
      <w:r w:rsidRPr="00CE7945">
        <w:br/>
        <w:t xml:space="preserve">para la banda ancha fija inalámbrica en las bandas de frecuencias </w:t>
      </w:r>
      <w:r w:rsidRPr="00CE7945">
        <w:br/>
        <w:t>atribuidas al servicio fijo a título primario</w:t>
      </w:r>
      <w:bookmarkEnd w:id="11"/>
      <w:bookmarkEnd w:id="12"/>
    </w:p>
    <w:p w14:paraId="3D4874A0" w14:textId="02A01032" w:rsidR="00261140" w:rsidRDefault="008D26C9" w:rsidP="00411C49">
      <w:pPr>
        <w:pStyle w:val="Reasons"/>
      </w:pPr>
      <w:r w:rsidRPr="00261140">
        <w:rPr>
          <w:b/>
          <w:bCs/>
        </w:rPr>
        <w:t>Motivos:</w:t>
      </w:r>
      <w:r w:rsidRPr="00261140">
        <w:tab/>
      </w:r>
      <w:r w:rsidR="00860B16" w:rsidRPr="00CE7945">
        <w:t xml:space="preserve">La CEPT considera que el uso de las tecnologías IMT, así como de otras tecnologías, para aplicaciones de banda ancha inalámbrica fija en las bandas de frecuencias atribuidas al servicio fijo puede abordarse adecuadamente, </w:t>
      </w:r>
      <w:r w:rsidR="00CE7945">
        <w:t>de ser</w:t>
      </w:r>
      <w:r w:rsidR="00860B16" w:rsidRPr="00CE7945">
        <w:t xml:space="preserve"> necesario, mediante una actualización de los correspondientes Informes/Recomendaciones/Manuales del UIT-R existentes, lo que incumbe a los Grupos de Trabajo 5A y 5C del UIT-R. Por tanto, la CEPT considera que, en su caso, cualquier trabajo futuro sobre esta cuestión puede abordarse en dichos Grupos de Trabajo, por ejemplo, en el marco de las Cuestiones de </w:t>
      </w:r>
      <w:r w:rsidR="006B09E6" w:rsidRPr="00CE7945">
        <w:t>e</w:t>
      </w:r>
      <w:r w:rsidR="00860B16" w:rsidRPr="00CE7945">
        <w:t xml:space="preserve">studio pertinentes del UIT-R, y </w:t>
      </w:r>
      <w:r w:rsidR="006B09E6" w:rsidRPr="00CE7945">
        <w:t>que</w:t>
      </w:r>
      <w:r w:rsidR="00860B16" w:rsidRPr="00CE7945">
        <w:t xml:space="preserve"> la Resolución</w:t>
      </w:r>
      <w:r w:rsidR="00261140">
        <w:t> </w:t>
      </w:r>
      <w:r w:rsidR="00860B16" w:rsidRPr="00CE7945">
        <w:rPr>
          <w:b/>
          <w:bCs/>
        </w:rPr>
        <w:t>175 (CMR-19)</w:t>
      </w:r>
      <w:r w:rsidR="00860B16" w:rsidRPr="00CE7945">
        <w:t xml:space="preserve"> puede suprimirse</w:t>
      </w:r>
      <w:r w:rsidR="006B09E6" w:rsidRPr="00CE7945">
        <w:t xml:space="preserve"> en consecuencia</w:t>
      </w:r>
      <w:r w:rsidR="00860B16" w:rsidRPr="00CE7945">
        <w:t>.</w:t>
      </w:r>
    </w:p>
    <w:p w14:paraId="179429EC" w14:textId="77777777" w:rsidR="00261140" w:rsidRDefault="00261140" w:rsidP="00261140"/>
    <w:p w14:paraId="1FAEE742" w14:textId="77777777" w:rsidR="00261140" w:rsidRDefault="00261140">
      <w:pPr>
        <w:jc w:val="center"/>
      </w:pPr>
      <w:r>
        <w:t>______________</w:t>
      </w:r>
    </w:p>
    <w:sectPr w:rsidR="00261140">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7C69" w14:textId="77777777" w:rsidR="00666B37" w:rsidRDefault="00666B37">
      <w:r>
        <w:separator/>
      </w:r>
    </w:p>
  </w:endnote>
  <w:endnote w:type="continuationSeparator" w:id="0">
    <w:p w14:paraId="14E58E9A"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3A0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940A70" w14:textId="68249536"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17EC9">
      <w:rPr>
        <w:noProof/>
      </w:rPr>
      <w:t>10.10.23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9B78" w14:textId="007B7C25" w:rsidR="0077084A" w:rsidRDefault="00017EC9" w:rsidP="00261140">
    <w:pPr>
      <w:pStyle w:val="Footer"/>
      <w:rPr>
        <w:lang w:val="en-US"/>
      </w:rPr>
    </w:pPr>
    <w:r>
      <w:fldChar w:fldCharType="begin"/>
    </w:r>
    <w:r>
      <w:instrText xml:space="preserve"> FILENAME \p  \* MERGEFORMAT </w:instrText>
    </w:r>
    <w:r>
      <w:fldChar w:fldCharType="separate"/>
    </w:r>
    <w:r w:rsidR="00261140">
      <w:t>P:\ESP\ITU-R\CONF-R\CMR23\000\065ADD24ADD03S.docx</w:t>
    </w:r>
    <w:r>
      <w:fldChar w:fldCharType="end"/>
    </w:r>
    <w:r w:rsidR="00261140">
      <w:t xml:space="preserve"> (</w:t>
    </w:r>
    <w:r w:rsidR="00261140" w:rsidRPr="00261140">
      <w:t>528861</w:t>
    </w:r>
    <w:r w:rsidR="00261140">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CF0A" w14:textId="1F47D443" w:rsidR="0077084A" w:rsidRPr="00261140" w:rsidRDefault="00261140" w:rsidP="00261140">
    <w:pPr>
      <w:pStyle w:val="Footer"/>
      <w:rPr>
        <w:lang w:val="en-US"/>
      </w:rPr>
    </w:pPr>
    <w:fldSimple w:instr=" FILENAME \p  \* MERGEFORMAT ">
      <w:r>
        <w:t>P:\ESP\ITU-R\CONF-R\CMR23\000\065ADD24ADD03S.docx</w:t>
      </w:r>
    </w:fldSimple>
    <w:r>
      <w:t xml:space="preserve"> (</w:t>
    </w:r>
    <w:r w:rsidRPr="00261140">
      <w:t>528861</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2A9A7" w14:textId="77777777" w:rsidR="00666B37" w:rsidRDefault="00666B37">
      <w:r>
        <w:rPr>
          <w:b/>
        </w:rPr>
        <w:t>_______________</w:t>
      </w:r>
    </w:p>
  </w:footnote>
  <w:footnote w:type="continuationSeparator" w:id="0">
    <w:p w14:paraId="168FA347" w14:textId="77777777" w:rsidR="00666B37" w:rsidRDefault="00666B37">
      <w:r>
        <w:continuationSeparator/>
      </w:r>
    </w:p>
  </w:footnote>
  <w:footnote w:id="1">
    <w:p w14:paraId="705F4C5C" w14:textId="780A31A0" w:rsidR="00D112C7" w:rsidRPr="00D112C7" w:rsidRDefault="00D112C7" w:rsidP="00D112C7">
      <w:pPr>
        <w:pStyle w:val="FootnoteText"/>
        <w:rPr>
          <w:lang w:val="es-ES"/>
        </w:rPr>
      </w:pPr>
      <w:r>
        <w:rPr>
          <w:rStyle w:val="FootnoteReference"/>
        </w:rPr>
        <w:footnoteRef/>
      </w:r>
      <w:r w:rsidRPr="00D112C7">
        <w:rPr>
          <w:lang w:val="es-ES"/>
        </w:rPr>
        <w:t xml:space="preserve"> </w:t>
      </w:r>
      <w:r w:rsidRPr="00D112C7">
        <w:rPr>
          <w:lang w:val="es-ES"/>
        </w:rPr>
        <w:tab/>
        <w:t xml:space="preserve">Véase el </w:t>
      </w:r>
      <w:r w:rsidRPr="00D112C7">
        <w:rPr>
          <w:i/>
          <w:iCs/>
          <w:lang w:val="es-ES"/>
        </w:rPr>
        <w:t>considerando</w:t>
      </w:r>
      <w:r w:rsidRPr="00D112C7">
        <w:rPr>
          <w:lang w:val="es-ES"/>
        </w:rPr>
        <w:t xml:space="preserve"> </w:t>
      </w:r>
      <w:r w:rsidRPr="00D112C7">
        <w:rPr>
          <w:i/>
          <w:iCs/>
          <w:lang w:val="es-ES"/>
        </w:rPr>
        <w:t>a)</w:t>
      </w:r>
      <w:r w:rsidRPr="00D112C7">
        <w:rPr>
          <w:lang w:val="es-ES"/>
        </w:rPr>
        <w:t xml:space="preserve"> de las Recomendac</w:t>
      </w:r>
      <w:r>
        <w:rPr>
          <w:lang w:val="es-ES"/>
        </w:rPr>
        <w:t xml:space="preserve">iones </w:t>
      </w:r>
      <w:r w:rsidRPr="00D112C7">
        <w:rPr>
          <w:lang w:val="es-ES"/>
        </w:rPr>
        <w:t>U</w:t>
      </w:r>
      <w:r>
        <w:rPr>
          <w:lang w:val="es-ES"/>
        </w:rPr>
        <w:t>IT</w:t>
      </w:r>
      <w:r w:rsidRPr="00D112C7">
        <w:rPr>
          <w:lang w:val="es-ES"/>
        </w:rPr>
        <w:t xml:space="preserve">-R M.2012 </w:t>
      </w:r>
      <w:r>
        <w:rPr>
          <w:lang w:val="es-ES"/>
        </w:rPr>
        <w:t>y</w:t>
      </w:r>
      <w:r w:rsidRPr="00D112C7">
        <w:rPr>
          <w:lang w:val="es-ES"/>
        </w:rPr>
        <w:t xml:space="preserve"> U</w:t>
      </w:r>
      <w:r>
        <w:rPr>
          <w:lang w:val="es-ES"/>
        </w:rPr>
        <w:t>IT</w:t>
      </w:r>
      <w:r w:rsidRPr="00D112C7">
        <w:rPr>
          <w:lang w:val="es-ES"/>
        </w:rPr>
        <w:t>-R M.2150.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4CAE"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FCA9E55"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65(Add.24)(Add.3)-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869680156">
    <w:abstractNumId w:val="8"/>
  </w:num>
  <w:num w:numId="2" w16cid:durableId="66856215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33324119">
    <w:abstractNumId w:val="9"/>
  </w:num>
  <w:num w:numId="4" w16cid:durableId="428627253">
    <w:abstractNumId w:val="7"/>
  </w:num>
  <w:num w:numId="5" w16cid:durableId="561790318">
    <w:abstractNumId w:val="6"/>
  </w:num>
  <w:num w:numId="6" w16cid:durableId="1903170882">
    <w:abstractNumId w:val="5"/>
  </w:num>
  <w:num w:numId="7" w16cid:durableId="941180934">
    <w:abstractNumId w:val="4"/>
  </w:num>
  <w:num w:numId="8" w16cid:durableId="445781619">
    <w:abstractNumId w:val="3"/>
  </w:num>
  <w:num w:numId="9" w16cid:durableId="1263493493">
    <w:abstractNumId w:val="2"/>
  </w:num>
  <w:num w:numId="10" w16cid:durableId="732851811">
    <w:abstractNumId w:val="1"/>
  </w:num>
  <w:num w:numId="11" w16cid:durableId="1608734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7EC9"/>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1140"/>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977D0"/>
    <w:rsid w:val="006B09E6"/>
    <w:rsid w:val="006C0E38"/>
    <w:rsid w:val="006D2251"/>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0B16"/>
    <w:rsid w:val="00866AE6"/>
    <w:rsid w:val="008750A8"/>
    <w:rsid w:val="008D26C9"/>
    <w:rsid w:val="008D3316"/>
    <w:rsid w:val="008E5AF2"/>
    <w:rsid w:val="0090121B"/>
    <w:rsid w:val="009144C9"/>
    <w:rsid w:val="0094091F"/>
    <w:rsid w:val="00962171"/>
    <w:rsid w:val="00973754"/>
    <w:rsid w:val="009C0BED"/>
    <w:rsid w:val="009E11EC"/>
    <w:rsid w:val="00A021CC"/>
    <w:rsid w:val="00A118DB"/>
    <w:rsid w:val="00A4450C"/>
    <w:rsid w:val="00A803BC"/>
    <w:rsid w:val="00A956E9"/>
    <w:rsid w:val="00AA5E6C"/>
    <w:rsid w:val="00AC49B1"/>
    <w:rsid w:val="00AE5677"/>
    <w:rsid w:val="00AE658F"/>
    <w:rsid w:val="00AF2F78"/>
    <w:rsid w:val="00B078E0"/>
    <w:rsid w:val="00B239FA"/>
    <w:rsid w:val="00B372AB"/>
    <w:rsid w:val="00B47331"/>
    <w:rsid w:val="00B52D55"/>
    <w:rsid w:val="00B8288C"/>
    <w:rsid w:val="00B86034"/>
    <w:rsid w:val="00BB723D"/>
    <w:rsid w:val="00BE2E80"/>
    <w:rsid w:val="00BE5EDD"/>
    <w:rsid w:val="00BE6A1F"/>
    <w:rsid w:val="00C126C4"/>
    <w:rsid w:val="00C44E9E"/>
    <w:rsid w:val="00C63EB5"/>
    <w:rsid w:val="00C87DA7"/>
    <w:rsid w:val="00CA4945"/>
    <w:rsid w:val="00CC01E0"/>
    <w:rsid w:val="00CD5FEE"/>
    <w:rsid w:val="00CE60D2"/>
    <w:rsid w:val="00CE7431"/>
    <w:rsid w:val="00CE7945"/>
    <w:rsid w:val="00D00CA8"/>
    <w:rsid w:val="00D0288A"/>
    <w:rsid w:val="00D112C7"/>
    <w:rsid w:val="00D72A5D"/>
    <w:rsid w:val="00D73023"/>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79FFB9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basedOn w:val="DefaultParagraphFont"/>
    <w:link w:val="FootnoteText"/>
    <w:rsid w:val="006D2251"/>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R23-WRC23-C-0065!A24-A3!MSW-S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2B7F18F7-60F2-4CAF-976D-3CE9C408D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64BE469A-55CF-4824-9E61-2CDDB1B49B21}">
  <ds:schemaRefs>
    <ds:schemaRef ds:uri="http://schemas.microsoft.com/sharepoint/events"/>
  </ds:schemaRefs>
</ds:datastoreItem>
</file>

<file path=customXml/itemProps4.xml><?xml version="1.0" encoding="utf-8"?>
<ds:datastoreItem xmlns:ds="http://schemas.openxmlformats.org/officeDocument/2006/customXml" ds:itemID="{4EBFDFF0-0902-4147-9271-B9E5D22D845F}">
  <ds:schemaRefs>
    <ds:schemaRef ds:uri="http://schemas.microsoft.com/sharepoint/v3/contenttype/forms"/>
  </ds:schemaRefs>
</ds:datastoreItem>
</file>

<file path=customXml/itemProps5.xml><?xml version="1.0" encoding="utf-8"?>
<ds:datastoreItem xmlns:ds="http://schemas.openxmlformats.org/officeDocument/2006/customXml" ds:itemID="{059ECD98-07CE-44F7-8EDE-DA282A5CB48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610</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R23-WRC23-C-0065!A24-A3!MSW-S</vt:lpstr>
    </vt:vector>
  </TitlesOfParts>
  <Manager>Secretaría General - Pool</Manager>
  <Company>Unión Internacional de Telecomunicaciones (UIT)</Company>
  <LinksUpToDate>false</LinksUpToDate>
  <CharactersWithSpaces>4148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R23-WRC23-C-0065!A24-A3!MSW-S</dc:title>
  <dc:subject>Conferencia Mundial de Radiocomunicaciones - 2019</dc:subject>
  <dc:creator>Documents Proposals Manager (DPM)</dc:creator>
  <cp:keywords>DPM_v2023.8.1.1_prod</cp:keywords>
  <dc:description/>
  <cp:lastModifiedBy>Spanish83</cp:lastModifiedBy>
  <cp:revision>4</cp:revision>
  <cp:lastPrinted>2003-02-19T20:20:00Z</cp:lastPrinted>
  <dcterms:created xsi:type="dcterms:W3CDTF">2023-10-10T09:01:00Z</dcterms:created>
  <dcterms:modified xsi:type="dcterms:W3CDTF">2023-10-10T09:17:00Z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