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F0E35" w14:paraId="75DE349B" w14:textId="77777777" w:rsidTr="0080079E">
        <w:trPr>
          <w:cantSplit/>
        </w:trPr>
        <w:tc>
          <w:tcPr>
            <w:tcW w:w="1418" w:type="dxa"/>
            <w:vAlign w:val="center"/>
          </w:tcPr>
          <w:p w14:paraId="202E1F56" w14:textId="77777777" w:rsidR="0080079E" w:rsidRPr="00AF0E35" w:rsidRDefault="0080079E" w:rsidP="0080079E">
            <w:pPr>
              <w:spacing w:before="0" w:line="240" w:lineRule="atLeast"/>
              <w:rPr>
                <w:rFonts w:ascii="Verdana" w:hAnsi="Verdana"/>
                <w:position w:val="6"/>
              </w:rPr>
            </w:pPr>
            <w:r w:rsidRPr="00AF0E35">
              <w:rPr>
                <w:noProof/>
              </w:rPr>
              <w:drawing>
                <wp:inline distT="0" distB="0" distL="0" distR="0" wp14:anchorId="19A3E87E" wp14:editId="401AF98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474D6CC" w14:textId="77777777" w:rsidR="0080079E" w:rsidRPr="00AF0E35" w:rsidRDefault="0080079E" w:rsidP="00C44E9E">
            <w:pPr>
              <w:spacing w:before="400" w:after="48" w:line="240" w:lineRule="atLeast"/>
              <w:rPr>
                <w:rFonts w:ascii="Verdana" w:hAnsi="Verdana"/>
                <w:position w:val="6"/>
              </w:rPr>
            </w:pPr>
            <w:r w:rsidRPr="00AF0E35">
              <w:rPr>
                <w:rFonts w:ascii="Verdana" w:hAnsi="Verdana" w:cs="Times"/>
                <w:b/>
                <w:position w:val="6"/>
                <w:sz w:val="20"/>
              </w:rPr>
              <w:t>Conferencia Mundial de Radiocomunicaciones (CMR-23)</w:t>
            </w:r>
            <w:r w:rsidRPr="00AF0E35">
              <w:rPr>
                <w:rFonts w:ascii="Verdana" w:hAnsi="Verdana" w:cs="Times"/>
                <w:b/>
                <w:position w:val="6"/>
                <w:sz w:val="20"/>
              </w:rPr>
              <w:br/>
            </w:r>
            <w:r w:rsidRPr="00AF0E35">
              <w:rPr>
                <w:rFonts w:ascii="Verdana" w:hAnsi="Verdana" w:cs="Times"/>
                <w:b/>
                <w:position w:val="6"/>
                <w:sz w:val="18"/>
                <w:szCs w:val="18"/>
              </w:rPr>
              <w:t>Dubái, 20 de noviembre - 15 de diciembre de 2023</w:t>
            </w:r>
          </w:p>
        </w:tc>
        <w:tc>
          <w:tcPr>
            <w:tcW w:w="1809" w:type="dxa"/>
            <w:vAlign w:val="center"/>
          </w:tcPr>
          <w:p w14:paraId="31611E8F" w14:textId="77777777" w:rsidR="0080079E" w:rsidRPr="00AF0E35" w:rsidRDefault="0080079E" w:rsidP="0080079E">
            <w:pPr>
              <w:spacing w:before="0" w:line="240" w:lineRule="atLeast"/>
            </w:pPr>
            <w:bookmarkStart w:id="0" w:name="ditulogo"/>
            <w:bookmarkEnd w:id="0"/>
            <w:r w:rsidRPr="00AF0E35">
              <w:rPr>
                <w:noProof/>
              </w:rPr>
              <w:drawing>
                <wp:inline distT="0" distB="0" distL="0" distR="0" wp14:anchorId="65E2782B" wp14:editId="3C28ED3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F0E35" w14:paraId="18EB52DF" w14:textId="77777777" w:rsidTr="0050008E">
        <w:trPr>
          <w:cantSplit/>
        </w:trPr>
        <w:tc>
          <w:tcPr>
            <w:tcW w:w="6911" w:type="dxa"/>
            <w:gridSpan w:val="2"/>
            <w:tcBorders>
              <w:bottom w:val="single" w:sz="12" w:space="0" w:color="auto"/>
            </w:tcBorders>
          </w:tcPr>
          <w:p w14:paraId="68950449" w14:textId="77777777" w:rsidR="0090121B" w:rsidRPr="00AF0E35"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7D2469A" w14:textId="77777777" w:rsidR="0090121B" w:rsidRPr="00AF0E35" w:rsidRDefault="0090121B" w:rsidP="0090121B">
            <w:pPr>
              <w:spacing w:before="0" w:line="240" w:lineRule="atLeast"/>
              <w:rPr>
                <w:rFonts w:ascii="Verdana" w:hAnsi="Verdana"/>
                <w:szCs w:val="24"/>
              </w:rPr>
            </w:pPr>
          </w:p>
        </w:tc>
      </w:tr>
      <w:tr w:rsidR="0090121B" w:rsidRPr="00AF0E35" w14:paraId="3CACC666" w14:textId="77777777" w:rsidTr="0090121B">
        <w:trPr>
          <w:cantSplit/>
        </w:trPr>
        <w:tc>
          <w:tcPr>
            <w:tcW w:w="6911" w:type="dxa"/>
            <w:gridSpan w:val="2"/>
            <w:tcBorders>
              <w:top w:val="single" w:sz="12" w:space="0" w:color="auto"/>
            </w:tcBorders>
          </w:tcPr>
          <w:p w14:paraId="16D6EF16" w14:textId="77777777" w:rsidR="0090121B" w:rsidRPr="00AF0E3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E9EC9B3" w14:textId="77777777" w:rsidR="0090121B" w:rsidRPr="00AF0E35" w:rsidRDefault="0090121B" w:rsidP="0090121B">
            <w:pPr>
              <w:spacing w:before="0" w:line="240" w:lineRule="atLeast"/>
              <w:rPr>
                <w:rFonts w:ascii="Verdana" w:hAnsi="Verdana"/>
                <w:sz w:val="20"/>
              </w:rPr>
            </w:pPr>
          </w:p>
        </w:tc>
      </w:tr>
      <w:tr w:rsidR="0090121B" w:rsidRPr="00AF0E35" w14:paraId="7A29FC7E" w14:textId="77777777" w:rsidTr="0090121B">
        <w:trPr>
          <w:cantSplit/>
        </w:trPr>
        <w:tc>
          <w:tcPr>
            <w:tcW w:w="6911" w:type="dxa"/>
            <w:gridSpan w:val="2"/>
          </w:tcPr>
          <w:p w14:paraId="4B43FFE2" w14:textId="77777777" w:rsidR="0090121B" w:rsidRPr="00AF0E35" w:rsidRDefault="001E7D42" w:rsidP="00EA77F0">
            <w:pPr>
              <w:pStyle w:val="Committee"/>
              <w:framePr w:hSpace="0" w:wrap="auto" w:hAnchor="text" w:yAlign="inline"/>
              <w:rPr>
                <w:sz w:val="18"/>
                <w:szCs w:val="18"/>
                <w:lang w:val="es-ES_tradnl"/>
              </w:rPr>
            </w:pPr>
            <w:r w:rsidRPr="00AF0E35">
              <w:rPr>
                <w:sz w:val="18"/>
                <w:szCs w:val="18"/>
                <w:lang w:val="es-ES_tradnl"/>
              </w:rPr>
              <w:t>SESIÓN PLENARIA</w:t>
            </w:r>
          </w:p>
        </w:tc>
        <w:tc>
          <w:tcPr>
            <w:tcW w:w="3120" w:type="dxa"/>
            <w:gridSpan w:val="2"/>
          </w:tcPr>
          <w:p w14:paraId="0ABC7039" w14:textId="77777777" w:rsidR="0090121B" w:rsidRPr="00AF0E35" w:rsidRDefault="00AE658F" w:rsidP="0045384C">
            <w:pPr>
              <w:spacing w:before="0"/>
              <w:rPr>
                <w:rFonts w:ascii="Verdana" w:hAnsi="Verdana"/>
                <w:sz w:val="18"/>
                <w:szCs w:val="18"/>
              </w:rPr>
            </w:pPr>
            <w:r w:rsidRPr="00AF0E35">
              <w:rPr>
                <w:rFonts w:ascii="Verdana" w:hAnsi="Verdana"/>
                <w:b/>
                <w:sz w:val="18"/>
                <w:szCs w:val="18"/>
              </w:rPr>
              <w:t>Addéndum 1 al</w:t>
            </w:r>
            <w:r w:rsidRPr="00AF0E35">
              <w:rPr>
                <w:rFonts w:ascii="Verdana" w:hAnsi="Verdana"/>
                <w:b/>
                <w:sz w:val="18"/>
                <w:szCs w:val="18"/>
              </w:rPr>
              <w:br/>
              <w:t>Documento 65(Add.24)</w:t>
            </w:r>
            <w:r w:rsidR="0090121B" w:rsidRPr="00AF0E35">
              <w:rPr>
                <w:rFonts w:ascii="Verdana" w:hAnsi="Verdana"/>
                <w:b/>
                <w:sz w:val="18"/>
                <w:szCs w:val="18"/>
              </w:rPr>
              <w:t>-</w:t>
            </w:r>
            <w:r w:rsidRPr="00AF0E35">
              <w:rPr>
                <w:rFonts w:ascii="Verdana" w:hAnsi="Verdana"/>
                <w:b/>
                <w:sz w:val="18"/>
                <w:szCs w:val="18"/>
              </w:rPr>
              <w:t>S</w:t>
            </w:r>
          </w:p>
        </w:tc>
      </w:tr>
      <w:bookmarkEnd w:id="1"/>
      <w:tr w:rsidR="000A5B9A" w:rsidRPr="00AF0E35" w14:paraId="75C3511D" w14:textId="77777777" w:rsidTr="0090121B">
        <w:trPr>
          <w:cantSplit/>
        </w:trPr>
        <w:tc>
          <w:tcPr>
            <w:tcW w:w="6911" w:type="dxa"/>
            <w:gridSpan w:val="2"/>
          </w:tcPr>
          <w:p w14:paraId="37C85A0C" w14:textId="77777777" w:rsidR="000A5B9A" w:rsidRPr="00AF0E35" w:rsidRDefault="000A5B9A" w:rsidP="0045384C">
            <w:pPr>
              <w:spacing w:before="0" w:after="48"/>
              <w:rPr>
                <w:rFonts w:ascii="Verdana" w:hAnsi="Verdana"/>
                <w:b/>
                <w:smallCaps/>
                <w:sz w:val="18"/>
                <w:szCs w:val="18"/>
              </w:rPr>
            </w:pPr>
          </w:p>
        </w:tc>
        <w:tc>
          <w:tcPr>
            <w:tcW w:w="3120" w:type="dxa"/>
            <w:gridSpan w:val="2"/>
          </w:tcPr>
          <w:p w14:paraId="1C3343F8" w14:textId="77777777" w:rsidR="000A5B9A" w:rsidRPr="00AF0E35" w:rsidRDefault="000A5B9A" w:rsidP="0045384C">
            <w:pPr>
              <w:spacing w:before="0"/>
              <w:rPr>
                <w:rFonts w:ascii="Verdana" w:hAnsi="Verdana"/>
                <w:b/>
                <w:sz w:val="18"/>
                <w:szCs w:val="18"/>
              </w:rPr>
            </w:pPr>
            <w:r w:rsidRPr="00AF0E35">
              <w:rPr>
                <w:rFonts w:ascii="Verdana" w:hAnsi="Verdana"/>
                <w:b/>
                <w:sz w:val="18"/>
                <w:szCs w:val="18"/>
              </w:rPr>
              <w:t>29 de septiembre de 2023</w:t>
            </w:r>
          </w:p>
        </w:tc>
      </w:tr>
      <w:tr w:rsidR="000A5B9A" w:rsidRPr="00AF0E35" w14:paraId="38FB8F94" w14:textId="77777777" w:rsidTr="0090121B">
        <w:trPr>
          <w:cantSplit/>
        </w:trPr>
        <w:tc>
          <w:tcPr>
            <w:tcW w:w="6911" w:type="dxa"/>
            <w:gridSpan w:val="2"/>
          </w:tcPr>
          <w:p w14:paraId="610BC570" w14:textId="77777777" w:rsidR="000A5B9A" w:rsidRPr="00AF0E35" w:rsidRDefault="000A5B9A" w:rsidP="0045384C">
            <w:pPr>
              <w:spacing w:before="0" w:after="48"/>
              <w:rPr>
                <w:rFonts w:ascii="Verdana" w:hAnsi="Verdana"/>
                <w:b/>
                <w:smallCaps/>
                <w:sz w:val="18"/>
                <w:szCs w:val="18"/>
              </w:rPr>
            </w:pPr>
          </w:p>
        </w:tc>
        <w:tc>
          <w:tcPr>
            <w:tcW w:w="3120" w:type="dxa"/>
            <w:gridSpan w:val="2"/>
          </w:tcPr>
          <w:p w14:paraId="1BA235ED" w14:textId="77777777" w:rsidR="000A5B9A" w:rsidRPr="00AF0E35" w:rsidRDefault="000A5B9A" w:rsidP="0045384C">
            <w:pPr>
              <w:spacing w:before="0"/>
              <w:rPr>
                <w:rFonts w:ascii="Verdana" w:hAnsi="Verdana"/>
                <w:b/>
                <w:sz w:val="18"/>
                <w:szCs w:val="18"/>
              </w:rPr>
            </w:pPr>
            <w:r w:rsidRPr="00AF0E35">
              <w:rPr>
                <w:rFonts w:ascii="Verdana" w:hAnsi="Verdana"/>
                <w:b/>
                <w:sz w:val="18"/>
                <w:szCs w:val="18"/>
              </w:rPr>
              <w:t>Original: inglés</w:t>
            </w:r>
          </w:p>
        </w:tc>
      </w:tr>
      <w:tr w:rsidR="000A5B9A" w:rsidRPr="00AF0E35" w14:paraId="4E68BBBA" w14:textId="77777777" w:rsidTr="006744FC">
        <w:trPr>
          <w:cantSplit/>
        </w:trPr>
        <w:tc>
          <w:tcPr>
            <w:tcW w:w="10031" w:type="dxa"/>
            <w:gridSpan w:val="4"/>
          </w:tcPr>
          <w:p w14:paraId="25BFE960" w14:textId="77777777" w:rsidR="000A5B9A" w:rsidRPr="00AF0E35" w:rsidRDefault="000A5B9A" w:rsidP="0045384C">
            <w:pPr>
              <w:spacing w:before="0"/>
              <w:rPr>
                <w:rFonts w:ascii="Verdana" w:hAnsi="Verdana"/>
                <w:b/>
                <w:sz w:val="18"/>
                <w:szCs w:val="22"/>
              </w:rPr>
            </w:pPr>
          </w:p>
        </w:tc>
      </w:tr>
      <w:tr w:rsidR="000A5B9A" w:rsidRPr="00AF0E35" w14:paraId="69E729FD" w14:textId="77777777" w:rsidTr="0050008E">
        <w:trPr>
          <w:cantSplit/>
        </w:trPr>
        <w:tc>
          <w:tcPr>
            <w:tcW w:w="10031" w:type="dxa"/>
            <w:gridSpan w:val="4"/>
          </w:tcPr>
          <w:p w14:paraId="22F69CB9" w14:textId="77777777" w:rsidR="000A5B9A" w:rsidRPr="00AF0E35" w:rsidRDefault="000A5B9A" w:rsidP="000A5B9A">
            <w:pPr>
              <w:pStyle w:val="Source"/>
            </w:pPr>
            <w:bookmarkStart w:id="2" w:name="dsource" w:colFirst="0" w:colLast="0"/>
            <w:r w:rsidRPr="00AF0E35">
              <w:t>Propuestas Comunes Europeas</w:t>
            </w:r>
          </w:p>
        </w:tc>
      </w:tr>
      <w:tr w:rsidR="000A5B9A" w:rsidRPr="00AF0E35" w14:paraId="709AAE04" w14:textId="77777777" w:rsidTr="0050008E">
        <w:trPr>
          <w:cantSplit/>
        </w:trPr>
        <w:tc>
          <w:tcPr>
            <w:tcW w:w="10031" w:type="dxa"/>
            <w:gridSpan w:val="4"/>
          </w:tcPr>
          <w:p w14:paraId="6442C55F" w14:textId="64CB5A5A" w:rsidR="000A5B9A" w:rsidRPr="00AF0E35" w:rsidRDefault="00C343D2" w:rsidP="000A5B9A">
            <w:pPr>
              <w:pStyle w:val="Title1"/>
            </w:pPr>
            <w:bookmarkStart w:id="3" w:name="dtitle1" w:colFirst="0" w:colLast="0"/>
            <w:bookmarkEnd w:id="2"/>
            <w:r w:rsidRPr="00AF0E35">
              <w:t>PROPUESTAS PARA LOS TRABAJOS DE LA CONFERENCIA</w:t>
            </w:r>
          </w:p>
        </w:tc>
      </w:tr>
      <w:tr w:rsidR="000A5B9A" w:rsidRPr="00AF0E35" w14:paraId="617034E1" w14:textId="77777777" w:rsidTr="0050008E">
        <w:trPr>
          <w:cantSplit/>
        </w:trPr>
        <w:tc>
          <w:tcPr>
            <w:tcW w:w="10031" w:type="dxa"/>
            <w:gridSpan w:val="4"/>
          </w:tcPr>
          <w:p w14:paraId="7912CDDB" w14:textId="77777777" w:rsidR="000A5B9A" w:rsidRPr="00AF0E35" w:rsidRDefault="000A5B9A" w:rsidP="000A5B9A">
            <w:pPr>
              <w:pStyle w:val="Title2"/>
            </w:pPr>
            <w:bookmarkStart w:id="4" w:name="dtitle2" w:colFirst="0" w:colLast="0"/>
            <w:bookmarkEnd w:id="3"/>
          </w:p>
        </w:tc>
      </w:tr>
      <w:tr w:rsidR="000A5B9A" w:rsidRPr="00AF0E35" w14:paraId="0C604EC8" w14:textId="77777777" w:rsidTr="0050008E">
        <w:trPr>
          <w:cantSplit/>
        </w:trPr>
        <w:tc>
          <w:tcPr>
            <w:tcW w:w="10031" w:type="dxa"/>
            <w:gridSpan w:val="4"/>
          </w:tcPr>
          <w:p w14:paraId="28A9925A" w14:textId="77777777" w:rsidR="000A5B9A" w:rsidRPr="00AF0E35" w:rsidRDefault="000A5B9A" w:rsidP="000A5B9A">
            <w:pPr>
              <w:pStyle w:val="Agendaitem"/>
            </w:pPr>
            <w:bookmarkStart w:id="5" w:name="dtitle3" w:colFirst="0" w:colLast="0"/>
            <w:bookmarkEnd w:id="4"/>
            <w:r w:rsidRPr="00AF0E35">
              <w:t>Punto 9.1(9.1-a) del orden del día</w:t>
            </w:r>
          </w:p>
        </w:tc>
      </w:tr>
    </w:tbl>
    <w:bookmarkEnd w:id="5"/>
    <w:p w14:paraId="65BAF817" w14:textId="77777777" w:rsidR="00622A7B" w:rsidRPr="00AF0E35" w:rsidRDefault="00622A7B" w:rsidP="002D64EA">
      <w:r w:rsidRPr="00AF0E35">
        <w:t>9</w:t>
      </w:r>
      <w:r w:rsidRPr="00AF0E35">
        <w:tab/>
        <w:t>examinar y aprobar el Informe del Director de la Oficina de Radiocomunicaciones, de conformidad con el Artículo 7 del Convenio de la UIT:</w:t>
      </w:r>
    </w:p>
    <w:p w14:paraId="50CC755A" w14:textId="77777777" w:rsidR="00622A7B" w:rsidRPr="00AF0E35" w:rsidRDefault="00622A7B" w:rsidP="0062039A">
      <w:r w:rsidRPr="00AF0E35">
        <w:t>9.1</w:t>
      </w:r>
      <w:r w:rsidRPr="00AF0E35">
        <w:tab/>
        <w:t>sobre las actividades del Sector de Radiocomunicaciones de la UIT desde la CMR</w:t>
      </w:r>
      <w:r w:rsidRPr="00AF0E35">
        <w:noBreakHyphen/>
        <w:t>19;</w:t>
      </w:r>
    </w:p>
    <w:p w14:paraId="4EBEE638" w14:textId="77777777" w:rsidR="00622A7B" w:rsidRPr="00AF0E35" w:rsidRDefault="00622A7B" w:rsidP="003F6416">
      <w:r w:rsidRPr="00AF0E35">
        <w:t>(9.1-a)</w:t>
      </w:r>
      <w:r w:rsidRPr="00AF0E35">
        <w:tab/>
        <w:t>examinar, de conformidad con la Resolución </w:t>
      </w:r>
      <w:r w:rsidRPr="00AF0E35">
        <w:rPr>
          <w:b/>
          <w:bCs/>
        </w:rPr>
        <w:t>657 (Rev.CMR-19)</w:t>
      </w:r>
      <w:r w:rsidRPr="00AF0E35">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0C92DB19" w14:textId="52E38E8D" w:rsidR="00622A7B" w:rsidRPr="00AF0E35" w:rsidRDefault="00622A7B" w:rsidP="00FF2C80">
      <w:r w:rsidRPr="00AF0E35">
        <w:t xml:space="preserve">Resolución </w:t>
      </w:r>
      <w:r w:rsidRPr="00AF0E35">
        <w:rPr>
          <w:b/>
          <w:bCs/>
        </w:rPr>
        <w:t xml:space="preserve">657 (Rev.CMR-19) </w:t>
      </w:r>
      <w:r w:rsidR="00FB1B09">
        <w:t>–</w:t>
      </w:r>
      <w:r w:rsidRPr="00AF0E35">
        <w:t xml:space="preserve"> Protección de los sensores meteorológicos espaciales dependientes del espectro radioeléctrico utilizados para predicción y alertas mundiales</w:t>
      </w:r>
    </w:p>
    <w:p w14:paraId="0DFF1758" w14:textId="77777777" w:rsidR="00C343D2" w:rsidRPr="00AF0E35" w:rsidRDefault="00C343D2" w:rsidP="00C343D2">
      <w:pPr>
        <w:pStyle w:val="Part1"/>
        <w:spacing w:before="160"/>
      </w:pPr>
      <w:r w:rsidRPr="00AF0E35">
        <w:t>Parte 1: Tema a)</w:t>
      </w:r>
    </w:p>
    <w:p w14:paraId="0E2F45A4" w14:textId="77777777" w:rsidR="00C343D2" w:rsidRPr="00AF0E35" w:rsidRDefault="00C343D2" w:rsidP="00C343D2">
      <w:pPr>
        <w:pStyle w:val="Headingb"/>
        <w:spacing w:before="120"/>
      </w:pPr>
      <w:r w:rsidRPr="00AF0E35">
        <w:t>Introducción</w:t>
      </w:r>
    </w:p>
    <w:p w14:paraId="640DD972" w14:textId="32F76BBF" w:rsidR="00356520" w:rsidRPr="00AF0E35" w:rsidRDefault="00C343D2" w:rsidP="007E004E">
      <w:r w:rsidRPr="00AF0E35">
        <w:t xml:space="preserve">Conforme a lo estipulado en la Resolución </w:t>
      </w:r>
      <w:r w:rsidRPr="00AF0E35">
        <w:rPr>
          <w:b/>
          <w:bCs/>
        </w:rPr>
        <w:t>657 (Rev.CMR-19)</w:t>
      </w:r>
      <w:r w:rsidRPr="00AF0E35">
        <w:t xml:space="preserve">, se encargó al UIT-R que determinara posibles soluciones </w:t>
      </w:r>
      <w:r w:rsidR="00356520" w:rsidRPr="00AF0E35">
        <w:t>con miras al reconocimiento de</w:t>
      </w:r>
      <w:r w:rsidRPr="00AF0E35">
        <w:t xml:space="preserve"> la observación meteorológica espacial en el Reglamento de Radiocomunicaciones y su correspondiente utilización, </w:t>
      </w:r>
      <w:r w:rsidR="00356520" w:rsidRPr="00AF0E35">
        <w:t xml:space="preserve">mediante la </w:t>
      </w:r>
      <w:r w:rsidR="00AF0E35">
        <w:t>definición</w:t>
      </w:r>
      <w:r w:rsidR="00356520" w:rsidRPr="00AF0E35">
        <w:t xml:space="preserve"> de</w:t>
      </w:r>
      <w:r w:rsidRPr="00AF0E35">
        <w:t xml:space="preserve"> un servicio </w:t>
      </w:r>
      <w:r w:rsidR="00356520" w:rsidRPr="00AF0E35">
        <w:t>adecuado</w:t>
      </w:r>
      <w:r w:rsidRPr="00AF0E35">
        <w:t>. Como resumen de sus estudios, la CEPT concluye que</w:t>
      </w:r>
      <w:r w:rsidR="00356520" w:rsidRPr="00AF0E35">
        <w:t>,</w:t>
      </w:r>
      <w:r w:rsidRPr="00AF0E35">
        <w:t xml:space="preserve"> </w:t>
      </w:r>
      <w:r w:rsidR="00356520" w:rsidRPr="00AF0E35">
        <w:t>para lograr un reconocimiento adecuado de los sensores meteorológicos espaciales, la solución más eficaz consiste en modificar</w:t>
      </w:r>
      <w:r w:rsidRPr="00AF0E35">
        <w:t xml:space="preserve"> los </w:t>
      </w:r>
      <w:r w:rsidR="00356520" w:rsidRPr="00AF0E35">
        <w:t xml:space="preserve">Artículos </w:t>
      </w:r>
      <w:r w:rsidRPr="00AF0E35">
        <w:rPr>
          <w:b/>
          <w:bCs/>
        </w:rPr>
        <w:t>1</w:t>
      </w:r>
      <w:r w:rsidRPr="00AF0E35">
        <w:t xml:space="preserve"> y </w:t>
      </w:r>
      <w:r w:rsidRPr="00AF0E35">
        <w:rPr>
          <w:b/>
          <w:bCs/>
        </w:rPr>
        <w:t>4</w:t>
      </w:r>
      <w:r w:rsidRPr="00AF0E35">
        <w:t xml:space="preserve"> del Reglamento de Radiocomunicaciones proporcionando una definición de meteorología espacial y estableciendo un subservicio denominado </w:t>
      </w:r>
      <w:r w:rsidR="00A95210" w:rsidRPr="00AF0E35">
        <w:t xml:space="preserve">servicio de ayudas a la meteorología </w:t>
      </w:r>
      <w:r w:rsidRPr="00AF0E35">
        <w:t xml:space="preserve">(MetAids) (meteorología espacial) para los sensores meteorológicos espaciales. La CEPT </w:t>
      </w:r>
      <w:r w:rsidR="00356520" w:rsidRPr="00AF0E35">
        <w:t>considera que las citadas modificaciones de</w:t>
      </w:r>
      <w:r w:rsidRPr="00AF0E35">
        <w:t xml:space="preserve"> los </w:t>
      </w:r>
      <w:r w:rsidR="00356520" w:rsidRPr="00AF0E35">
        <w:t xml:space="preserve">Artículos </w:t>
      </w:r>
      <w:r w:rsidRPr="00AF0E35">
        <w:rPr>
          <w:b/>
          <w:bCs/>
        </w:rPr>
        <w:t>1</w:t>
      </w:r>
      <w:r w:rsidRPr="00AF0E35">
        <w:t xml:space="preserve"> y </w:t>
      </w:r>
      <w:r w:rsidRPr="00AF0E35">
        <w:rPr>
          <w:b/>
          <w:bCs/>
        </w:rPr>
        <w:t>4</w:t>
      </w:r>
      <w:r w:rsidRPr="00AF0E35">
        <w:t xml:space="preserve"> del Reglamento de Radiocomunicaciones </w:t>
      </w:r>
      <w:r w:rsidR="00356520" w:rsidRPr="00AF0E35">
        <w:t xml:space="preserve">son conformes al </w:t>
      </w:r>
      <w:r w:rsidRPr="00AF0E35">
        <w:rPr>
          <w:i/>
          <w:iCs/>
        </w:rPr>
        <w:t>resuelve</w:t>
      </w:r>
      <w:r w:rsidRPr="00AF0E35">
        <w:t xml:space="preserve"> 3 de la Resolución </w:t>
      </w:r>
      <w:r w:rsidRPr="00AF0E35">
        <w:rPr>
          <w:b/>
          <w:bCs/>
        </w:rPr>
        <w:t>657 (Rev.CMR-19)</w:t>
      </w:r>
      <w:r w:rsidRPr="00AF0E35">
        <w:t xml:space="preserve"> y, por tanto, </w:t>
      </w:r>
      <w:r w:rsidR="00356520" w:rsidRPr="00AF0E35">
        <w:t>están contempladas en dicha Resolución.</w:t>
      </w:r>
    </w:p>
    <w:p w14:paraId="057C73E4" w14:textId="08FF7884" w:rsidR="00C343D2" w:rsidRPr="00AF0E35" w:rsidRDefault="00356520" w:rsidP="007E004E">
      <w:r w:rsidRPr="00AF0E35">
        <w:t>A</w:t>
      </w:r>
      <w:r w:rsidR="00C343D2" w:rsidRPr="00AF0E35">
        <w:t xml:space="preserve">demás, </w:t>
      </w:r>
      <w:r w:rsidRPr="00AF0E35">
        <w:t xml:space="preserve">en </w:t>
      </w:r>
      <w:r w:rsidR="00C343D2" w:rsidRPr="00AF0E35">
        <w:t xml:space="preserve">la Resolución </w:t>
      </w:r>
      <w:r w:rsidR="00C343D2" w:rsidRPr="00AF0E35">
        <w:rPr>
          <w:b/>
          <w:bCs/>
        </w:rPr>
        <w:t>657 (Rev.CMR-19)</w:t>
      </w:r>
      <w:r w:rsidRPr="00AF0E35">
        <w:t>,</w:t>
      </w:r>
      <w:r w:rsidR="00C343D2" w:rsidRPr="00AF0E35">
        <w:t xml:space="preserve"> </w:t>
      </w:r>
      <w:r w:rsidRPr="00AF0E35">
        <w:t xml:space="preserve">se solicita la realización de los estudios necesarios de compartición con los sistemas existentes que funcionan en las bandas de frecuencias utilizadas por los </w:t>
      </w:r>
      <w:r w:rsidRPr="00AF0E35">
        <w:rPr>
          <w:color w:val="000000"/>
        </w:rPr>
        <w:t>sensores meteorológicos espaciales</w:t>
      </w:r>
      <w:r w:rsidR="00C343D2" w:rsidRPr="00AF0E35">
        <w:t xml:space="preserve">. </w:t>
      </w:r>
      <w:r w:rsidRPr="00AF0E35">
        <w:t>No obstante, a fin de cumplir</w:t>
      </w:r>
      <w:r w:rsidR="00C343D2" w:rsidRPr="00AF0E35">
        <w:t xml:space="preserve"> eficazmente estos objetivos en virtud de los </w:t>
      </w:r>
      <w:r w:rsidR="00C343D2" w:rsidRPr="00AF0E35">
        <w:rPr>
          <w:i/>
          <w:iCs/>
        </w:rPr>
        <w:t>resuelve</w:t>
      </w:r>
      <w:r w:rsidR="00C343D2" w:rsidRPr="00AF0E35">
        <w:t xml:space="preserve"> 2 y 4 de la Resolución </w:t>
      </w:r>
      <w:r w:rsidR="00C343D2" w:rsidRPr="00AF0E35">
        <w:rPr>
          <w:b/>
          <w:bCs/>
        </w:rPr>
        <w:t>657 (Rev.CMR-19)</w:t>
      </w:r>
      <w:r w:rsidR="00C343D2" w:rsidRPr="00AF0E35">
        <w:t xml:space="preserve">, es </w:t>
      </w:r>
      <w:r w:rsidR="001213E9" w:rsidRPr="00AF0E35">
        <w:t>preciso</w:t>
      </w:r>
      <w:r w:rsidR="00C343D2" w:rsidRPr="00AF0E35">
        <w:t xml:space="preserve"> definir las </w:t>
      </w:r>
      <w:r w:rsidR="00C343D2" w:rsidRPr="00AF0E35">
        <w:lastRenderedPageBreak/>
        <w:t>bandas de frecuencias pertinentes que deben estudiarse mediante la priorización de los</w:t>
      </w:r>
      <w:r w:rsidR="001213E9" w:rsidRPr="00AF0E35">
        <w:t xml:space="preserve"> actuales</w:t>
      </w:r>
      <w:r w:rsidR="00C343D2" w:rsidRPr="00AF0E35">
        <w:t xml:space="preserve"> </w:t>
      </w:r>
      <w:r w:rsidR="001213E9" w:rsidRPr="00AF0E35">
        <w:t>s</w:t>
      </w:r>
      <w:r w:rsidR="00C343D2" w:rsidRPr="00AF0E35">
        <w:t xml:space="preserve">istemas de sensores meteorológicos espaciales en funcionamiento. Para completar </w:t>
      </w:r>
      <w:r w:rsidR="001213E9" w:rsidRPr="00AF0E35">
        <w:t>dicha labor, s</w:t>
      </w:r>
      <w:r w:rsidR="00C343D2" w:rsidRPr="00AF0E35">
        <w:t>erá necesario</w:t>
      </w:r>
      <w:r w:rsidR="001213E9" w:rsidRPr="00AF0E35">
        <w:t xml:space="preserve"> incluir </w:t>
      </w:r>
      <w:r w:rsidR="00C343D2" w:rsidRPr="00AF0E35">
        <w:t xml:space="preserve">un nuevo punto </w:t>
      </w:r>
      <w:r w:rsidR="001213E9" w:rsidRPr="00AF0E35">
        <w:t xml:space="preserve">en </w:t>
      </w:r>
      <w:r w:rsidR="00C343D2" w:rsidRPr="00AF0E35">
        <w:t>el orden del día de la CMR-27</w:t>
      </w:r>
      <w:r w:rsidR="001213E9" w:rsidRPr="00AF0E35">
        <w:t>, que permita</w:t>
      </w:r>
      <w:r w:rsidR="00C343D2" w:rsidRPr="00AF0E35">
        <w:t xml:space="preserve"> añadir nuevas atribuciones a las MetAids (meteorología espacial) para la protección de los sistemas de sensores meteorológicos espaciales.</w:t>
      </w:r>
    </w:p>
    <w:p w14:paraId="78EBFF02" w14:textId="303491E1" w:rsidR="00363A65" w:rsidRPr="00AF0E35" w:rsidRDefault="00C343D2" w:rsidP="001213E9">
      <w:pPr>
        <w:rPr>
          <w:b/>
          <w:bCs/>
        </w:rPr>
      </w:pPr>
      <w:r w:rsidRPr="00AF0E35">
        <w:rPr>
          <w:b/>
          <w:bCs/>
          <w:spacing w:val="2"/>
        </w:rPr>
        <w:t>Propuest</w:t>
      </w:r>
      <w:r w:rsidRPr="00AF0E35">
        <w:rPr>
          <w:b/>
          <w:bCs/>
        </w:rPr>
        <w:t>as</w:t>
      </w:r>
    </w:p>
    <w:p w14:paraId="10A2E105" w14:textId="344F7EFB" w:rsidR="008750A8" w:rsidRPr="00AF0E35" w:rsidRDefault="008750A8" w:rsidP="00C343D2">
      <w:pPr>
        <w:pStyle w:val="Part1"/>
        <w:spacing w:before="160"/>
      </w:pPr>
      <w:r w:rsidRPr="00AF0E35">
        <w:br w:type="page"/>
      </w:r>
    </w:p>
    <w:p w14:paraId="539F48DE" w14:textId="77777777" w:rsidR="00622A7B" w:rsidRPr="00AF0E35" w:rsidRDefault="00622A7B" w:rsidP="00CE6DB7">
      <w:pPr>
        <w:pStyle w:val="ArtNo"/>
        <w:spacing w:before="0"/>
      </w:pPr>
      <w:bookmarkStart w:id="6" w:name="_Toc48141292"/>
      <w:r w:rsidRPr="00AF0E35">
        <w:lastRenderedPageBreak/>
        <w:t xml:space="preserve">ARTÍCULO </w:t>
      </w:r>
      <w:r w:rsidRPr="00AF0E35">
        <w:rPr>
          <w:rStyle w:val="href"/>
        </w:rPr>
        <w:t>1</w:t>
      </w:r>
      <w:bookmarkEnd w:id="6"/>
    </w:p>
    <w:p w14:paraId="20BB5480" w14:textId="77777777" w:rsidR="00622A7B" w:rsidRPr="00AF0E35" w:rsidRDefault="00622A7B" w:rsidP="006537F1">
      <w:pPr>
        <w:pStyle w:val="Arttitle"/>
      </w:pPr>
      <w:bookmarkStart w:id="7" w:name="_Toc48141293"/>
      <w:r w:rsidRPr="00AF0E35">
        <w:t>Términos y definiciones</w:t>
      </w:r>
      <w:bookmarkEnd w:id="7"/>
    </w:p>
    <w:p w14:paraId="4DA582E6" w14:textId="77777777" w:rsidR="00622A7B" w:rsidRPr="00AF0E35" w:rsidRDefault="00622A7B" w:rsidP="00625DBA">
      <w:pPr>
        <w:pStyle w:val="Section1"/>
      </w:pPr>
      <w:r w:rsidRPr="00AF0E35">
        <w:t>Sección VIII – Términos técnicos relativos al espacio</w:t>
      </w:r>
    </w:p>
    <w:p w14:paraId="619B8792" w14:textId="77777777" w:rsidR="004032D9" w:rsidRPr="00AF0E35" w:rsidRDefault="00622A7B">
      <w:pPr>
        <w:pStyle w:val="Proposal"/>
      </w:pPr>
      <w:r w:rsidRPr="00AF0E35">
        <w:t>ADD</w:t>
      </w:r>
      <w:r w:rsidRPr="00AF0E35">
        <w:tab/>
        <w:t>EUR/65A24A1/1</w:t>
      </w:r>
    </w:p>
    <w:p w14:paraId="3DDA1395" w14:textId="4EBCD809" w:rsidR="00AE24AD" w:rsidRPr="00AF0E35" w:rsidRDefault="00AE24AD" w:rsidP="00AE24AD">
      <w:r w:rsidRPr="00AF0E35">
        <w:rPr>
          <w:rStyle w:val="Artdef"/>
        </w:rPr>
        <w:t>1.XXX</w:t>
      </w:r>
      <w:r w:rsidRPr="00AF0E35">
        <w:tab/>
      </w:r>
      <w:r w:rsidRPr="00AF0E35">
        <w:rPr>
          <w:i/>
          <w:iCs/>
        </w:rPr>
        <w:t>meteorología espacial</w:t>
      </w:r>
      <w:r w:rsidRPr="00AF0E35">
        <w:t>: fenómenos naturales, principalmente generados por la actividad solar y que ocurren más allá de la mayor parte de la atmósfera terrestre, que influyen en el medio ambiente y la actividad humana en la Tierra.</w:t>
      </w:r>
    </w:p>
    <w:p w14:paraId="503277C0" w14:textId="6B7C35D9" w:rsidR="004032D9" w:rsidRPr="00AF0E35" w:rsidRDefault="00622A7B">
      <w:pPr>
        <w:pStyle w:val="Reasons"/>
      </w:pPr>
      <w:r w:rsidRPr="00AF0E35">
        <w:rPr>
          <w:b/>
        </w:rPr>
        <w:t>Motivos:</w:t>
      </w:r>
      <w:r w:rsidRPr="00AF0E35">
        <w:tab/>
      </w:r>
      <w:r w:rsidR="00AE24AD" w:rsidRPr="00AF0E35">
        <w:t>La introducción de una definición de meteorología espacial en la Sección VIII (</w:t>
      </w:r>
      <w:r w:rsidR="00AE24AD" w:rsidRPr="00AF0E35">
        <w:rPr>
          <w:i/>
          <w:iCs/>
        </w:rPr>
        <w:t>Términos técnicos relativos al espacio</w:t>
      </w:r>
      <w:r w:rsidR="00AE24AD" w:rsidRPr="00AF0E35">
        <w:t xml:space="preserve">) del Artículo </w:t>
      </w:r>
      <w:r w:rsidR="00AE24AD" w:rsidRPr="00AF0E35">
        <w:rPr>
          <w:b/>
          <w:bCs/>
        </w:rPr>
        <w:t>1</w:t>
      </w:r>
      <w:r w:rsidR="00AE24AD" w:rsidRPr="00AF0E35">
        <w:t xml:space="preserve"> del RR </w:t>
      </w:r>
      <w:r w:rsidR="004405AC">
        <w:t>daría respuesta</w:t>
      </w:r>
      <w:r w:rsidR="00AE24AD" w:rsidRPr="00AF0E35">
        <w:t xml:space="preserve"> </w:t>
      </w:r>
      <w:r w:rsidR="004405AC">
        <w:t>a</w:t>
      </w:r>
      <w:r w:rsidR="00AE24AD" w:rsidRPr="00AF0E35">
        <w:t xml:space="preserve">l </w:t>
      </w:r>
      <w:r w:rsidR="00AE24AD" w:rsidRPr="00AF0E35">
        <w:rPr>
          <w:i/>
          <w:iCs/>
        </w:rPr>
        <w:t>resuelve</w:t>
      </w:r>
      <w:r w:rsidR="00AE24AD" w:rsidRPr="00AF0E35">
        <w:t xml:space="preserve"> 3 de la Resolución </w:t>
      </w:r>
      <w:r w:rsidR="00AE24AD" w:rsidRPr="004405AC">
        <w:rPr>
          <w:b/>
          <w:bCs/>
        </w:rPr>
        <w:t>657</w:t>
      </w:r>
      <w:r w:rsidR="00AE24AD" w:rsidRPr="00AF0E35">
        <w:t xml:space="preserve"> </w:t>
      </w:r>
      <w:r w:rsidR="00AE24AD" w:rsidRPr="00AF0E35">
        <w:rPr>
          <w:b/>
          <w:bCs/>
        </w:rPr>
        <w:t>(CMR-19)</w:t>
      </w:r>
      <w:r w:rsidR="00AE24AD" w:rsidRPr="00AF0E35">
        <w:t xml:space="preserve">, de acuerdo con el razonamiento de los números </w:t>
      </w:r>
      <w:r w:rsidR="00AE24AD" w:rsidRPr="00AF0E35">
        <w:rPr>
          <w:b/>
          <w:bCs/>
        </w:rPr>
        <w:t>1.64</w:t>
      </w:r>
      <w:r w:rsidR="00AE24AD" w:rsidRPr="00AF0E35">
        <w:t xml:space="preserve"> y </w:t>
      </w:r>
      <w:r w:rsidR="00AE24AD" w:rsidRPr="00AF0E35">
        <w:rPr>
          <w:b/>
          <w:bCs/>
        </w:rPr>
        <w:t>1.178</w:t>
      </w:r>
      <w:r w:rsidR="00AE24AD" w:rsidRPr="00AF0E35">
        <w:t xml:space="preserve"> del RR.</w:t>
      </w:r>
    </w:p>
    <w:p w14:paraId="5DEB7FC0" w14:textId="77777777" w:rsidR="00AE24AD" w:rsidRPr="00AF0E35" w:rsidRDefault="00AE24AD">
      <w:pPr>
        <w:pStyle w:val="Reasons"/>
        <w:rPr>
          <w:b/>
          <w:bCs/>
        </w:rPr>
      </w:pPr>
    </w:p>
    <w:p w14:paraId="3B28E23B" w14:textId="77777777" w:rsidR="00622A7B" w:rsidRPr="00AF0E35" w:rsidRDefault="00622A7B" w:rsidP="00CE6DB7">
      <w:pPr>
        <w:pStyle w:val="ArtNo"/>
        <w:spacing w:before="0"/>
      </w:pPr>
      <w:bookmarkStart w:id="8" w:name="_Toc48141299"/>
      <w:r w:rsidRPr="00AF0E35">
        <w:t xml:space="preserve">ARTÍCULO </w:t>
      </w:r>
      <w:r w:rsidRPr="00AF0E35">
        <w:rPr>
          <w:rStyle w:val="href"/>
        </w:rPr>
        <w:t>4</w:t>
      </w:r>
      <w:bookmarkEnd w:id="8"/>
    </w:p>
    <w:p w14:paraId="2A7BD756" w14:textId="77777777" w:rsidR="00622A7B" w:rsidRPr="00AF0E35" w:rsidRDefault="00622A7B" w:rsidP="00625DBA">
      <w:pPr>
        <w:pStyle w:val="Arttitle"/>
      </w:pPr>
      <w:bookmarkStart w:id="9" w:name="_Toc48141300"/>
      <w:r w:rsidRPr="00AF0E35">
        <w:t>Asignación y empleo de las frecuencias</w:t>
      </w:r>
      <w:bookmarkEnd w:id="9"/>
    </w:p>
    <w:p w14:paraId="6C00D947" w14:textId="77777777" w:rsidR="004032D9" w:rsidRPr="00AF0E35" w:rsidRDefault="00622A7B">
      <w:pPr>
        <w:pStyle w:val="Proposal"/>
      </w:pPr>
      <w:r w:rsidRPr="00AF0E35">
        <w:t>ADD</w:t>
      </w:r>
      <w:r w:rsidRPr="00AF0E35">
        <w:tab/>
        <w:t>EUR/65A24A1/2</w:t>
      </w:r>
    </w:p>
    <w:p w14:paraId="779C6D3A" w14:textId="15062FD4" w:rsidR="004032D9" w:rsidRPr="00AF0E35" w:rsidRDefault="00622A7B">
      <w:r w:rsidRPr="00AF0E35">
        <w:rPr>
          <w:rStyle w:val="Artdef"/>
        </w:rPr>
        <w:t>4.25</w:t>
      </w:r>
      <w:r w:rsidRPr="00AF0E35">
        <w:tab/>
      </w:r>
      <w:r w:rsidR="00AE24AD" w:rsidRPr="00AF0E35">
        <w:t>Los sistemas de sensores meteorológicos espaciales pueden funcionar en atribuciones al servicio de ayudas a la meteorología (meteorología espacial).</w:t>
      </w:r>
    </w:p>
    <w:p w14:paraId="471754C3" w14:textId="25031DAB" w:rsidR="004032D9" w:rsidRPr="00AF0E35" w:rsidRDefault="00622A7B">
      <w:pPr>
        <w:pStyle w:val="Reasons"/>
      </w:pPr>
      <w:r w:rsidRPr="00AF0E35">
        <w:rPr>
          <w:b/>
        </w:rPr>
        <w:t>Motivos:</w:t>
      </w:r>
      <w:r w:rsidRPr="00AF0E35">
        <w:tab/>
      </w:r>
      <w:r w:rsidR="004405AC">
        <w:t>A fin de</w:t>
      </w:r>
      <w:r w:rsidR="00A95210" w:rsidRPr="00AF0E35">
        <w:t xml:space="preserve"> establecer un vínculo entre </w:t>
      </w:r>
      <w:r w:rsidR="00AE24AD" w:rsidRPr="00AF0E35">
        <w:t xml:space="preserve">las observaciones meteorológicas espaciales y </w:t>
      </w:r>
      <w:r w:rsidR="00A95210" w:rsidRPr="00AF0E35">
        <w:t>el</w:t>
      </w:r>
      <w:r w:rsidR="00AE24AD" w:rsidRPr="00AF0E35">
        <w:t xml:space="preserve"> MetAids en el Reglamento de Radiocomunicaciones, se propone introducir un uso específico de los sensores meteorológicos espaciales </w:t>
      </w:r>
      <w:r w:rsidR="00A95210" w:rsidRPr="00AF0E35">
        <w:t xml:space="preserve">en </w:t>
      </w:r>
      <w:r w:rsidR="00AE24AD" w:rsidRPr="00AF0E35">
        <w:t xml:space="preserve">el </w:t>
      </w:r>
      <w:r w:rsidR="00A95210" w:rsidRPr="00AF0E35">
        <w:t xml:space="preserve">Artículo </w:t>
      </w:r>
      <w:r w:rsidR="00AE24AD" w:rsidRPr="00AF0E35">
        <w:rPr>
          <w:b/>
          <w:bCs/>
        </w:rPr>
        <w:t>4</w:t>
      </w:r>
      <w:r w:rsidR="00AE24AD" w:rsidRPr="00AF0E35">
        <w:t xml:space="preserve"> del RR, </w:t>
      </w:r>
      <w:r w:rsidR="00A95210" w:rsidRPr="00AF0E35">
        <w:t>conforme a</w:t>
      </w:r>
      <w:r w:rsidR="00AE24AD" w:rsidRPr="00AF0E35">
        <w:t xml:space="preserve">l </w:t>
      </w:r>
      <w:r w:rsidR="00AE24AD" w:rsidRPr="00AF0E35">
        <w:rPr>
          <w:i/>
          <w:iCs/>
        </w:rPr>
        <w:t>resuelve</w:t>
      </w:r>
      <w:r w:rsidR="00AE24AD" w:rsidRPr="00AF0E35">
        <w:t xml:space="preserve"> 3 de la Resolución </w:t>
      </w:r>
      <w:r w:rsidR="00AE24AD" w:rsidRPr="00AF0E35">
        <w:rPr>
          <w:b/>
          <w:bCs/>
        </w:rPr>
        <w:t>657 (CMR-19)</w:t>
      </w:r>
      <w:r w:rsidR="00AE24AD" w:rsidRPr="00AF0E35">
        <w:t>.</w:t>
      </w:r>
    </w:p>
    <w:p w14:paraId="651B9F12" w14:textId="77777777" w:rsidR="004032D9" w:rsidRPr="00AF0E35" w:rsidRDefault="00622A7B">
      <w:pPr>
        <w:pStyle w:val="Proposal"/>
      </w:pPr>
      <w:r w:rsidRPr="00AF0E35">
        <w:rPr>
          <w:u w:val="single"/>
        </w:rPr>
        <w:t>NOC</w:t>
      </w:r>
      <w:r w:rsidRPr="00AF0E35">
        <w:tab/>
        <w:t>EUR/65A24A1/3</w:t>
      </w:r>
    </w:p>
    <w:p w14:paraId="6FB25465" w14:textId="77777777" w:rsidR="00622A7B" w:rsidRPr="00AF0E35" w:rsidRDefault="00622A7B" w:rsidP="00BE468A">
      <w:pPr>
        <w:pStyle w:val="ArtNo"/>
        <w:spacing w:before="0"/>
      </w:pPr>
      <w:bookmarkStart w:id="10" w:name="_Toc48141301"/>
      <w:r w:rsidRPr="00AF0E35">
        <w:t xml:space="preserve">ARTÍCULO </w:t>
      </w:r>
      <w:r w:rsidRPr="00AF0E35">
        <w:rPr>
          <w:rStyle w:val="href"/>
        </w:rPr>
        <w:t>5</w:t>
      </w:r>
      <w:bookmarkEnd w:id="10"/>
    </w:p>
    <w:p w14:paraId="275CA53F" w14:textId="77777777" w:rsidR="00622A7B" w:rsidRPr="00AF0E35" w:rsidRDefault="00622A7B" w:rsidP="00625DBA">
      <w:pPr>
        <w:pStyle w:val="Arttitle"/>
      </w:pPr>
      <w:bookmarkStart w:id="11" w:name="_Toc48141302"/>
      <w:r w:rsidRPr="00AF0E35">
        <w:t>Atribuciones de frecuencia</w:t>
      </w:r>
      <w:bookmarkEnd w:id="11"/>
    </w:p>
    <w:p w14:paraId="283C33C9" w14:textId="77777777" w:rsidR="004032D9" w:rsidRPr="00AF0E35" w:rsidRDefault="004032D9">
      <w:pPr>
        <w:pStyle w:val="Reasons"/>
      </w:pPr>
    </w:p>
    <w:p w14:paraId="289B6DF4" w14:textId="77777777" w:rsidR="004032D9" w:rsidRPr="00AF0E35" w:rsidRDefault="00622A7B">
      <w:pPr>
        <w:pStyle w:val="Proposal"/>
      </w:pPr>
      <w:r w:rsidRPr="00AF0E35">
        <w:rPr>
          <w:u w:val="single"/>
        </w:rPr>
        <w:t>NOC</w:t>
      </w:r>
      <w:r w:rsidRPr="00AF0E35">
        <w:tab/>
        <w:t>EUR/65A24A1/4</w:t>
      </w:r>
    </w:p>
    <w:p w14:paraId="6DD5EB80" w14:textId="77777777" w:rsidR="00622A7B" w:rsidRPr="00AF0E35" w:rsidRDefault="00622A7B" w:rsidP="003271E3">
      <w:pPr>
        <w:pStyle w:val="Volumetitle"/>
      </w:pPr>
      <w:bookmarkStart w:id="12" w:name="_Toc327956568"/>
      <w:r w:rsidRPr="00AF0E35">
        <w:t>APÉNDICES</w:t>
      </w:r>
      <w:bookmarkEnd w:id="12"/>
    </w:p>
    <w:p w14:paraId="42B880BD" w14:textId="77777777" w:rsidR="004032D9" w:rsidRPr="00AF0E35" w:rsidRDefault="004032D9">
      <w:pPr>
        <w:pStyle w:val="Reasons"/>
      </w:pPr>
    </w:p>
    <w:p w14:paraId="3B2FBA96" w14:textId="77777777" w:rsidR="004032D9" w:rsidRPr="00AF0E35" w:rsidRDefault="00622A7B">
      <w:pPr>
        <w:pStyle w:val="Proposal"/>
      </w:pPr>
      <w:r w:rsidRPr="00AF0E35">
        <w:lastRenderedPageBreak/>
        <w:t>SUP</w:t>
      </w:r>
      <w:r w:rsidRPr="00AF0E35">
        <w:tab/>
        <w:t>EUR/65A24A1/5</w:t>
      </w:r>
    </w:p>
    <w:p w14:paraId="3115E3DC" w14:textId="77777777" w:rsidR="00622A7B" w:rsidRPr="00AF0E35" w:rsidRDefault="00622A7B" w:rsidP="00CC378D">
      <w:pPr>
        <w:pStyle w:val="ResNo"/>
      </w:pPr>
      <w:bookmarkStart w:id="13" w:name="_Toc36190309"/>
      <w:bookmarkStart w:id="14" w:name="_Toc39735031"/>
      <w:r w:rsidRPr="00AF0E35">
        <w:rPr>
          <w:caps w:val="0"/>
        </w:rPr>
        <w:t xml:space="preserve">RESOLUCIÓN </w:t>
      </w:r>
      <w:r w:rsidRPr="00AF0E35">
        <w:rPr>
          <w:rStyle w:val="href"/>
          <w:caps w:val="0"/>
        </w:rPr>
        <w:t>657</w:t>
      </w:r>
      <w:r w:rsidRPr="00AF0E35">
        <w:rPr>
          <w:caps w:val="0"/>
        </w:rPr>
        <w:t xml:space="preserve"> (REV.CMR-19)</w:t>
      </w:r>
      <w:bookmarkEnd w:id="13"/>
      <w:bookmarkEnd w:id="14"/>
    </w:p>
    <w:p w14:paraId="4EC5CC92" w14:textId="32C6DB09" w:rsidR="004032D9" w:rsidRPr="00AF0E35" w:rsidRDefault="00622A7B" w:rsidP="00A95210">
      <w:pPr>
        <w:pStyle w:val="Restitle"/>
      </w:pPr>
      <w:bookmarkStart w:id="15" w:name="_Toc36190310"/>
      <w:bookmarkStart w:id="16" w:name="_Toc39735032"/>
      <w:r w:rsidRPr="00AF0E35">
        <w:t>Protección de los sensores meteorológicos espaciales dependientes del espectro radioeléctrico utilizados para predicción y alertas mundiales</w:t>
      </w:r>
      <w:bookmarkEnd w:id="15"/>
      <w:bookmarkEnd w:id="16"/>
    </w:p>
    <w:p w14:paraId="1545C9EB" w14:textId="77777777" w:rsidR="004032D9" w:rsidRPr="00AF0E35" w:rsidRDefault="00622A7B">
      <w:pPr>
        <w:pStyle w:val="Proposal"/>
      </w:pPr>
      <w:r w:rsidRPr="00AF0E35">
        <w:t>ADD</w:t>
      </w:r>
      <w:r w:rsidRPr="00AF0E35">
        <w:tab/>
        <w:t>EUR/65A24A1/6</w:t>
      </w:r>
    </w:p>
    <w:p w14:paraId="315FFDC9" w14:textId="75AF6D75" w:rsidR="004032D9" w:rsidRPr="00AF0E35" w:rsidRDefault="00622A7B">
      <w:pPr>
        <w:pStyle w:val="ResNo"/>
      </w:pPr>
      <w:r w:rsidRPr="00AF0E35">
        <w:t xml:space="preserve">Proyecto de nueva Resolución </w:t>
      </w:r>
      <w:r w:rsidR="00A95210" w:rsidRPr="00AF0E35">
        <w:t>[EUR-A24A1-SW-IMPORTANCE] (CMR-23)</w:t>
      </w:r>
    </w:p>
    <w:p w14:paraId="5394ECE0" w14:textId="0395E824" w:rsidR="00A95210" w:rsidRPr="00AF0E35" w:rsidRDefault="00A95210" w:rsidP="00A95210">
      <w:pPr>
        <w:pStyle w:val="Restitle"/>
        <w:keepNext w:val="0"/>
        <w:keepLines w:val="0"/>
      </w:pPr>
      <w:bookmarkStart w:id="17" w:name="_Hlk129070426"/>
      <w:r w:rsidRPr="00AF0E35">
        <w:t xml:space="preserve">Importancia de la aplicación del servicio </w:t>
      </w:r>
      <w:r w:rsidRPr="00AF0E35">
        <w:rPr>
          <w:spacing w:val="2"/>
        </w:rPr>
        <w:t xml:space="preserve">de ayudas a la meteorología </w:t>
      </w:r>
      <w:r w:rsidRPr="00AF0E35">
        <w:t>(meteorología espacial)</w:t>
      </w:r>
      <w:bookmarkEnd w:id="17"/>
    </w:p>
    <w:p w14:paraId="13502126" w14:textId="77777777" w:rsidR="00A95210" w:rsidRPr="00AF0E35" w:rsidRDefault="00A95210" w:rsidP="00A95210">
      <w:pPr>
        <w:pStyle w:val="Normalaftertitle"/>
      </w:pPr>
      <w:r w:rsidRPr="00AF0E35">
        <w:t>La Conferencia Mundial de Radiocomunicaciones (Dubái, 2023),</w:t>
      </w:r>
    </w:p>
    <w:p w14:paraId="04146522" w14:textId="77777777" w:rsidR="00A95210" w:rsidRPr="00AF0E35" w:rsidRDefault="00A95210" w:rsidP="00A95210">
      <w:pPr>
        <w:pStyle w:val="Call"/>
      </w:pPr>
      <w:r w:rsidRPr="00AF0E35">
        <w:t>considerando</w:t>
      </w:r>
    </w:p>
    <w:p w14:paraId="1D7870EB" w14:textId="3C2320DC" w:rsidR="00A95210" w:rsidRPr="00AF0E35" w:rsidRDefault="00A95210" w:rsidP="00A95210">
      <w:r w:rsidRPr="00AF0E35">
        <w:rPr>
          <w:i/>
          <w:iCs/>
        </w:rPr>
        <w:t>a)</w:t>
      </w:r>
      <w:r w:rsidRPr="00AF0E35">
        <w:tab/>
        <w:t>que la obtención y el intercambio de datos meteorológicos espaciales son importantes para detectar eventos de actividad solar como las erupciones solares, las partículas altamente energéticas y sus consecuencias pertinentes para las condiciones geomagnéticas y ionosféricas de la Tierra, que afectan a servicios esenciales para la economía, la seguridad y la protección de las administraciones y su población;</w:t>
      </w:r>
    </w:p>
    <w:p w14:paraId="30909740" w14:textId="77777777" w:rsidR="00A95210" w:rsidRPr="00AF0E35" w:rsidRDefault="00A95210" w:rsidP="00A95210">
      <w:pPr>
        <w:rPr>
          <w:highlight w:val="cyan"/>
        </w:rPr>
      </w:pPr>
      <w:r w:rsidRPr="00AF0E35">
        <w:rPr>
          <w:i/>
          <w:iCs/>
        </w:rPr>
        <w:t>b)</w:t>
      </w:r>
      <w:r w:rsidRPr="00AF0E35">
        <w:tab/>
        <w:t>que los datos meteorológicos espaciales son esenciales para formular previsiones y alertas de eventos meteorológicos espaciales e importantes para entender los procesos físicos que permiten definir modelos predictivos de los eventos meteorológicos espaciales y sus consecuencias para los servicios de infraestructuras sociales;</w:t>
      </w:r>
    </w:p>
    <w:p w14:paraId="36074EB6" w14:textId="77777777" w:rsidR="00A95210" w:rsidRPr="00AF0E35" w:rsidRDefault="00A95210" w:rsidP="00A95210">
      <w:r w:rsidRPr="00AF0E35">
        <w:rPr>
          <w:i/>
          <w:iCs/>
        </w:rPr>
        <w:t>c)</w:t>
      </w:r>
      <w:r w:rsidRPr="00AF0E35">
        <w:tab/>
        <w:t>que los datos meteorológicos espaciales son importantes para entender los procesos físicos que permiten definir modelos predictivos de los eventos meteorológicos espaciales y sus consecuencias;</w:t>
      </w:r>
    </w:p>
    <w:p w14:paraId="51637B80" w14:textId="77777777" w:rsidR="00A95210" w:rsidRPr="00AF0E35" w:rsidRDefault="00A95210" w:rsidP="00A95210">
      <w:r w:rsidRPr="00AF0E35">
        <w:rPr>
          <w:i/>
          <w:iCs/>
        </w:rPr>
        <w:t>d)</w:t>
      </w:r>
      <w:r w:rsidRPr="00AF0E35">
        <w:tab/>
        <w:t>que la tecnología de sensores meteorológicos espaciales dependientes del espectro ha sido perfeccionada y se han emplazado sistemas operativos sin tener muy en cuenta las reglamentaciones del espectro nacionales o internacionales, ni la posible necesidad de protección contra la interferencia;</w:t>
      </w:r>
    </w:p>
    <w:p w14:paraId="7085C01A" w14:textId="3F58D365" w:rsidR="00A95210" w:rsidRPr="00AF0E35" w:rsidRDefault="00A95210" w:rsidP="00A95210">
      <w:r w:rsidRPr="00AF0E35">
        <w:rPr>
          <w:i/>
          <w:iCs/>
        </w:rPr>
        <w:t>e)</w:t>
      </w:r>
      <w:r w:rsidRPr="00AF0E35">
        <w:tab/>
        <w:t>que los sensores meteorológicos espaciales dependientes del espectro pueden ser vulnerables a las interferencias causadas por sistemas terrenales y a bordo de vehículos espaciales;</w:t>
      </w:r>
    </w:p>
    <w:p w14:paraId="5627A725" w14:textId="77777777" w:rsidR="00A95210" w:rsidRPr="00AF0E35" w:rsidRDefault="00A95210" w:rsidP="00A95210">
      <w:r w:rsidRPr="00AF0E35">
        <w:rPr>
          <w:i/>
          <w:iCs/>
        </w:rPr>
        <w:t>f)</w:t>
      </w:r>
      <w:r w:rsidRPr="00AF0E35">
        <w:rPr>
          <w:i/>
          <w:iCs/>
        </w:rPr>
        <w:tab/>
      </w:r>
      <w:r w:rsidRPr="00AF0E35">
        <w:t>que algunos sensores meteorológicos espaciales funcionan recibiendo señales de fenómenos naturales de bajo nivel, con origen principalmente en la actividad solar y que ocurren más allá de la mayor parte de la atmósfera terrestre y afectan al medioambiente de la Tierra, por lo que pueden sufrir interferencias perjudiciales a niveles que otras aplicaciones de radiocomunicaciones podrían tolerar;</w:t>
      </w:r>
    </w:p>
    <w:p w14:paraId="4A442077" w14:textId="1677385D" w:rsidR="00A95210" w:rsidRPr="00AF0E35" w:rsidRDefault="00A95210" w:rsidP="00A95210">
      <w:r w:rsidRPr="00AF0E35">
        <w:rPr>
          <w:i/>
          <w:iCs/>
        </w:rPr>
        <w:t>g)</w:t>
      </w:r>
      <w:r w:rsidRPr="00AF0E35">
        <w:tab/>
        <w:t>que varios organismos internacionales, como la Organización Meteorológica Mundial (OMM), el Grupo Intergubernamental de Expertos sobre el Cambio Climático (IPCC), la Oficina de las Naciones Unidas para la Reducción del Riesgo de Desastres (UNDRR), la Organización de Aviación Civil Internacional (OACI) y la Comisión de las Naciones Unidas sobre la Utilización del Espacio Ultraterrestre con Fines Pacíficos</w:t>
      </w:r>
      <w:r w:rsidR="000F4D7E" w:rsidRPr="00AF0E35">
        <w:t>,</w:t>
      </w:r>
      <w:r w:rsidRPr="00AF0E35">
        <w:t xml:space="preserve"> han subrayado la importancia de las aplicaciones de </w:t>
      </w:r>
      <w:r w:rsidRPr="00AF0E35">
        <w:lastRenderedPageBreak/>
        <w:t>radiocomunicaciones de meteorología espacial, y que la colaboración del UIT-R con dichos organismos es fundamental;</w:t>
      </w:r>
    </w:p>
    <w:p w14:paraId="329E4FE5" w14:textId="77777777" w:rsidR="00A95210" w:rsidRPr="00AF0E35" w:rsidRDefault="00A95210" w:rsidP="00A95210">
      <w:r w:rsidRPr="00AF0E35">
        <w:rPr>
          <w:i/>
          <w:iCs/>
        </w:rPr>
        <w:t>h)</w:t>
      </w:r>
      <w:r w:rsidRPr="00AF0E35">
        <w:tab/>
        <w:t>que la obtención de datos meteorológicos espaciales se efectúa en beneficio de toda la comunidad internacional y que generalmente los datos se ponen a disposición sin coste alguno,</w:t>
      </w:r>
    </w:p>
    <w:p w14:paraId="7E6BD5C9" w14:textId="77777777" w:rsidR="00A95210" w:rsidRPr="00AF0E35" w:rsidRDefault="00A95210" w:rsidP="00A95210">
      <w:pPr>
        <w:pStyle w:val="Call"/>
      </w:pPr>
      <w:r w:rsidRPr="00AF0E35">
        <w:t>recordando</w:t>
      </w:r>
    </w:p>
    <w:p w14:paraId="09F578CF" w14:textId="77777777" w:rsidR="00A95210" w:rsidRPr="00AF0E35" w:rsidRDefault="00A95210" w:rsidP="00A95210">
      <w:pPr>
        <w:keepNext/>
        <w:keepLines/>
      </w:pPr>
      <w:r w:rsidRPr="00AF0E35">
        <w:rPr>
          <w:i/>
          <w:iCs/>
        </w:rPr>
        <w:t>a)</w:t>
      </w:r>
      <w:r w:rsidRPr="00AF0E35">
        <w:tab/>
        <w:t>el Plan de Acción de la Cumbre Mundial sobre la Sociedad de la Información (CMSI) (Ginebra, 2003) que trata de la ciberecología, se insta al establecimiento de sistemas de vigilancia, utilizando las tecnologías de la información y la comunicación (TIC) para prever y supervisar los efectos de las catástrofes naturales y de las provocadas por el hombre, particularmente en los países en desarrollo, los países menos adelantados y las pequeñas economías;</w:t>
      </w:r>
    </w:p>
    <w:p w14:paraId="2928492F" w14:textId="0DD08570" w:rsidR="00A95210" w:rsidRPr="00AF0E35" w:rsidRDefault="00A95210" w:rsidP="00A95210">
      <w:r w:rsidRPr="00AF0E35">
        <w:rPr>
          <w:i/>
          <w:iCs/>
        </w:rPr>
        <w:t>b)</w:t>
      </w:r>
      <w:r w:rsidRPr="00AF0E35">
        <w:tab/>
        <w:t>la Resolución 136 (Rev. Bucarest, 2022) de la Conferencia de Plenipotenciarios</w:t>
      </w:r>
      <w:r w:rsidR="000F4D7E" w:rsidRPr="00AF0E35">
        <w:t>, relativa a la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r w:rsidRPr="00AF0E35">
        <w:t>;</w:t>
      </w:r>
    </w:p>
    <w:p w14:paraId="098C5B75" w14:textId="4782ED01" w:rsidR="00A95210" w:rsidRPr="00AF0E35" w:rsidRDefault="00A95210" w:rsidP="00A95210">
      <w:pPr>
        <w:rPr>
          <w:szCs w:val="24"/>
        </w:rPr>
      </w:pPr>
      <w:r w:rsidRPr="00AF0E35">
        <w:rPr>
          <w:i/>
          <w:iCs/>
        </w:rPr>
        <w:t>c)</w:t>
      </w:r>
      <w:r w:rsidRPr="00AF0E35">
        <w:tab/>
        <w:t>la Resolución 182 (Rev. Bucarest, 2022) de la Conferencia de Plenipotenciarios,</w:t>
      </w:r>
      <w:r w:rsidR="000F4D7E" w:rsidRPr="00AF0E35">
        <w:t xml:space="preserve"> relativa al papel de las telecomunicaciones/tecnologías de la información y la comunicación en el cambio climático y la protección del medio ambiente</w:t>
      </w:r>
      <w:r w:rsidRPr="00AF0E35">
        <w:t>;</w:t>
      </w:r>
    </w:p>
    <w:p w14:paraId="689D40A3" w14:textId="77777777" w:rsidR="00A95210" w:rsidRPr="00AF0E35" w:rsidRDefault="00A95210" w:rsidP="00A95210">
      <w:r w:rsidRPr="00AF0E35">
        <w:rPr>
          <w:i/>
          <w:iCs/>
        </w:rPr>
        <w:t>d)</w:t>
      </w:r>
      <w:r w:rsidRPr="00AF0E35">
        <w:tab/>
        <w:t>el Marco Mundial para los Servicios Climáticos (MMSC), identificado en el decimoctavo Congreso Meteorológico Mundial (Ginebra, junio de 2019), que facilita información para ayudar a la sociedad a adaptarse a la variabilidad y el cambio climáticos;</w:t>
      </w:r>
    </w:p>
    <w:p w14:paraId="73C5A2B3" w14:textId="77777777" w:rsidR="00A95210" w:rsidRPr="00AF0E35" w:rsidRDefault="00A95210" w:rsidP="00A95210">
      <w:r w:rsidRPr="00AF0E35">
        <w:rPr>
          <w:i/>
          <w:iCs/>
        </w:rPr>
        <w:t>e)</w:t>
      </w:r>
      <w:r w:rsidRPr="00AF0E35">
        <w:tab/>
        <w:t>que la Oficina de las Naciones Unidas para la Reducción del Riesgo de Desastres (UNDRR) y el Consejo Internacional de Ciencias han identificado los peligros relacionados con la meteorología espacial en la lista inicial de peligros para la gestión del riesgo de catástrofes de 2021 dentro del Marco de Sendái para la Reducción del Riesgo de Desastres 2015-2030;</w:t>
      </w:r>
    </w:p>
    <w:p w14:paraId="7FFFA608" w14:textId="542D4739" w:rsidR="00A95210" w:rsidRPr="00AF0E35" w:rsidRDefault="00A95210" w:rsidP="00A95210">
      <w:r w:rsidRPr="00AF0E35">
        <w:rPr>
          <w:i/>
          <w:iCs/>
        </w:rPr>
        <w:t>f)</w:t>
      </w:r>
      <w:r w:rsidRPr="00AF0E35">
        <w:tab/>
        <w:t xml:space="preserve">la Resolución de la Asamblea General de las Naciones Unidas 76/3 de 25 de octubre de 2021, </w:t>
      </w:r>
      <w:r w:rsidR="00185BEA">
        <w:t>«</w:t>
      </w:r>
      <w:r w:rsidRPr="00AF0E35">
        <w:t xml:space="preserve">La Agenda </w:t>
      </w:r>
      <w:r w:rsidR="00185BEA">
        <w:t>"</w:t>
      </w:r>
      <w:r w:rsidRPr="00AF0E35">
        <w:t>Espacio2030</w:t>
      </w:r>
      <w:r w:rsidR="00185BEA">
        <w:t>"</w:t>
      </w:r>
      <w:r w:rsidRPr="00AF0E35">
        <w:t>: el espacio como motor del desarrollo sostenible</w:t>
      </w:r>
      <w:r w:rsidR="00185BEA">
        <w:t>»</w:t>
      </w:r>
      <w:r w:rsidRPr="00AF0E35">
        <w:t>, señala en su objetivo 3 lo siguiente: sensibilizar sobre los riesgos de los fenómenos meteorológicos espaciales adversos y mitigar esos riesgos, a fin de asegurar una mayor resiliencia mundial frente a los efectos del clima espacial, y mejorar la coordinación internacional de las actividades relacionadas con el clima espacial, como la divulgación, la comunicación y el fomento de la capacidad, así como el establecimiento de un mecanismo internacional con el que promover una mayor coordinación de alto nivel con relación al clima espacial y una mayor resiliencia mundial frente a los efectos de este;</w:t>
      </w:r>
    </w:p>
    <w:p w14:paraId="0D918E99" w14:textId="77777777" w:rsidR="00A95210" w:rsidRPr="00AF0E35" w:rsidRDefault="00A95210" w:rsidP="00A95210">
      <w:r w:rsidRPr="00AF0E35">
        <w:rPr>
          <w:i/>
          <w:iCs/>
        </w:rPr>
        <w:t>g)</w:t>
      </w:r>
      <w:r w:rsidRPr="00AF0E35">
        <w:tab/>
        <w:t>la Enmienda 78 del Anexo 3 al Convenio sobre Aviación Civil Internacional (Normas y métodos recomendados internacionales, Servicio meteorológico para la navegación aérea internacional) adoptada el 7 de marzo de 2018 por el Consejo de la OACI en su 213º periodo de sesiones, que ha introducido los servicios de información de asesoramiento sobre meteorología espacial para los fenómenos meteorológicos espaciales que previsiblemente influirán en los sistemas aeronáuticos de radiocomunicación y radionavegación,</w:t>
      </w:r>
    </w:p>
    <w:p w14:paraId="241849A4" w14:textId="77777777" w:rsidR="00A95210" w:rsidRPr="00AF0E35" w:rsidRDefault="00A95210" w:rsidP="00A95210">
      <w:pPr>
        <w:pStyle w:val="Call"/>
      </w:pPr>
      <w:r w:rsidRPr="00AF0E35">
        <w:t>reconociendo</w:t>
      </w:r>
    </w:p>
    <w:p w14:paraId="52CDEC0C" w14:textId="77777777" w:rsidR="00A95210" w:rsidRPr="00AF0E35" w:rsidRDefault="00A95210" w:rsidP="00A95210">
      <w:r w:rsidRPr="00AF0E35">
        <w:rPr>
          <w:i/>
          <w:iCs/>
        </w:rPr>
        <w:t>a)</w:t>
      </w:r>
      <w:r w:rsidRPr="00AF0E35">
        <w:rPr>
          <w:i/>
          <w:iCs/>
        </w:rPr>
        <w:tab/>
      </w:r>
      <w:r w:rsidRPr="00AF0E35">
        <w:t>que el Informe UIT</w:t>
      </w:r>
      <w:r w:rsidRPr="00AF0E35">
        <w:noBreakHyphen/>
        <w:t>R RS.2456-0, sobre sistemas de sensores meteorológicos espaciales que utilizan el espectro radioeléctrico, contiene:</w:t>
      </w:r>
    </w:p>
    <w:p w14:paraId="40E56F89" w14:textId="77777777" w:rsidR="00A95210" w:rsidRPr="00AF0E35" w:rsidRDefault="00A95210" w:rsidP="00A95210">
      <w:pPr>
        <w:pStyle w:val="enumlev1"/>
      </w:pPr>
      <w:r w:rsidRPr="00AF0E35">
        <w:t>–</w:t>
      </w:r>
      <w:r w:rsidRPr="00AF0E35">
        <w:tab/>
        <w:t>un resumen de los sensores meteorológicos espaciales que dependen del espectro; y</w:t>
      </w:r>
    </w:p>
    <w:p w14:paraId="3CF4B92E" w14:textId="7679AB7A" w:rsidR="00A95210" w:rsidRPr="00AF0E35" w:rsidRDefault="00A95210" w:rsidP="00A95210">
      <w:pPr>
        <w:pStyle w:val="enumlev1"/>
      </w:pPr>
      <w:r w:rsidRPr="00AF0E35">
        <w:t>–</w:t>
      </w:r>
      <w:r w:rsidRPr="00AF0E35">
        <w:tab/>
        <w:t>la documentación de los sistemas utilizados para la vigilancia, predicción y alerta meteorológica espacial operativa desplegados a escala mundial;</w:t>
      </w:r>
    </w:p>
    <w:p w14:paraId="1370EE75" w14:textId="77777777" w:rsidR="00A95210" w:rsidRPr="00AF0E35" w:rsidRDefault="00A95210" w:rsidP="00A95210">
      <w:r w:rsidRPr="00AF0E35">
        <w:rPr>
          <w:i/>
          <w:iCs/>
        </w:rPr>
        <w:lastRenderedPageBreak/>
        <w:t>b)</w:t>
      </w:r>
      <w:r w:rsidRPr="00AF0E35">
        <w:tab/>
        <w:t>que el Manual de Radioastronomía del UIT-R contiene más información sobre las observaciones meteorológicas espaciales;</w:t>
      </w:r>
    </w:p>
    <w:p w14:paraId="6E78C2B0" w14:textId="77777777" w:rsidR="00A95210" w:rsidRPr="00AF0E35" w:rsidRDefault="00A95210" w:rsidP="00A95210">
      <w:r w:rsidRPr="00AF0E35">
        <w:rPr>
          <w:i/>
          <w:iCs/>
        </w:rPr>
        <w:t>c)</w:t>
      </w:r>
      <w:r w:rsidRPr="00AF0E35">
        <w:tab/>
        <w:t>que un sensor meteorológico espacial activo es un sistema del servicio de ayudas a la meteorología (MetAids) (meteorología espacial) gracias al cual se obtiene información mediante la transmisión y recepción de ondas radioeléctricas;</w:t>
      </w:r>
    </w:p>
    <w:p w14:paraId="29D1BF04" w14:textId="77777777" w:rsidR="00A95210" w:rsidRPr="00AF0E35" w:rsidRDefault="00A95210" w:rsidP="00A95210">
      <w:r w:rsidRPr="00AF0E35">
        <w:rPr>
          <w:i/>
          <w:iCs/>
        </w:rPr>
        <w:t>d)</w:t>
      </w:r>
      <w:r w:rsidRPr="00AF0E35">
        <w:rPr>
          <w:rStyle w:val="SubtleEmphasis"/>
        </w:rPr>
        <w:tab/>
      </w:r>
      <w:r w:rsidRPr="00AF0E35">
        <w:t>que un sensor meteorológico espacial sólo receptor es un sistema del MetAids (meteorología espacial) gracias al cual se obtiene información mediante la recepción de ondas radioeléctricas de origen natural o la recepción oportunista de transmisiones de otros servicios de radiocomunicaciones específicos;</w:t>
      </w:r>
    </w:p>
    <w:p w14:paraId="6E99D7A3" w14:textId="77777777" w:rsidR="00A95210" w:rsidRPr="00AF0E35" w:rsidRDefault="00A95210" w:rsidP="00A95210">
      <w:r w:rsidRPr="00AF0E35">
        <w:rPr>
          <w:i/>
          <w:iCs/>
        </w:rPr>
        <w:t>e)</w:t>
      </w:r>
      <w:r w:rsidRPr="00AF0E35">
        <w:tab/>
        <w:t>que los servicios existentes, así como sus servicios y aplicaciones, deben protegerse en las bandas utilizadas para las observaciones del MetAids (meteorología espacial) y no deben imponerse restricciones indebidas al futuro desarrollo de esos servicios,</w:t>
      </w:r>
    </w:p>
    <w:p w14:paraId="1EF28A98" w14:textId="77777777" w:rsidR="00A95210" w:rsidRPr="00AF0E35" w:rsidRDefault="00A95210" w:rsidP="00A95210">
      <w:pPr>
        <w:pStyle w:val="Call"/>
      </w:pPr>
      <w:r w:rsidRPr="00AF0E35">
        <w:t>observando</w:t>
      </w:r>
    </w:p>
    <w:p w14:paraId="59BB9ECB" w14:textId="77777777" w:rsidR="00A95210" w:rsidRPr="00AF0E35" w:rsidRDefault="00A95210" w:rsidP="00A95210">
      <w:r w:rsidRPr="00AF0E35">
        <w:rPr>
          <w:i/>
          <w:iCs/>
        </w:rPr>
        <w:t>a)</w:t>
      </w:r>
      <w:r w:rsidRPr="00AF0E35">
        <w:tab/>
        <w:t xml:space="preserve">que las capacidades meteorológicas espaciales </w:t>
      </w:r>
      <w:r w:rsidRPr="00AF0E35">
        <w:rPr>
          <w:i/>
          <w:iCs/>
        </w:rPr>
        <w:t>in situ</w:t>
      </w:r>
      <w:r w:rsidRPr="00AF0E35">
        <w:t xml:space="preserve"> y a distancia dependen de la disponibilidad de frecuencias radioeléctricas;</w:t>
      </w:r>
    </w:p>
    <w:p w14:paraId="0DC7A6B8" w14:textId="77777777" w:rsidR="00A95210" w:rsidRPr="00AF0E35" w:rsidRDefault="00A95210" w:rsidP="00A95210">
      <w:pPr>
        <w:keepNext/>
        <w:keepLines/>
      </w:pPr>
      <w:r w:rsidRPr="00AF0E35">
        <w:rPr>
          <w:i/>
          <w:iCs/>
        </w:rPr>
        <w:t>b)</w:t>
      </w:r>
      <w:r w:rsidRPr="00AF0E35">
        <w:tab/>
        <w:t>que, de conformidad con la Oficina de Asuntos del Espacio Ultraterrestre de las Naciones Unidas (UNOOSA), la sociedad depende cada vez más de los sistemas espaciales y es vital entender en qué medida la meteorología espacial puede afectar a los sistemas espaciales y los vuelos espaciales tripulados, la transmisión de energía eléctrica, las radiocomunicaciones en ondas decamétricas y las señales del sistema mundial de navegación por satélite (GNSS);</w:t>
      </w:r>
    </w:p>
    <w:p w14:paraId="3F539392" w14:textId="77777777" w:rsidR="00A95210" w:rsidRPr="00AF0E35" w:rsidRDefault="00A95210" w:rsidP="00A95210">
      <w:r w:rsidRPr="00AF0E35">
        <w:rPr>
          <w:i/>
          <w:iCs/>
        </w:rPr>
        <w:t>c)</w:t>
      </w:r>
      <w:r w:rsidRPr="00AF0E35">
        <w:tab/>
        <w:t>que ciertas bandas de frecuencias utilizadas para aplicaciones meteorológicas espaciales tienen características físicas únicas que no permiten el traslado a bandas de frecuencias alternativas,</w:t>
      </w:r>
    </w:p>
    <w:p w14:paraId="045120C2" w14:textId="77777777" w:rsidR="00A95210" w:rsidRPr="00AF0E35" w:rsidRDefault="00A95210" w:rsidP="00A95210">
      <w:pPr>
        <w:pStyle w:val="Call"/>
      </w:pPr>
      <w:r w:rsidRPr="00AF0E35">
        <w:t>resuelve</w:t>
      </w:r>
    </w:p>
    <w:p w14:paraId="3762685A" w14:textId="77777777" w:rsidR="00A95210" w:rsidRPr="00AF0E35" w:rsidRDefault="00A95210" w:rsidP="00A95210">
      <w:r w:rsidRPr="00AF0E35">
        <w:rPr>
          <w:lang w:eastAsia="de-DE"/>
        </w:rPr>
        <w:t>1</w:t>
      </w:r>
      <w:r w:rsidRPr="00AF0E35">
        <w:rPr>
          <w:lang w:eastAsia="de-DE"/>
        </w:rPr>
        <w:tab/>
        <w:t>reconocer la importancia de la utilización del espectro por las aplicaciones meteorológicas espaciales para supervisar los fenómenos y eventos meteorológicos espaciales que afectan a servicios esenciales para la economía, la seguridad y la protección de las administraciones y su población</w:t>
      </w:r>
      <w:r w:rsidRPr="00AF0E35">
        <w:t>;</w:t>
      </w:r>
    </w:p>
    <w:p w14:paraId="554A0F2C" w14:textId="77777777" w:rsidR="00A95210" w:rsidRPr="00AF0E35" w:rsidRDefault="00A95210" w:rsidP="00A95210">
      <w:r w:rsidRPr="00AF0E35">
        <w:t>2</w:t>
      </w:r>
      <w:r w:rsidRPr="00AF0E35">
        <w:tab/>
        <w:t>instar a las administraciones a que tengan en cuenta las necesidades de radiofrecuencias de la meteorología espacial y, en particular, la protección de las bandas de frecuencias correspondientes;</w:t>
      </w:r>
    </w:p>
    <w:p w14:paraId="6DE10EA8" w14:textId="2EB6D1A6" w:rsidR="007E004E" w:rsidRDefault="00A95210" w:rsidP="007E004E">
      <w:r w:rsidRPr="00AF0E35">
        <w:t>3</w:t>
      </w:r>
      <w:r w:rsidRPr="00AF0E35">
        <w:tab/>
        <w:t>alentar a las administraciones a considerar la importancia de la utilización y la disponibilidad de espectro para las aplicaciones meteorológicas espaciales antes de tomar decisiones que pudiesen menoscabar su funcionamiento.</w:t>
      </w:r>
    </w:p>
    <w:p w14:paraId="6560C7E7" w14:textId="77777777" w:rsidR="007E004E" w:rsidRDefault="007E004E" w:rsidP="00411C49">
      <w:pPr>
        <w:pStyle w:val="Reasons"/>
      </w:pPr>
    </w:p>
    <w:p w14:paraId="4CE1D198" w14:textId="77777777" w:rsidR="007E004E" w:rsidRDefault="007E004E">
      <w:pPr>
        <w:jc w:val="center"/>
      </w:pPr>
      <w:r>
        <w:t>______________</w:t>
      </w:r>
    </w:p>
    <w:sectPr w:rsidR="007E004E">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2B15" w14:textId="77777777" w:rsidR="00666B37" w:rsidRDefault="00666B37">
      <w:r>
        <w:separator/>
      </w:r>
    </w:p>
  </w:endnote>
  <w:endnote w:type="continuationSeparator" w:id="0">
    <w:p w14:paraId="2672101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16D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8F45C" w14:textId="4143AFC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C45E4">
      <w:rPr>
        <w:noProof/>
      </w:rPr>
      <w:t>23.10.23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3A3" w14:textId="5552C905" w:rsidR="0077084A" w:rsidRDefault="00622A7B" w:rsidP="00B86034">
    <w:pPr>
      <w:pStyle w:val="Footer"/>
      <w:ind w:right="360"/>
      <w:rPr>
        <w:lang w:val="en-US"/>
      </w:rPr>
    </w:pPr>
    <w:r>
      <w:fldChar w:fldCharType="begin"/>
    </w:r>
    <w:r>
      <w:rPr>
        <w:lang w:val="en-US"/>
      </w:rPr>
      <w:instrText xml:space="preserve"> FILENAME \p  \* MERGEFORMAT </w:instrText>
    </w:r>
    <w:r>
      <w:fldChar w:fldCharType="separate"/>
    </w:r>
    <w:r w:rsidR="00804EB3">
      <w:rPr>
        <w:lang w:val="en-US"/>
      </w:rPr>
      <w:t>P:\ESP\ITU-R\CONF-R\CMR23\000\065ADD24ADD01S.docx</w:t>
    </w:r>
    <w:r>
      <w:fldChar w:fldCharType="end"/>
    </w:r>
    <w:r w:rsidRPr="00622A7B">
      <w:rPr>
        <w:lang w:val="en-US"/>
      </w:rPr>
      <w:t xml:space="preserve"> </w:t>
    </w:r>
    <w:r>
      <w:rPr>
        <w:lang w:val="en-US"/>
      </w:rPr>
      <w:t>(528860)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148960174"/>
  <w:p w14:paraId="75A2318C" w14:textId="4AE4E140" w:rsidR="0077084A" w:rsidRPr="00622A7B" w:rsidRDefault="0077084A" w:rsidP="00B47331">
    <w:pPr>
      <w:pStyle w:val="Footer"/>
      <w:rPr>
        <w:lang w:val="en-US"/>
      </w:rPr>
    </w:pPr>
    <w:r>
      <w:fldChar w:fldCharType="begin"/>
    </w:r>
    <w:r>
      <w:rPr>
        <w:lang w:val="en-US"/>
      </w:rPr>
      <w:instrText xml:space="preserve"> FILENAME \p  \* MERGEFORMAT </w:instrText>
    </w:r>
    <w:r>
      <w:fldChar w:fldCharType="separate"/>
    </w:r>
    <w:r w:rsidR="000C45E4">
      <w:rPr>
        <w:lang w:val="en-US"/>
      </w:rPr>
      <w:t>P:\ESP\ITU-R\CONF-R\CMR23\000\065ADD24ADD01S.docx</w:t>
    </w:r>
    <w:r>
      <w:fldChar w:fldCharType="end"/>
    </w:r>
    <w:bookmarkEnd w:id="18"/>
    <w:r w:rsidR="00622A7B" w:rsidRPr="00622A7B">
      <w:rPr>
        <w:lang w:val="en-US"/>
      </w:rPr>
      <w:t xml:space="preserve"> </w:t>
    </w:r>
    <w:r w:rsidR="00622A7B">
      <w:rPr>
        <w:lang w:val="en-US"/>
      </w:rPr>
      <w:t>(528860)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A6BB" w14:textId="77777777" w:rsidR="00666B37" w:rsidRDefault="00666B37">
      <w:r>
        <w:rPr>
          <w:b/>
        </w:rPr>
        <w:t>_______________</w:t>
      </w:r>
    </w:p>
  </w:footnote>
  <w:footnote w:type="continuationSeparator" w:id="0">
    <w:p w14:paraId="23B09744"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0AD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6019ED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65(Add.24)(Add.1)-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9272287">
    <w:abstractNumId w:val="8"/>
  </w:num>
  <w:num w:numId="2" w16cid:durableId="11801216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5862348">
    <w:abstractNumId w:val="9"/>
  </w:num>
  <w:num w:numId="4" w16cid:durableId="2054496280">
    <w:abstractNumId w:val="7"/>
  </w:num>
  <w:num w:numId="5" w16cid:durableId="1370687604">
    <w:abstractNumId w:val="6"/>
  </w:num>
  <w:num w:numId="6" w16cid:durableId="896430672">
    <w:abstractNumId w:val="5"/>
  </w:num>
  <w:num w:numId="7" w16cid:durableId="800882556">
    <w:abstractNumId w:val="4"/>
  </w:num>
  <w:num w:numId="8" w16cid:durableId="2037584213">
    <w:abstractNumId w:val="3"/>
  </w:num>
  <w:num w:numId="9" w16cid:durableId="1140029967">
    <w:abstractNumId w:val="2"/>
  </w:num>
  <w:num w:numId="10" w16cid:durableId="1062174236">
    <w:abstractNumId w:val="1"/>
  </w:num>
  <w:num w:numId="11" w16cid:durableId="93147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45E4"/>
    <w:rsid w:val="000E5BF9"/>
    <w:rsid w:val="000F0E6D"/>
    <w:rsid w:val="000F4D7E"/>
    <w:rsid w:val="00121170"/>
    <w:rsid w:val="001213E9"/>
    <w:rsid w:val="00123CC5"/>
    <w:rsid w:val="0015142D"/>
    <w:rsid w:val="001616DC"/>
    <w:rsid w:val="00163962"/>
    <w:rsid w:val="00185BEA"/>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56520"/>
    <w:rsid w:val="00363A65"/>
    <w:rsid w:val="003B1E8C"/>
    <w:rsid w:val="003C0613"/>
    <w:rsid w:val="003C2508"/>
    <w:rsid w:val="003D0AA3"/>
    <w:rsid w:val="003E2086"/>
    <w:rsid w:val="003F7F66"/>
    <w:rsid w:val="004032D9"/>
    <w:rsid w:val="004405AC"/>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2A7B"/>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6088"/>
    <w:rsid w:val="007952C7"/>
    <w:rsid w:val="007C0B95"/>
    <w:rsid w:val="007C2317"/>
    <w:rsid w:val="007D330A"/>
    <w:rsid w:val="007E004E"/>
    <w:rsid w:val="0080079E"/>
    <w:rsid w:val="00804EB3"/>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95210"/>
    <w:rsid w:val="00AA5E6C"/>
    <w:rsid w:val="00AC49B1"/>
    <w:rsid w:val="00AE24AD"/>
    <w:rsid w:val="00AE5677"/>
    <w:rsid w:val="00AE658F"/>
    <w:rsid w:val="00AF0E35"/>
    <w:rsid w:val="00AF2F78"/>
    <w:rsid w:val="00B239FA"/>
    <w:rsid w:val="00B372AB"/>
    <w:rsid w:val="00B47331"/>
    <w:rsid w:val="00B52D55"/>
    <w:rsid w:val="00B8288C"/>
    <w:rsid w:val="00B86034"/>
    <w:rsid w:val="00BE2E80"/>
    <w:rsid w:val="00BE5EDD"/>
    <w:rsid w:val="00BE6A1F"/>
    <w:rsid w:val="00C126C4"/>
    <w:rsid w:val="00C343D2"/>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12A3F"/>
    <w:rsid w:val="00E262F1"/>
    <w:rsid w:val="00E3176A"/>
    <w:rsid w:val="00E36CE4"/>
    <w:rsid w:val="00E54754"/>
    <w:rsid w:val="00E56BD3"/>
    <w:rsid w:val="00E71D14"/>
    <w:rsid w:val="00EA77F0"/>
    <w:rsid w:val="00F32316"/>
    <w:rsid w:val="00F66597"/>
    <w:rsid w:val="00F675D0"/>
    <w:rsid w:val="00F8150C"/>
    <w:rsid w:val="00FB1B09"/>
    <w:rsid w:val="00FD005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C99FD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A95210"/>
    <w:rPr>
      <w:rFonts w:ascii="Times New Roman" w:hAnsi="Times New Roman"/>
      <w:sz w:val="24"/>
      <w:lang w:val="es-ES_tradnl" w:eastAsia="en-US"/>
    </w:rPr>
  </w:style>
  <w:style w:type="character" w:customStyle="1" w:styleId="enumlev1Char">
    <w:name w:val="enumlev1 Char"/>
    <w:basedOn w:val="DefaultParagraphFont"/>
    <w:link w:val="enumlev1"/>
    <w:qFormat/>
    <w:rsid w:val="00A95210"/>
    <w:rPr>
      <w:rFonts w:ascii="Times New Roman" w:hAnsi="Times New Roman"/>
      <w:sz w:val="24"/>
      <w:lang w:val="es-ES_tradnl" w:eastAsia="en-US"/>
    </w:rPr>
  </w:style>
  <w:style w:type="character" w:styleId="SubtleEmphasis">
    <w:name w:val="Subtle Emphasis"/>
    <w:basedOn w:val="DefaultParagraphFont"/>
    <w:uiPriority w:val="19"/>
    <w:qFormat/>
    <w:rsid w:val="00A95210"/>
    <w:rPr>
      <w:i/>
      <w:iCs/>
      <w:color w:val="404040" w:themeColor="text1" w:themeTint="BF"/>
    </w:rPr>
  </w:style>
  <w:style w:type="paragraph" w:styleId="Revision">
    <w:name w:val="Revision"/>
    <w:hidden/>
    <w:uiPriority w:val="99"/>
    <w:semiHidden/>
    <w:rsid w:val="00A95210"/>
    <w:rPr>
      <w:rFonts w:ascii="Times New Roman" w:hAnsi="Times New Roman"/>
      <w:sz w:val="24"/>
      <w:lang w:val="es-ES_tradnl" w:eastAsia="en-US"/>
    </w:rPr>
  </w:style>
  <w:style w:type="paragraph" w:customStyle="1" w:styleId="NormalExpandedby0">
    <w:name w:val="Normal + Expanded by  0"/>
    <w:aliases w:val="1 pt"/>
    <w:basedOn w:val="Normal"/>
    <w:rsid w:val="007E004E"/>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R23-WRC23-C-0065!A24-A1!MSW-S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16B2D41A-9A4D-4D07-8B00-A2DDD6C52C49}">
  <ds:schemaRefs>
    <ds:schemaRef ds:uri="http://schemas.microsoft.com/sharepoint/events"/>
  </ds:schemaRefs>
</ds:datastoreItem>
</file>

<file path=customXml/itemProps3.xml><?xml version="1.0" encoding="utf-8"?>
<ds:datastoreItem xmlns:ds="http://schemas.openxmlformats.org/officeDocument/2006/customXml" ds:itemID="{B6FCC766-D25D-4D72-9034-80FAE1A7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2F6B6-ACB6-43BF-BA94-8EB04B1E812B}">
  <ds:schemaRefs>
    <ds:schemaRef ds:uri="http://schemas.microsoft.com/sharepoint/v3/contenttype/forms"/>
  </ds:schemaRefs>
</ds:datastoreItem>
</file>

<file path=customXml/itemProps5.xml><?xml version="1.0" encoding="utf-8"?>
<ds:datastoreItem xmlns:ds="http://schemas.openxmlformats.org/officeDocument/2006/customXml" ds:itemID="{34663663-29AA-41C9-B97D-32C7FBD243E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1868</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R23-WRC23-C-0065!A24-A1!MSW-S</vt:lpstr>
    </vt:vector>
  </TitlesOfParts>
  <Manager>Secretaría General - Pool</Manager>
  <Company>Unión Internacional de Telecomunicaciones (UIT)</Company>
  <LinksUpToDate>false</LinksUpToDate>
  <CharactersWithSpaces>13116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R23-WRC23-C-0065!A24-A1!MSW-S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2023-10-23T12:55:00Z</dcterms:created>
  <dcterms:modified xsi:type="dcterms:W3CDTF">2023-11-01T15:16:00Z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