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191A0C" w14:paraId="2547548B" w14:textId="77777777" w:rsidTr="0080079E">
        <w:trPr>
          <w:cantSplit/>
        </w:trPr>
        <w:tc>
          <w:tcPr>
            <w:tcW w:w="1418" w:type="dxa"/>
            <w:vAlign w:val="center"/>
          </w:tcPr>
          <w:p w14:paraId="14E87A80" w14:textId="77777777" w:rsidR="0080079E" w:rsidRPr="00191A0C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191A0C">
              <w:rPr>
                <w:noProof/>
              </w:rPr>
              <w:drawing>
                <wp:inline distT="0" distB="0" distL="0" distR="0" wp14:anchorId="3089CDA1" wp14:editId="31A257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5B03A92" w14:textId="77777777" w:rsidR="0080079E" w:rsidRPr="00191A0C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91A0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191A0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191A0C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4C3C41D" w14:textId="77777777" w:rsidR="0080079E" w:rsidRPr="00191A0C" w:rsidRDefault="0080079E" w:rsidP="0080079E">
            <w:pPr>
              <w:spacing w:before="0" w:line="240" w:lineRule="atLeast"/>
            </w:pPr>
            <w:r w:rsidRPr="00191A0C">
              <w:rPr>
                <w:noProof/>
              </w:rPr>
              <w:drawing>
                <wp:inline distT="0" distB="0" distL="0" distR="0" wp14:anchorId="3BF93FAF" wp14:editId="640D00D4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91A0C" w14:paraId="28BAAB3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C832154" w14:textId="77777777" w:rsidR="0090121B" w:rsidRPr="00191A0C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DA25C46" w14:textId="77777777" w:rsidR="0090121B" w:rsidRPr="00191A0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191A0C" w14:paraId="158F62DD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C474941" w14:textId="77777777" w:rsidR="0090121B" w:rsidRPr="00191A0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5D20825" w14:textId="77777777" w:rsidR="0090121B" w:rsidRPr="00191A0C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191A0C" w14:paraId="6CD2A24B" w14:textId="77777777" w:rsidTr="0090121B">
        <w:trPr>
          <w:cantSplit/>
        </w:trPr>
        <w:tc>
          <w:tcPr>
            <w:tcW w:w="6911" w:type="dxa"/>
            <w:gridSpan w:val="2"/>
          </w:tcPr>
          <w:p w14:paraId="38D06FA8" w14:textId="77777777" w:rsidR="0090121B" w:rsidRPr="00191A0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191A0C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F5862CA" w14:textId="77777777" w:rsidR="0090121B" w:rsidRPr="00191A0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191A0C">
              <w:rPr>
                <w:rFonts w:ascii="Verdana" w:hAnsi="Verdana"/>
                <w:b/>
                <w:sz w:val="18"/>
                <w:szCs w:val="18"/>
              </w:rPr>
              <w:t>Addéndum 23 al</w:t>
            </w:r>
            <w:r w:rsidRPr="00191A0C">
              <w:rPr>
                <w:rFonts w:ascii="Verdana" w:hAnsi="Verdana"/>
                <w:b/>
                <w:sz w:val="18"/>
                <w:szCs w:val="18"/>
              </w:rPr>
              <w:br/>
              <w:t>Documento 65</w:t>
            </w:r>
            <w:r w:rsidR="0090121B" w:rsidRPr="00191A0C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191A0C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191A0C" w14:paraId="7BC283AA" w14:textId="77777777" w:rsidTr="0090121B">
        <w:trPr>
          <w:cantSplit/>
        </w:trPr>
        <w:tc>
          <w:tcPr>
            <w:tcW w:w="6911" w:type="dxa"/>
            <w:gridSpan w:val="2"/>
          </w:tcPr>
          <w:p w14:paraId="67A8F8F3" w14:textId="77777777" w:rsidR="000A5B9A" w:rsidRPr="00191A0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58637D15" w14:textId="77777777" w:rsidR="000A5B9A" w:rsidRPr="00191A0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1A0C">
              <w:rPr>
                <w:rFonts w:ascii="Verdana" w:hAnsi="Verdana"/>
                <w:b/>
                <w:sz w:val="18"/>
                <w:szCs w:val="18"/>
              </w:rPr>
              <w:t>29 de septiembre de 2023</w:t>
            </w:r>
          </w:p>
        </w:tc>
      </w:tr>
      <w:tr w:rsidR="000A5B9A" w:rsidRPr="00191A0C" w14:paraId="0AB79F7F" w14:textId="77777777" w:rsidTr="0090121B">
        <w:trPr>
          <w:cantSplit/>
        </w:trPr>
        <w:tc>
          <w:tcPr>
            <w:tcW w:w="6911" w:type="dxa"/>
            <w:gridSpan w:val="2"/>
          </w:tcPr>
          <w:p w14:paraId="70420651" w14:textId="77777777" w:rsidR="000A5B9A" w:rsidRPr="00191A0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FF9517B" w14:textId="77777777" w:rsidR="000A5B9A" w:rsidRPr="00191A0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1A0C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191A0C" w14:paraId="4932653B" w14:textId="77777777" w:rsidTr="006744FC">
        <w:trPr>
          <w:cantSplit/>
        </w:trPr>
        <w:tc>
          <w:tcPr>
            <w:tcW w:w="10031" w:type="dxa"/>
            <w:gridSpan w:val="4"/>
          </w:tcPr>
          <w:p w14:paraId="416E8D60" w14:textId="77777777" w:rsidR="000A5B9A" w:rsidRPr="00191A0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191A0C" w14:paraId="3161149D" w14:textId="77777777" w:rsidTr="0050008E">
        <w:trPr>
          <w:cantSplit/>
        </w:trPr>
        <w:tc>
          <w:tcPr>
            <w:tcW w:w="10031" w:type="dxa"/>
            <w:gridSpan w:val="4"/>
          </w:tcPr>
          <w:p w14:paraId="2D625B9B" w14:textId="77777777" w:rsidR="000A5B9A" w:rsidRPr="00191A0C" w:rsidRDefault="000A5B9A" w:rsidP="000A5B9A">
            <w:pPr>
              <w:pStyle w:val="Source"/>
            </w:pPr>
            <w:bookmarkStart w:id="1" w:name="dsource" w:colFirst="0" w:colLast="0"/>
            <w:r w:rsidRPr="00191A0C">
              <w:t>Propuestas Comunes Europeas</w:t>
            </w:r>
          </w:p>
        </w:tc>
      </w:tr>
      <w:tr w:rsidR="000A5B9A" w:rsidRPr="00191A0C" w14:paraId="3809F4EC" w14:textId="77777777" w:rsidTr="0050008E">
        <w:trPr>
          <w:cantSplit/>
        </w:trPr>
        <w:tc>
          <w:tcPr>
            <w:tcW w:w="10031" w:type="dxa"/>
            <w:gridSpan w:val="4"/>
          </w:tcPr>
          <w:p w14:paraId="74609390" w14:textId="67193483" w:rsidR="000A5B9A" w:rsidRPr="00191A0C" w:rsidRDefault="00C90C0F" w:rsidP="000A5B9A">
            <w:pPr>
              <w:pStyle w:val="Title1"/>
            </w:pPr>
            <w:bookmarkStart w:id="2" w:name="dtitle1" w:colFirst="0" w:colLast="0"/>
            <w:bookmarkEnd w:id="1"/>
            <w:r w:rsidRPr="00191A0C">
              <w:t>Propuestas para los Trabajos de la Conferencia</w:t>
            </w:r>
          </w:p>
        </w:tc>
      </w:tr>
      <w:tr w:rsidR="000A5B9A" w:rsidRPr="00191A0C" w14:paraId="07A5F503" w14:textId="77777777" w:rsidTr="0050008E">
        <w:trPr>
          <w:cantSplit/>
        </w:trPr>
        <w:tc>
          <w:tcPr>
            <w:tcW w:w="10031" w:type="dxa"/>
            <w:gridSpan w:val="4"/>
          </w:tcPr>
          <w:p w14:paraId="7105D414" w14:textId="77777777" w:rsidR="000A5B9A" w:rsidRPr="00191A0C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191A0C" w14:paraId="3334C8F0" w14:textId="77777777" w:rsidTr="0050008E">
        <w:trPr>
          <w:cantSplit/>
        </w:trPr>
        <w:tc>
          <w:tcPr>
            <w:tcW w:w="10031" w:type="dxa"/>
            <w:gridSpan w:val="4"/>
          </w:tcPr>
          <w:p w14:paraId="04B51D61" w14:textId="77777777" w:rsidR="000A5B9A" w:rsidRPr="00191A0C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191A0C">
              <w:t>Punto 8 del orden del día</w:t>
            </w:r>
          </w:p>
        </w:tc>
      </w:tr>
    </w:tbl>
    <w:bookmarkEnd w:id="4"/>
    <w:p w14:paraId="0B0D6998" w14:textId="77777777" w:rsidR="00CA2965" w:rsidRPr="00191A0C" w:rsidRDefault="00AE612C" w:rsidP="0067368D">
      <w:r w:rsidRPr="00191A0C">
        <w:t>8</w:t>
      </w:r>
      <w:r w:rsidRPr="00191A0C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191A0C">
        <w:rPr>
          <w:b/>
          <w:bCs/>
        </w:rPr>
        <w:t>26 (Rev.CMR-19)</w:t>
      </w:r>
      <w:r w:rsidRPr="00191A0C">
        <w:t>, y adoptar las medidas oportunas al respecto;</w:t>
      </w:r>
    </w:p>
    <w:p w14:paraId="4B7583EF" w14:textId="139D670F" w:rsidR="00C90C0F" w:rsidRPr="00191A0C" w:rsidRDefault="00C90C0F" w:rsidP="00C90C0F">
      <w:pPr>
        <w:pStyle w:val="Headingb"/>
      </w:pPr>
      <w:r w:rsidRPr="00191A0C">
        <w:t>Introducción</w:t>
      </w:r>
    </w:p>
    <w:p w14:paraId="525E1CFA" w14:textId="1B573B01" w:rsidR="00C90C0F" w:rsidRPr="00191A0C" w:rsidRDefault="00C90C0F" w:rsidP="00C90C0F">
      <w:r w:rsidRPr="00191A0C">
        <w:t>El punto 8 del orden del día es un punto permanente del orden del día de la</w:t>
      </w:r>
      <w:r w:rsidR="006A6130" w:rsidRPr="00191A0C">
        <w:t xml:space="preserve"> Conferencia Mundial de Radiocomunicaciones</w:t>
      </w:r>
      <w:r w:rsidRPr="00191A0C">
        <w:t xml:space="preserve"> </w:t>
      </w:r>
      <w:r w:rsidR="006A6130" w:rsidRPr="00191A0C">
        <w:t>(</w:t>
      </w:r>
      <w:r w:rsidRPr="00191A0C">
        <w:t>CMR</w:t>
      </w:r>
      <w:r w:rsidR="006A6130" w:rsidRPr="00191A0C">
        <w:t>)</w:t>
      </w:r>
      <w:r w:rsidRPr="00191A0C">
        <w:t xml:space="preserve"> cuyo objetivo es la actualización del Cuadro de atribución de bandas de frecuencias e insta a las administraciones a examinar </w:t>
      </w:r>
      <w:r w:rsidR="006A6130" w:rsidRPr="00191A0C">
        <w:t>las notas</w:t>
      </w:r>
      <w:r w:rsidRPr="00191A0C">
        <w:t xml:space="preserve"> y proponer la supresión de las notas de sus países o que se suprima el nombre de sus países de las notas, según proceda.</w:t>
      </w:r>
    </w:p>
    <w:p w14:paraId="7F8A7384" w14:textId="7C7F586C" w:rsidR="00C90C0F" w:rsidRPr="00191A0C" w:rsidRDefault="00C90C0F" w:rsidP="00C90C0F">
      <w:r w:rsidRPr="00191A0C">
        <w:t xml:space="preserve">Las notas forman parte integrante del Cuadro de atribución de bandas de frecuencias (Artículo </w:t>
      </w:r>
      <w:r w:rsidRPr="00191A0C">
        <w:rPr>
          <w:b/>
          <w:bCs/>
        </w:rPr>
        <w:t>5</w:t>
      </w:r>
      <w:r w:rsidRPr="00191A0C">
        <w:t xml:space="preserve">) del Reglamento de Radiocomunicaciones de la UIT y es necesario que se mantengan actualizadas. De conformidad con la Resolución </w:t>
      </w:r>
      <w:r w:rsidRPr="00191A0C">
        <w:rPr>
          <w:b/>
          <w:bCs/>
        </w:rPr>
        <w:t>26 (Rev.CMR-</w:t>
      </w:r>
      <w:r w:rsidR="006A6130" w:rsidRPr="00191A0C">
        <w:rPr>
          <w:b/>
          <w:bCs/>
        </w:rPr>
        <w:t>19</w:t>
      </w:r>
      <w:r w:rsidRPr="00191A0C">
        <w:rPr>
          <w:b/>
          <w:bCs/>
        </w:rPr>
        <w:t>)</w:t>
      </w:r>
      <w:r w:rsidRPr="00191A0C">
        <w:t>, la CMR examina y adopta toda adición, modificación o supresión de notas.</w:t>
      </w:r>
    </w:p>
    <w:p w14:paraId="7D7E80D7" w14:textId="77777777" w:rsidR="00C90C0F" w:rsidRPr="00191A0C" w:rsidRDefault="00C90C0F" w:rsidP="00C90C0F">
      <w:r w:rsidRPr="00191A0C">
        <w:t>La CEPT está a favor de que las administraciones tomen la iniciativa de examinar sus notas y propongan la supresión del nombre de sus países o de las notas de sus países, cuando ya no sea necesario.</w:t>
      </w:r>
    </w:p>
    <w:p w14:paraId="7921BBE7" w14:textId="3AFAE181" w:rsidR="00C90C0F" w:rsidRPr="00191A0C" w:rsidRDefault="00C90C0F" w:rsidP="00C90C0F">
      <w:r w:rsidRPr="00191A0C">
        <w:t>El objetivo de este punto del orden del día es la armonización mundial de la utilización del espectro mediante la supresión de los</w:t>
      </w:r>
      <w:r w:rsidR="006E6AE0">
        <w:t xml:space="preserve"> </w:t>
      </w:r>
      <w:r w:rsidRPr="00191A0C">
        <w:t xml:space="preserve">países </w:t>
      </w:r>
      <w:r w:rsidR="006A6130" w:rsidRPr="00191A0C">
        <w:t xml:space="preserve">de </w:t>
      </w:r>
      <w:r w:rsidRPr="00191A0C">
        <w:t xml:space="preserve">las notas. Sin embargo, la redacción del punto 8 del orden del día contiene una referencia a la Resolución </w:t>
      </w:r>
      <w:r w:rsidRPr="00191A0C">
        <w:rPr>
          <w:b/>
          <w:bCs/>
        </w:rPr>
        <w:t>26 (Rev.CMR-</w:t>
      </w:r>
      <w:r w:rsidR="006A6130" w:rsidRPr="00191A0C">
        <w:rPr>
          <w:b/>
          <w:bCs/>
        </w:rPr>
        <w:t>19</w:t>
      </w:r>
      <w:r w:rsidRPr="00191A0C">
        <w:rPr>
          <w:b/>
          <w:bCs/>
        </w:rPr>
        <w:t>)</w:t>
      </w:r>
      <w:r w:rsidRPr="00191A0C">
        <w:t xml:space="preserve">, que abarca otros aspectos además de la supresión de los nombres de países de las notas, en particular posibles medidas como la adición de nuevas notas y la modificación de las existentes. Las últimas CMR consideraron en el marco de este punto del orden del día las propuestas de adición o modificación de notas, presentadas por las administraciones, pero que no se ajustaban a lo dispuesto en el </w:t>
      </w:r>
      <w:r w:rsidRPr="00191A0C">
        <w:rPr>
          <w:i/>
          <w:iCs/>
        </w:rPr>
        <w:t>resuelve además</w:t>
      </w:r>
      <w:r w:rsidRPr="00191A0C">
        <w:t xml:space="preserve"> 1</w:t>
      </w:r>
      <w:r w:rsidRPr="00191A0C">
        <w:rPr>
          <w:i/>
          <w:iCs/>
        </w:rPr>
        <w:t>a</w:t>
      </w:r>
      <w:r w:rsidR="001F119F" w:rsidRPr="00191A0C">
        <w:rPr>
          <w:i/>
          <w:iCs/>
        </w:rPr>
        <w:t>)</w:t>
      </w:r>
      <w:r w:rsidRPr="00191A0C">
        <w:t>, 1</w:t>
      </w:r>
      <w:r w:rsidRPr="00191A0C">
        <w:rPr>
          <w:i/>
          <w:iCs/>
        </w:rPr>
        <w:t>b</w:t>
      </w:r>
      <w:r w:rsidR="001F119F" w:rsidRPr="00191A0C">
        <w:rPr>
          <w:i/>
          <w:iCs/>
        </w:rPr>
        <w:t>)</w:t>
      </w:r>
      <w:r w:rsidRPr="00191A0C">
        <w:t xml:space="preserve"> y 1</w:t>
      </w:r>
      <w:r w:rsidRPr="00191A0C">
        <w:rPr>
          <w:i/>
          <w:iCs/>
        </w:rPr>
        <w:t>c</w:t>
      </w:r>
      <w:r w:rsidR="001F119F" w:rsidRPr="00191A0C">
        <w:rPr>
          <w:i/>
          <w:iCs/>
        </w:rPr>
        <w:t>)</w:t>
      </w:r>
      <w:r w:rsidRPr="00191A0C">
        <w:t xml:space="preserve"> de la Resolución </w:t>
      </w:r>
      <w:r w:rsidRPr="00191A0C">
        <w:rPr>
          <w:b/>
          <w:bCs/>
        </w:rPr>
        <w:t>26 (Rev.CMR-</w:t>
      </w:r>
      <w:r w:rsidR="001F119F" w:rsidRPr="00191A0C">
        <w:rPr>
          <w:b/>
          <w:bCs/>
        </w:rPr>
        <w:t>19</w:t>
      </w:r>
      <w:r w:rsidRPr="00191A0C">
        <w:rPr>
          <w:b/>
          <w:bCs/>
        </w:rPr>
        <w:t>)</w:t>
      </w:r>
      <w:r w:rsidRPr="00191A0C">
        <w:t>, en virtud de los siguientes principios:</w:t>
      </w:r>
    </w:p>
    <w:p w14:paraId="1E327A3E" w14:textId="4F60D741" w:rsidR="00C90C0F" w:rsidRPr="00191A0C" w:rsidRDefault="00C90C0F" w:rsidP="00C144CF">
      <w:pPr>
        <w:pStyle w:val="enumlev1"/>
      </w:pPr>
      <w:r w:rsidRPr="00191A0C">
        <w:t>–</w:t>
      </w:r>
      <w:r w:rsidRPr="00191A0C">
        <w:tab/>
        <w:t>No es intención de la CMR</w:t>
      </w:r>
      <w:r w:rsidR="00191A0C" w:rsidRPr="00191A0C">
        <w:t xml:space="preserve"> </w:t>
      </w:r>
      <w:r w:rsidRPr="00191A0C">
        <w:t xml:space="preserve">alentar la adición de nombres de países a las notas existentes. Sin embargo, en determinadas circunstancias a título meramente excepcional y si se justifica, las propuestas para añadir nombres de países a las notas existentes </w:t>
      </w:r>
      <w:r w:rsidRPr="00191A0C">
        <w:lastRenderedPageBreak/>
        <w:t>pueden considerarse, pero su aceptación está condicionada a que los países afectados no manifiesten objeción alguna.</w:t>
      </w:r>
    </w:p>
    <w:p w14:paraId="1188509A" w14:textId="77777777" w:rsidR="00C90C0F" w:rsidRPr="00191A0C" w:rsidRDefault="00C90C0F" w:rsidP="00C144CF">
      <w:pPr>
        <w:pStyle w:val="enumlev1"/>
      </w:pPr>
      <w:r w:rsidRPr="00191A0C">
        <w:t>–</w:t>
      </w:r>
      <w:r w:rsidRPr="00191A0C">
        <w:tab/>
        <w:t>No se tomarán en consideración las propuestas para añadir nuevas notas de países que no guarden relación con los puntos del orden del día de la Conferencia.</w:t>
      </w:r>
    </w:p>
    <w:p w14:paraId="3588E0A3" w14:textId="667899C4" w:rsidR="00C90C0F" w:rsidRPr="00191A0C" w:rsidRDefault="00C90C0F" w:rsidP="00C90C0F">
      <w:r w:rsidRPr="00191A0C">
        <w:t xml:space="preserve">La CEPT constata que </w:t>
      </w:r>
      <w:r w:rsidR="00127A64">
        <w:t>la</w:t>
      </w:r>
      <w:r w:rsidRPr="00191A0C">
        <w:t xml:space="preserve"> práctica </w:t>
      </w:r>
      <w:r w:rsidR="00127A64">
        <w:t xml:space="preserve">actual </w:t>
      </w:r>
      <w:r w:rsidRPr="00191A0C">
        <w:t>funciona. Da a las administraciones que tienen la necesidad la posibilidad de pedir a la Conferencia que se añada su nombre a una nota concreta, pero también garantiza que los países afectados puedan oponerse a la propuesta si hay riesgo de interferencia perjudicial. También hay que señalar que la posibilidad de añadir el nombre de un país a una nota puede, en algunos casos, aumentar la armonización regional o subregional de la utilización de las frecuencias.</w:t>
      </w:r>
    </w:p>
    <w:p w14:paraId="5F1EABFF" w14:textId="25057B3F" w:rsidR="00C90C0F" w:rsidRPr="00191A0C" w:rsidRDefault="00C90C0F" w:rsidP="00C90C0F">
      <w:r w:rsidRPr="00191A0C">
        <w:t>El procedimiento actual puede generar dificultades para las administraciones durante la CMR, pues los cambios propuestos exigen una evaluación inmediata de la compatibilidad y la determinación de las condiciones de compartición con los servicios existentes</w:t>
      </w:r>
      <w:r w:rsidR="001F119F" w:rsidRPr="00191A0C">
        <w:t xml:space="preserve"> </w:t>
      </w:r>
      <w:r w:rsidRPr="00191A0C">
        <w:t>a</w:t>
      </w:r>
      <w:r w:rsidR="001F119F" w:rsidRPr="00191A0C">
        <w:t xml:space="preserve"> fin de lograr</w:t>
      </w:r>
      <w:r w:rsidRPr="00191A0C">
        <w:t xml:space="preserve"> un acuerdo al respecto con las administraciones concernidas. En ocasiones, por falta de conocimientos o por escasez de tiempo, no es posible llegar a tal acuerdo durante la Conferencia.</w:t>
      </w:r>
    </w:p>
    <w:p w14:paraId="36B94D39" w14:textId="293C1690" w:rsidR="00C90C0F" w:rsidRPr="00191A0C" w:rsidRDefault="00C90C0F" w:rsidP="00C90C0F">
      <w:r w:rsidRPr="00191A0C">
        <w:t xml:space="preserve">A fin de que las administraciones concernidas tengan tiempo suficiente antes de la Conferencia para examinar las posibles consecuencias de las propuestas presentadas en el marco del punto 8 del orden del día y para facilitar la </w:t>
      </w:r>
      <w:r w:rsidR="001F119F" w:rsidRPr="00191A0C">
        <w:t xml:space="preserve">consecución </w:t>
      </w:r>
      <w:r w:rsidRPr="00191A0C">
        <w:t xml:space="preserve">de un acuerdo durante la Conferencia, es muy conveniente </w:t>
      </w:r>
      <w:r w:rsidR="00127A64">
        <w:t>informar</w:t>
      </w:r>
      <w:r w:rsidR="001F119F" w:rsidRPr="00191A0C">
        <w:t xml:space="preserve"> con antelación</w:t>
      </w:r>
      <w:r w:rsidRPr="00191A0C">
        <w:t xml:space="preserve"> a nivel regional e interregional</w:t>
      </w:r>
      <w:r w:rsidR="00127A64">
        <w:t xml:space="preserve"> de</w:t>
      </w:r>
      <w:r w:rsidRPr="00191A0C">
        <w:t xml:space="preserve"> las propuestas de modificación de notas que se van a presentar. Esto suele hacerse cuando las administraciones participan en los preparativos de la CMR que llevan a cabo las correspondientes organizaciones regionales de telecomunicaciones y gracias a la interacción entre grupos regionales antes de la Conferencia.</w:t>
      </w:r>
    </w:p>
    <w:p w14:paraId="7DD459A5" w14:textId="77777777" w:rsidR="00C90C0F" w:rsidRPr="00191A0C" w:rsidRDefault="00C90C0F" w:rsidP="00C90C0F">
      <w:r w:rsidRPr="00191A0C">
        <w:t>La CEPT considera:</w:t>
      </w:r>
    </w:p>
    <w:p w14:paraId="56801C41" w14:textId="1E7D7E3E" w:rsidR="00C90C0F" w:rsidRPr="00191A0C" w:rsidRDefault="00C90C0F" w:rsidP="00C144CF">
      <w:pPr>
        <w:pStyle w:val="enumlev1"/>
      </w:pPr>
      <w:r w:rsidRPr="00191A0C">
        <w:t>–</w:t>
      </w:r>
      <w:r w:rsidRPr="00191A0C">
        <w:tab/>
        <w:t xml:space="preserve">que no es necesario modificar la Resolución </w:t>
      </w:r>
      <w:r w:rsidRPr="00191A0C">
        <w:rPr>
          <w:b/>
          <w:bCs/>
        </w:rPr>
        <w:t>26 (Rev.CMR-</w:t>
      </w:r>
      <w:r w:rsidR="00191A0C" w:rsidRPr="00191A0C">
        <w:rPr>
          <w:b/>
          <w:bCs/>
        </w:rPr>
        <w:t>19</w:t>
      </w:r>
      <w:r w:rsidRPr="00191A0C">
        <w:rPr>
          <w:b/>
          <w:bCs/>
        </w:rPr>
        <w:t>)</w:t>
      </w:r>
      <w:r w:rsidRPr="00191A0C">
        <w:t>;</w:t>
      </w:r>
    </w:p>
    <w:p w14:paraId="0BC8D9A2" w14:textId="77777777" w:rsidR="00C90C0F" w:rsidRPr="00191A0C" w:rsidRDefault="00C90C0F" w:rsidP="00C144CF">
      <w:pPr>
        <w:pStyle w:val="enumlev1"/>
      </w:pPr>
      <w:r w:rsidRPr="00191A0C">
        <w:t>–</w:t>
      </w:r>
      <w:r w:rsidRPr="00191A0C">
        <w:tab/>
        <w:t>que el objetivo del punto 8 del orden del día no es añadir nombres de países en las notas ni añadir nuevas notas de países;</w:t>
      </w:r>
    </w:p>
    <w:p w14:paraId="3351E488" w14:textId="77777777" w:rsidR="00C90C0F" w:rsidRPr="00191A0C" w:rsidRDefault="00C90C0F" w:rsidP="00C144CF">
      <w:pPr>
        <w:pStyle w:val="enumlev1"/>
      </w:pPr>
      <w:r w:rsidRPr="00191A0C">
        <w:t>–</w:t>
      </w:r>
      <w:r w:rsidRPr="00191A0C">
        <w:tab/>
        <w:t>que esta Conferencia puede seguir examinando las solicitudes de adición de nombres de países a las notas existentes de manera individual, ajustándose al principio de que las propuestas de adición de nombres de países a las notas existentes pueden considerarse, pero su aceptación está condicionada a que los países afectados no manifiesten objeción alguna;</w:t>
      </w:r>
    </w:p>
    <w:p w14:paraId="67B91696" w14:textId="77777777" w:rsidR="00C90C0F" w:rsidRPr="00191A0C" w:rsidRDefault="00C90C0F" w:rsidP="00C144CF">
      <w:pPr>
        <w:pStyle w:val="enumlev1"/>
      </w:pPr>
      <w:r w:rsidRPr="00191A0C">
        <w:t>–</w:t>
      </w:r>
      <w:r w:rsidRPr="00191A0C">
        <w:tab/>
        <w:t>que no deben tomarse en consideración las propuestas para añadir nuevas notas de países que no guarden relación con los puntos del orden del día de la presente Conferencia.</w:t>
      </w:r>
    </w:p>
    <w:p w14:paraId="1C98ADDC" w14:textId="47568C02" w:rsidR="00363A65" w:rsidRPr="00191A0C" w:rsidRDefault="00C90C0F" w:rsidP="00C90C0F">
      <w:r w:rsidRPr="00191A0C">
        <w:t>La propuesta se basa en la postura de la CEPT expuesta.</w:t>
      </w:r>
    </w:p>
    <w:p w14:paraId="403ED671" w14:textId="56A92474" w:rsidR="00191A0C" w:rsidRPr="00191A0C" w:rsidRDefault="00191A0C" w:rsidP="00191A0C">
      <w:pPr>
        <w:pStyle w:val="Headingb"/>
      </w:pPr>
      <w:r w:rsidRPr="00191A0C">
        <w:t>Propuestas</w:t>
      </w:r>
    </w:p>
    <w:p w14:paraId="285288E5" w14:textId="77777777" w:rsidR="008750A8" w:rsidRPr="00191A0C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91A0C">
        <w:br w:type="page"/>
      </w:r>
    </w:p>
    <w:p w14:paraId="015A86F9" w14:textId="77777777" w:rsidR="00331AFC" w:rsidRPr="00191A0C" w:rsidRDefault="00AE612C">
      <w:pPr>
        <w:pStyle w:val="Proposal"/>
      </w:pPr>
      <w:r w:rsidRPr="00191A0C">
        <w:rPr>
          <w:u w:val="single"/>
        </w:rPr>
        <w:lastRenderedPageBreak/>
        <w:t>NOC</w:t>
      </w:r>
      <w:r w:rsidRPr="00191A0C">
        <w:tab/>
        <w:t>EUR/65A23/1</w:t>
      </w:r>
    </w:p>
    <w:p w14:paraId="08F8A067" w14:textId="77777777" w:rsidR="00265C64" w:rsidRPr="00191A0C" w:rsidRDefault="00AE612C" w:rsidP="00C144CF">
      <w:pPr>
        <w:pStyle w:val="ResNo"/>
      </w:pPr>
      <w:bookmarkStart w:id="5" w:name="_Toc36190161"/>
      <w:bookmarkStart w:id="6" w:name="_Toc39734783"/>
      <w:r w:rsidRPr="00C144CF">
        <w:t>RESOLUCIÓN</w:t>
      </w:r>
      <w:r w:rsidRPr="00191A0C">
        <w:t xml:space="preserve"> </w:t>
      </w:r>
      <w:r w:rsidRPr="00191A0C">
        <w:rPr>
          <w:rStyle w:val="href"/>
          <w:caps w:val="0"/>
        </w:rPr>
        <w:t>26</w:t>
      </w:r>
      <w:r w:rsidRPr="00191A0C">
        <w:t xml:space="preserve"> (REV.CMR-19)</w:t>
      </w:r>
      <w:bookmarkEnd w:id="5"/>
      <w:bookmarkEnd w:id="6"/>
    </w:p>
    <w:p w14:paraId="452E4DC2" w14:textId="77777777" w:rsidR="00265C64" w:rsidRPr="00191A0C" w:rsidRDefault="00AE612C" w:rsidP="00265C64">
      <w:pPr>
        <w:pStyle w:val="Restitle"/>
      </w:pPr>
      <w:bookmarkStart w:id="7" w:name="_Toc328141232"/>
      <w:bookmarkStart w:id="8" w:name="_Toc36190162"/>
      <w:bookmarkStart w:id="9" w:name="_Toc39734784"/>
      <w:r w:rsidRPr="00191A0C">
        <w:t>Notas del Cuadro de atribución de bandas de frecuencias</w:t>
      </w:r>
      <w:r w:rsidRPr="00191A0C">
        <w:br/>
        <w:t>en el Artículo 5 del Reglamento de Radiocomunicaciones</w:t>
      </w:r>
      <w:bookmarkEnd w:id="7"/>
      <w:bookmarkEnd w:id="8"/>
      <w:bookmarkEnd w:id="9"/>
    </w:p>
    <w:p w14:paraId="28005A02" w14:textId="31B7BAAB" w:rsidR="00331AFC" w:rsidRPr="00191A0C" w:rsidRDefault="00AE612C">
      <w:pPr>
        <w:pStyle w:val="Reasons"/>
      </w:pPr>
      <w:r w:rsidRPr="00191A0C">
        <w:rPr>
          <w:b/>
        </w:rPr>
        <w:t>Motivos:</w:t>
      </w:r>
      <w:r w:rsidRPr="00191A0C">
        <w:tab/>
      </w:r>
      <w:r w:rsidR="00191A0C" w:rsidRPr="00191A0C">
        <w:t xml:space="preserve">En relación con la adición, modificación o supresión de notas del Cuadro de atribución de bandas de frecuencias, la CEPT constata que el procedimiento actual funciona, por lo que no es necesario modificar la Resolución </w:t>
      </w:r>
      <w:r w:rsidR="00191A0C" w:rsidRPr="00191A0C">
        <w:rPr>
          <w:b/>
          <w:bCs/>
        </w:rPr>
        <w:t>26 (Rev.CMR-19)</w:t>
      </w:r>
      <w:r w:rsidR="00191A0C" w:rsidRPr="00191A0C">
        <w:t>.</w:t>
      </w:r>
    </w:p>
    <w:p w14:paraId="21E2ABF9" w14:textId="77777777" w:rsidR="00191A0C" w:rsidRPr="00191A0C" w:rsidRDefault="00191A0C" w:rsidP="00191A0C">
      <w:pPr>
        <w:jc w:val="center"/>
      </w:pPr>
      <w:r w:rsidRPr="00191A0C">
        <w:t>_______________</w:t>
      </w:r>
    </w:p>
    <w:sectPr w:rsidR="00191A0C" w:rsidRPr="00191A0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4122" w14:textId="77777777" w:rsidR="00666B37" w:rsidRDefault="00666B37">
      <w:r>
        <w:separator/>
      </w:r>
    </w:p>
  </w:endnote>
  <w:endnote w:type="continuationSeparator" w:id="0">
    <w:p w14:paraId="7F8DFE69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321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619852" w14:textId="6FEA794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3F50">
      <w:rPr>
        <w:noProof/>
      </w:rPr>
      <w:t>09.11.23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DCC8" w14:textId="4762BBAE" w:rsidR="0077084A" w:rsidRPr="00AE612C" w:rsidRDefault="00AE612C" w:rsidP="00AE612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144CF">
      <w:rPr>
        <w:lang w:val="en-US"/>
      </w:rPr>
      <w:t>P:\ESP\ITU-R\CONF-R\CMR23\000\065ADD23S.docx</w:t>
    </w:r>
    <w:r>
      <w:fldChar w:fldCharType="end"/>
    </w:r>
    <w:r w:rsidRPr="00AE612C">
      <w:rPr>
        <w:lang w:val="en-US"/>
      </w:rPr>
      <w:t xml:space="preserve"> </w:t>
    </w:r>
    <w:r>
      <w:rPr>
        <w:lang w:val="en-US"/>
      </w:rPr>
      <w:t>(530559)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6046" w14:textId="163F0187" w:rsidR="0077084A" w:rsidRPr="00AE612C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144CF">
      <w:rPr>
        <w:lang w:val="en-US"/>
      </w:rPr>
      <w:t>P:\ESP\ITU-R\CONF-R\CMR23\000\065ADD23S.docx</w:t>
    </w:r>
    <w:r>
      <w:fldChar w:fldCharType="end"/>
    </w:r>
    <w:r w:rsidR="00AE612C" w:rsidRPr="00AE612C">
      <w:rPr>
        <w:lang w:val="en-US"/>
      </w:rPr>
      <w:t xml:space="preserve"> </w:t>
    </w:r>
    <w:r w:rsidR="00AE612C">
      <w:rPr>
        <w:lang w:val="en-US"/>
      </w:rPr>
      <w:t>(530559)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A034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6BE67DB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9CAB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B20DE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65(Add.23)-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983552">
    <w:abstractNumId w:val="8"/>
  </w:num>
  <w:num w:numId="2" w16cid:durableId="8882969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50610499">
    <w:abstractNumId w:val="9"/>
  </w:num>
  <w:num w:numId="4" w16cid:durableId="1940093505">
    <w:abstractNumId w:val="7"/>
  </w:num>
  <w:num w:numId="5" w16cid:durableId="505173145">
    <w:abstractNumId w:val="6"/>
  </w:num>
  <w:num w:numId="6" w16cid:durableId="1404063697">
    <w:abstractNumId w:val="5"/>
  </w:num>
  <w:num w:numId="7" w16cid:durableId="417824063">
    <w:abstractNumId w:val="4"/>
  </w:num>
  <w:num w:numId="8" w16cid:durableId="1803569884">
    <w:abstractNumId w:val="3"/>
  </w:num>
  <w:num w:numId="9" w16cid:durableId="95908507">
    <w:abstractNumId w:val="2"/>
  </w:num>
  <w:num w:numId="10" w16cid:durableId="1958677792">
    <w:abstractNumId w:val="1"/>
  </w:num>
  <w:num w:numId="11" w16cid:durableId="172926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27A64"/>
    <w:rsid w:val="0015142D"/>
    <w:rsid w:val="00153F50"/>
    <w:rsid w:val="001616DC"/>
    <w:rsid w:val="00163962"/>
    <w:rsid w:val="00191A0C"/>
    <w:rsid w:val="00191A97"/>
    <w:rsid w:val="0019729C"/>
    <w:rsid w:val="001A083F"/>
    <w:rsid w:val="001C41FA"/>
    <w:rsid w:val="001E2B52"/>
    <w:rsid w:val="001E3F27"/>
    <w:rsid w:val="001E7D42"/>
    <w:rsid w:val="001F119F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31AFC"/>
    <w:rsid w:val="00350DF3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A67E2"/>
    <w:rsid w:val="004B124A"/>
    <w:rsid w:val="004B3095"/>
    <w:rsid w:val="004D2749"/>
    <w:rsid w:val="004D2C7C"/>
    <w:rsid w:val="0050314F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A6130"/>
    <w:rsid w:val="006C0E38"/>
    <w:rsid w:val="006D6E67"/>
    <w:rsid w:val="006E1A13"/>
    <w:rsid w:val="006E6AE0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12C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144CF"/>
    <w:rsid w:val="00C44E9E"/>
    <w:rsid w:val="00C63EB5"/>
    <w:rsid w:val="00C87DA7"/>
    <w:rsid w:val="00C90C0F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BE4FB1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613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67176-53EE-494D-B1E2-5CB6D7F7CD2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95B691-F50B-492A-A93A-CD9DEAFC4C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0AF74-F6EE-43B1-975A-276DEADD71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9CCC72-46D3-4A2B-BFF6-5D988F2BC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R23-WRC23-C-0065!A23!MSW-S</vt:lpstr>
    </vt:vector>
  </TitlesOfParts>
  <Manager>Secretaría General - Pool</Manager>
  <Company>Unión Internacional de Telecomunicaciones (UIT)</Company>
  <LinksUpToDate>false</LinksUpToDate>
  <CharactersWithSpaces>5634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R23-WRC23-C-0065!A23!MSW-S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5</cp:revision>
  <cp:lastPrinted>2003-02-19T20:20:00Z</cp:lastPrinted>
  <dcterms:created xsi:type="dcterms:W3CDTF">2023-11-09T15:24:00Z</dcterms:created>
  <dcterms:modified xsi:type="dcterms:W3CDTF">2023-11-09T15:27:00Z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