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29033A" w14:paraId="2DA2EE23" w14:textId="77777777" w:rsidTr="0080079E">
        <w:trPr>
          <w:cantSplit/>
        </w:trPr>
        <w:tc>
          <w:tcPr>
            <w:tcW w:w="1418" w:type="dxa"/>
            <w:vAlign w:val="center"/>
          </w:tcPr>
          <w:p w14:paraId="5DB961BC" w14:textId="77777777" w:rsidR="0080079E" w:rsidRPr="0029033A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29033A">
              <w:drawing>
                <wp:inline distT="0" distB="0" distL="0" distR="0" wp14:anchorId="0FCBF40C" wp14:editId="1E5E1F9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BE7434A" w14:textId="77777777" w:rsidR="0080079E" w:rsidRPr="0029033A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9033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29033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29033A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20D2720" w14:textId="77777777" w:rsidR="0080079E" w:rsidRPr="0029033A" w:rsidRDefault="0080079E" w:rsidP="0080079E">
            <w:pPr>
              <w:spacing w:before="0" w:line="240" w:lineRule="atLeast"/>
            </w:pPr>
            <w:r w:rsidRPr="0029033A">
              <w:drawing>
                <wp:inline distT="0" distB="0" distL="0" distR="0" wp14:anchorId="1BEDC1CA" wp14:editId="0B301A22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9033A" w14:paraId="6D59563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E9683B0" w14:textId="77777777" w:rsidR="0090121B" w:rsidRPr="0029033A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F46E202" w14:textId="77777777" w:rsidR="0090121B" w:rsidRPr="0029033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29033A" w14:paraId="700930E6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74D86FA" w14:textId="77777777" w:rsidR="0090121B" w:rsidRPr="0029033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43FD633" w14:textId="77777777" w:rsidR="0090121B" w:rsidRPr="0029033A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29033A" w14:paraId="6E65CA48" w14:textId="77777777" w:rsidTr="0090121B">
        <w:trPr>
          <w:cantSplit/>
        </w:trPr>
        <w:tc>
          <w:tcPr>
            <w:tcW w:w="6911" w:type="dxa"/>
            <w:gridSpan w:val="2"/>
          </w:tcPr>
          <w:p w14:paraId="2BA5E79C" w14:textId="77777777" w:rsidR="0090121B" w:rsidRPr="0029033A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29033A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16B30F7C" w14:textId="77777777" w:rsidR="0090121B" w:rsidRPr="0029033A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29033A">
              <w:rPr>
                <w:rFonts w:ascii="Verdana" w:hAnsi="Verdana"/>
                <w:b/>
                <w:sz w:val="18"/>
                <w:szCs w:val="18"/>
              </w:rPr>
              <w:t>Addéndum 8 al</w:t>
            </w:r>
            <w:r w:rsidRPr="0029033A">
              <w:rPr>
                <w:rFonts w:ascii="Verdana" w:hAnsi="Verdana"/>
                <w:b/>
                <w:sz w:val="18"/>
                <w:szCs w:val="18"/>
              </w:rPr>
              <w:br/>
              <w:t>Documento 65(Add.22)</w:t>
            </w:r>
            <w:r w:rsidR="0090121B" w:rsidRPr="0029033A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29033A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29033A" w14:paraId="59D92D08" w14:textId="77777777" w:rsidTr="0090121B">
        <w:trPr>
          <w:cantSplit/>
        </w:trPr>
        <w:tc>
          <w:tcPr>
            <w:tcW w:w="6911" w:type="dxa"/>
            <w:gridSpan w:val="2"/>
          </w:tcPr>
          <w:p w14:paraId="520E1BE0" w14:textId="77777777" w:rsidR="000A5B9A" w:rsidRPr="0029033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025033A0" w14:textId="77777777" w:rsidR="000A5B9A" w:rsidRPr="0029033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9033A">
              <w:rPr>
                <w:rFonts w:ascii="Verdana" w:hAnsi="Verdana"/>
                <w:b/>
                <w:sz w:val="18"/>
                <w:szCs w:val="18"/>
              </w:rPr>
              <w:t>4 de octubre de 2023</w:t>
            </w:r>
          </w:p>
        </w:tc>
      </w:tr>
      <w:tr w:rsidR="000A5B9A" w:rsidRPr="0029033A" w14:paraId="11C86681" w14:textId="77777777" w:rsidTr="0090121B">
        <w:trPr>
          <w:cantSplit/>
        </w:trPr>
        <w:tc>
          <w:tcPr>
            <w:tcW w:w="6911" w:type="dxa"/>
            <w:gridSpan w:val="2"/>
          </w:tcPr>
          <w:p w14:paraId="7BA176AE" w14:textId="77777777" w:rsidR="000A5B9A" w:rsidRPr="0029033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7C52DBD5" w14:textId="77777777" w:rsidR="000A5B9A" w:rsidRPr="0029033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9033A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29033A" w14:paraId="3B33D209" w14:textId="77777777" w:rsidTr="006744FC">
        <w:trPr>
          <w:cantSplit/>
        </w:trPr>
        <w:tc>
          <w:tcPr>
            <w:tcW w:w="10031" w:type="dxa"/>
            <w:gridSpan w:val="4"/>
          </w:tcPr>
          <w:p w14:paraId="50111A89" w14:textId="77777777" w:rsidR="000A5B9A" w:rsidRPr="0029033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29033A" w14:paraId="765D2EA7" w14:textId="77777777" w:rsidTr="0050008E">
        <w:trPr>
          <w:cantSplit/>
        </w:trPr>
        <w:tc>
          <w:tcPr>
            <w:tcW w:w="10031" w:type="dxa"/>
            <w:gridSpan w:val="4"/>
          </w:tcPr>
          <w:p w14:paraId="4E0D7C0F" w14:textId="77777777" w:rsidR="000A5B9A" w:rsidRPr="0029033A" w:rsidRDefault="000A5B9A" w:rsidP="000A5B9A">
            <w:pPr>
              <w:pStyle w:val="Source"/>
            </w:pPr>
            <w:bookmarkStart w:id="1" w:name="dsource" w:colFirst="0" w:colLast="0"/>
            <w:r w:rsidRPr="0029033A">
              <w:t>Propuestas Comunes Europeas</w:t>
            </w:r>
          </w:p>
        </w:tc>
      </w:tr>
      <w:tr w:rsidR="000A5B9A" w:rsidRPr="0029033A" w14:paraId="26162A63" w14:textId="77777777" w:rsidTr="0050008E">
        <w:trPr>
          <w:cantSplit/>
        </w:trPr>
        <w:tc>
          <w:tcPr>
            <w:tcW w:w="10031" w:type="dxa"/>
            <w:gridSpan w:val="4"/>
          </w:tcPr>
          <w:p w14:paraId="6FD3A963" w14:textId="423E2107" w:rsidR="000A5B9A" w:rsidRPr="0029033A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29033A">
              <w:t>Prop</w:t>
            </w:r>
            <w:r w:rsidR="00AD0834" w:rsidRPr="0029033A">
              <w:t>UESTAS PARA LOS TRABAJOS DE LA CONFERENCIA</w:t>
            </w:r>
          </w:p>
        </w:tc>
      </w:tr>
      <w:tr w:rsidR="000A5B9A" w:rsidRPr="0029033A" w14:paraId="2572F900" w14:textId="77777777" w:rsidTr="0050008E">
        <w:trPr>
          <w:cantSplit/>
        </w:trPr>
        <w:tc>
          <w:tcPr>
            <w:tcW w:w="10031" w:type="dxa"/>
            <w:gridSpan w:val="4"/>
          </w:tcPr>
          <w:p w14:paraId="3B64CF56" w14:textId="77777777" w:rsidR="000A5B9A" w:rsidRPr="0029033A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29033A" w14:paraId="63B8C759" w14:textId="77777777" w:rsidTr="0050008E">
        <w:trPr>
          <w:cantSplit/>
        </w:trPr>
        <w:tc>
          <w:tcPr>
            <w:tcW w:w="10031" w:type="dxa"/>
            <w:gridSpan w:val="4"/>
          </w:tcPr>
          <w:p w14:paraId="46C737E9" w14:textId="77777777" w:rsidR="000A5B9A" w:rsidRPr="0029033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29033A">
              <w:t>Punto 7(F) del orden del día</w:t>
            </w:r>
          </w:p>
        </w:tc>
      </w:tr>
    </w:tbl>
    <w:bookmarkEnd w:id="4"/>
    <w:p w14:paraId="42C49C24" w14:textId="77777777" w:rsidR="00D66C28" w:rsidRPr="0029033A" w:rsidRDefault="00D66C28" w:rsidP="00F3193C">
      <w:r w:rsidRPr="0029033A">
        <w:t>7</w:t>
      </w:r>
      <w:r w:rsidRPr="0029033A">
        <w:tab/>
        <w:t>considerar posibles modificaciones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29033A">
        <w:rPr>
          <w:b/>
          <w:bCs/>
        </w:rPr>
        <w:t>86 (Rev.CMR-07</w:t>
      </w:r>
      <w:r w:rsidRPr="0029033A">
        <w:rPr>
          <w:b/>
        </w:rPr>
        <w:t>)</w:t>
      </w:r>
      <w:r w:rsidRPr="0029033A">
        <w:rPr>
          <w:b/>
          <w:bCs/>
        </w:rPr>
        <w:t xml:space="preserve">, </w:t>
      </w:r>
      <w:r w:rsidRPr="0029033A">
        <w:t>para facilitar el uso</w:t>
      </w:r>
      <w:r w:rsidRPr="0029033A">
        <w:rPr>
          <w:b/>
          <w:bCs/>
        </w:rPr>
        <w:t xml:space="preserve"> </w:t>
      </w:r>
      <w:r w:rsidRPr="0029033A">
        <w:t>racional, eficiente y económico de las radiofrecuencias y órbitas asociadas, incluida la órbita de los satélites geoestacionarios;</w:t>
      </w:r>
    </w:p>
    <w:p w14:paraId="0BA6DFC2" w14:textId="77777777" w:rsidR="00D66C28" w:rsidRPr="0029033A" w:rsidRDefault="00D66C28" w:rsidP="000A30EB">
      <w:r w:rsidRPr="0029033A">
        <w:t xml:space="preserve">7(F) </w:t>
      </w:r>
      <w:r w:rsidRPr="0029033A">
        <w:tab/>
        <w:t xml:space="preserve">Tema F – Consecuencias de excluir las zonas de servicio y cobertura de los enlaces de conexión/enlaces ascendentes en las bandas sujetas al Apéndice </w:t>
      </w:r>
      <w:r w:rsidRPr="0029033A">
        <w:rPr>
          <w:b/>
          <w:bCs/>
        </w:rPr>
        <w:t>30A</w:t>
      </w:r>
      <w:r w:rsidRPr="0029033A">
        <w:t xml:space="preserve"> y al Apéndice </w:t>
      </w:r>
      <w:r w:rsidRPr="0029033A">
        <w:rPr>
          <w:b/>
          <w:bCs/>
        </w:rPr>
        <w:t>30B</w:t>
      </w:r>
      <w:r w:rsidRPr="0029033A">
        <w:t xml:space="preserve"> del RR</w:t>
      </w:r>
    </w:p>
    <w:p w14:paraId="008112EC" w14:textId="77777777" w:rsidR="00AD0834" w:rsidRPr="0029033A" w:rsidRDefault="00AD0834" w:rsidP="0029033A">
      <w:pPr>
        <w:pStyle w:val="Headingb"/>
      </w:pPr>
      <w:r w:rsidRPr="0029033A">
        <w:t>Introducción</w:t>
      </w:r>
    </w:p>
    <w:p w14:paraId="68BA17F0" w14:textId="32ABD129" w:rsidR="00AD0834" w:rsidRPr="0029033A" w:rsidRDefault="00AD0834" w:rsidP="0029033A">
      <w:r w:rsidRPr="0029033A">
        <w:t xml:space="preserve">Durante el procedimiento de coordinación en virtud de la Resolución </w:t>
      </w:r>
      <w:r w:rsidRPr="0029033A">
        <w:rPr>
          <w:b/>
          <w:bCs/>
        </w:rPr>
        <w:t>559 (CMR-19)</w:t>
      </w:r>
      <w:r w:rsidRPr="0029033A">
        <w:t xml:space="preserve"> algunas administraciones manifestaron inquietudes acerca de notificaciones con zona de cobertura de enlace ascendente mundial o notificaciones cuya zona de cobertura de enlace ascendente es mucho mayor a la zona de cobertura de enlace descendente. Tales notificaciones podrían, entre otras cosas y en determinadas circunstancias, por ejemplo, una pequeña separación orbital, obstaculizar el despliegue por una administración o un grupo de administraciones de sus sistemas nacionales o subregionales.</w:t>
      </w:r>
    </w:p>
    <w:p w14:paraId="1B415B45" w14:textId="7D987FF6" w:rsidR="00AD0834" w:rsidRPr="0029033A" w:rsidRDefault="00AD0834" w:rsidP="0029033A">
      <w:r w:rsidRPr="0029033A">
        <w:t xml:space="preserve">De acuerdo con las estadísticas sobre las actividades de coordinación de las notificaciones presentadas conforme a la Resolución </w:t>
      </w:r>
      <w:r w:rsidRPr="0029033A">
        <w:rPr>
          <w:b/>
          <w:bCs/>
        </w:rPr>
        <w:t>559 (CMR-19)</w:t>
      </w:r>
      <w:r w:rsidRPr="0029033A">
        <w:t xml:space="preserve"> de la BR, casi todas las solicitudes de coordinación en virtud del § 4.1.1</w:t>
      </w:r>
      <w:r w:rsidRPr="0029033A">
        <w:rPr>
          <w:i/>
          <w:iCs/>
        </w:rPr>
        <w:t>b)</w:t>
      </w:r>
      <w:r w:rsidRPr="0029033A">
        <w:t xml:space="preserve"> del Apéndice </w:t>
      </w:r>
      <w:r w:rsidRPr="0029033A">
        <w:rPr>
          <w:b/>
          <w:bCs/>
        </w:rPr>
        <w:t>30A</w:t>
      </w:r>
      <w:r w:rsidRPr="0029033A">
        <w:t xml:space="preserve"> del RR se han completado. Esta elevadísima tasa de compleción de la coordinación demuestra que puede no ser necesario elaborar un procedimiento reglamentario específico para este Tema.</w:t>
      </w:r>
    </w:p>
    <w:p w14:paraId="6E5A63F4" w14:textId="77777777" w:rsidR="00AD0834" w:rsidRPr="0029033A" w:rsidRDefault="00AD0834" w:rsidP="0029033A">
      <w:r w:rsidRPr="0029033A">
        <w:t>Por consiguiente, la CEPT está a favor de recurrir a la coordinación bilateral o a la concesión de licencias nacionales para solucionar los eventuales problemas que se encuentren de manera individual y de no modificar el Reglamento de Radiocomunicaciones.</w:t>
      </w:r>
    </w:p>
    <w:p w14:paraId="04D41A3E" w14:textId="77777777" w:rsidR="0029033A" w:rsidRDefault="00AD0834" w:rsidP="0029033A">
      <w:pPr>
        <w:pStyle w:val="Headingb"/>
      </w:pPr>
      <w:r w:rsidRPr="0029033A">
        <w:t>Propuestas</w:t>
      </w:r>
    </w:p>
    <w:p w14:paraId="64ABDCAD" w14:textId="0BD4FBFF" w:rsidR="008750A8" w:rsidRPr="0029033A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9033A">
        <w:br w:type="page"/>
      </w:r>
    </w:p>
    <w:p w14:paraId="303DBBFB" w14:textId="77777777" w:rsidR="004C5058" w:rsidRPr="0029033A" w:rsidRDefault="00D66C28">
      <w:pPr>
        <w:pStyle w:val="Proposal"/>
      </w:pPr>
      <w:r w:rsidRPr="0029033A">
        <w:rPr>
          <w:u w:val="single"/>
        </w:rPr>
        <w:lastRenderedPageBreak/>
        <w:t>NOC</w:t>
      </w:r>
      <w:r w:rsidRPr="0029033A">
        <w:tab/>
        <w:t>EUR/65A22A8/1</w:t>
      </w:r>
      <w:r w:rsidRPr="0029033A">
        <w:rPr>
          <w:vanish/>
          <w:color w:val="7F7F7F" w:themeColor="text1" w:themeTint="80"/>
          <w:vertAlign w:val="superscript"/>
        </w:rPr>
        <w:t>#2054</w:t>
      </w:r>
    </w:p>
    <w:p w14:paraId="4B614B93" w14:textId="77777777" w:rsidR="00D66C28" w:rsidRPr="0029033A" w:rsidRDefault="00D66C28" w:rsidP="00E95058">
      <w:pPr>
        <w:pStyle w:val="AppendixNo"/>
        <w:rPr>
          <w:rStyle w:val="FootnoteReference"/>
        </w:rPr>
      </w:pPr>
      <w:r w:rsidRPr="0029033A">
        <w:t>APÉNDICE</w:t>
      </w:r>
      <w:r w:rsidRPr="0029033A">
        <w:rPr>
          <w:color w:val="000000"/>
        </w:rPr>
        <w:t xml:space="preserve"> </w:t>
      </w:r>
      <w:r w:rsidRPr="0029033A">
        <w:rPr>
          <w:rStyle w:val="href"/>
          <w:color w:val="000000"/>
        </w:rPr>
        <w:t xml:space="preserve">30A </w:t>
      </w:r>
      <w:r w:rsidRPr="0029033A">
        <w:rPr>
          <w:color w:val="000000"/>
        </w:rPr>
        <w:t>(</w:t>
      </w:r>
      <w:r w:rsidRPr="0029033A">
        <w:rPr>
          <w:caps w:val="0"/>
          <w:color w:val="000000"/>
        </w:rPr>
        <w:t>REV</w:t>
      </w:r>
      <w:r w:rsidRPr="0029033A">
        <w:rPr>
          <w:color w:val="000000"/>
        </w:rPr>
        <w:t>. CMR-19)</w:t>
      </w:r>
      <w:r w:rsidRPr="0029033A">
        <w:rPr>
          <w:vertAlign w:val="superscript"/>
        </w:rPr>
        <w:t>*</w:t>
      </w:r>
    </w:p>
    <w:p w14:paraId="6E9D1380" w14:textId="77777777" w:rsidR="00D66C28" w:rsidRPr="0029033A" w:rsidRDefault="00D66C28" w:rsidP="00E95058">
      <w:pPr>
        <w:pStyle w:val="Appendixtitle"/>
        <w:spacing w:after="360"/>
        <w:rPr>
          <w:rFonts w:asciiTheme="majorBidi" w:hAnsiTheme="majorBidi" w:cstheme="majorBidi"/>
          <w:b w:val="0"/>
          <w:bCs/>
          <w:sz w:val="16"/>
        </w:rPr>
      </w:pPr>
      <w:r w:rsidRPr="0029033A">
        <w:t>Disposiciones</w:t>
      </w:r>
      <w:r w:rsidRPr="0029033A">
        <w:rPr>
          <w:color w:val="000000"/>
        </w:rPr>
        <w:t xml:space="preserve"> y Planes asociados y Lista</w:t>
      </w:r>
      <w:r w:rsidRPr="0029033A">
        <w:rPr>
          <w:color w:val="000000"/>
          <w:vertAlign w:val="superscript"/>
        </w:rPr>
        <w:t>1</w:t>
      </w:r>
      <w:r w:rsidRPr="0029033A">
        <w:rPr>
          <w:color w:val="000000"/>
        </w:rPr>
        <w:t xml:space="preserve"> para los enlaces de conexión del</w:t>
      </w:r>
      <w:r w:rsidRPr="0029033A">
        <w:rPr>
          <w:color w:val="000000"/>
        </w:rPr>
        <w:br/>
        <w:t>servicio de radiodifusión por satélite (11,7</w:t>
      </w:r>
      <w:r w:rsidRPr="0029033A">
        <w:rPr>
          <w:color w:val="000000"/>
        </w:rPr>
        <w:noBreakHyphen/>
        <w:t>12,5 GHz en la Región 1,</w:t>
      </w:r>
      <w:r w:rsidRPr="0029033A">
        <w:rPr>
          <w:color w:val="000000"/>
        </w:rPr>
        <w:br/>
        <w:t>12,2</w:t>
      </w:r>
      <w:r w:rsidRPr="0029033A">
        <w:rPr>
          <w:color w:val="000000"/>
        </w:rPr>
        <w:noBreakHyphen/>
        <w:t>12,7 GHz</w:t>
      </w:r>
      <w:r w:rsidRPr="0029033A">
        <w:rPr>
          <w:color w:val="000000"/>
          <w:vertAlign w:val="superscript"/>
        </w:rPr>
        <w:t>2</w:t>
      </w:r>
      <w:r w:rsidRPr="0029033A">
        <w:rPr>
          <w:color w:val="000000"/>
        </w:rPr>
        <w:t xml:space="preserve"> en la Región 2 y 11,7</w:t>
      </w:r>
      <w:r w:rsidRPr="0029033A">
        <w:rPr>
          <w:color w:val="000000"/>
        </w:rPr>
        <w:noBreakHyphen/>
        <w:t>12,2 GHz en la Región 3) en</w:t>
      </w:r>
      <w:r w:rsidRPr="0029033A">
        <w:rPr>
          <w:color w:val="000000"/>
        </w:rPr>
        <w:br/>
        <w:t>las bandas de frecuencias 14,5-14,8 GHz y 17,3</w:t>
      </w:r>
      <w:r w:rsidRPr="0029033A">
        <w:rPr>
          <w:color w:val="000000"/>
        </w:rPr>
        <w:noBreakHyphen/>
        <w:t>18,1 GHz en</w:t>
      </w:r>
      <w:r w:rsidRPr="0029033A">
        <w:rPr>
          <w:color w:val="000000"/>
        </w:rPr>
        <w:br/>
        <w:t>las Regiones 1 y 3, y 17,3</w:t>
      </w:r>
      <w:r w:rsidRPr="0029033A">
        <w:rPr>
          <w:color w:val="000000"/>
        </w:rPr>
        <w:noBreakHyphen/>
        <w:t>17,8 GHz en la Región 2</w:t>
      </w:r>
      <w:r w:rsidRPr="0029033A">
        <w:rPr>
          <w:b w:val="0"/>
          <w:bCs/>
          <w:color w:val="000000"/>
          <w:sz w:val="20"/>
        </w:rPr>
        <w:t>     </w:t>
      </w:r>
      <w:r w:rsidRPr="0029033A">
        <w:rPr>
          <w:rFonts w:asciiTheme="majorBidi" w:hAnsiTheme="majorBidi" w:cstheme="majorBidi"/>
          <w:b w:val="0"/>
          <w:bCs/>
          <w:sz w:val="16"/>
        </w:rPr>
        <w:t>(CMR</w:t>
      </w:r>
      <w:r w:rsidRPr="0029033A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14:paraId="1B02122F" w14:textId="77777777" w:rsidR="004C5058" w:rsidRPr="0029033A" w:rsidRDefault="004C5058">
      <w:pPr>
        <w:pStyle w:val="Reasons"/>
      </w:pPr>
    </w:p>
    <w:p w14:paraId="39805224" w14:textId="77777777" w:rsidR="004C5058" w:rsidRPr="0029033A" w:rsidRDefault="00D66C28">
      <w:pPr>
        <w:pStyle w:val="Proposal"/>
      </w:pPr>
      <w:r w:rsidRPr="0029033A">
        <w:rPr>
          <w:u w:val="single"/>
        </w:rPr>
        <w:t>NOC</w:t>
      </w:r>
      <w:r w:rsidRPr="0029033A">
        <w:tab/>
        <w:t>EUR/65A22A8/2</w:t>
      </w:r>
      <w:r w:rsidRPr="0029033A">
        <w:rPr>
          <w:vanish/>
          <w:color w:val="7F7F7F" w:themeColor="text1" w:themeTint="80"/>
          <w:vertAlign w:val="superscript"/>
        </w:rPr>
        <w:t>#2055</w:t>
      </w:r>
    </w:p>
    <w:p w14:paraId="0ADC0A58" w14:textId="77777777" w:rsidR="00D66C28" w:rsidRPr="0029033A" w:rsidRDefault="00D66C28" w:rsidP="00E95058">
      <w:pPr>
        <w:pStyle w:val="AppendixNo"/>
      </w:pPr>
      <w:r w:rsidRPr="0029033A">
        <w:t xml:space="preserve">aPÉNDICE </w:t>
      </w:r>
      <w:r w:rsidRPr="0029033A">
        <w:rPr>
          <w:rStyle w:val="href"/>
        </w:rPr>
        <w:t>30B</w:t>
      </w:r>
      <w:r w:rsidRPr="0029033A">
        <w:t xml:space="preserve"> (REV.Cmr</w:t>
      </w:r>
      <w:r w:rsidRPr="0029033A">
        <w:noBreakHyphen/>
        <w:t>19)</w:t>
      </w:r>
    </w:p>
    <w:p w14:paraId="36858E96" w14:textId="77777777" w:rsidR="00D66C28" w:rsidRPr="0029033A" w:rsidRDefault="00D66C28" w:rsidP="00E95058">
      <w:pPr>
        <w:pStyle w:val="Appendixtitle"/>
      </w:pPr>
      <w:r w:rsidRPr="0029033A">
        <w:t xml:space="preserve">Disposiciones y Plan asociado para el servicio fijo por satélite en las </w:t>
      </w:r>
      <w:r w:rsidRPr="0029033A">
        <w:br/>
        <w:t xml:space="preserve">bandas de frecuencias 4 500-4 800 MHz, 6 725-7 025 MHz, </w:t>
      </w:r>
      <w:r w:rsidRPr="0029033A">
        <w:br/>
        <w:t>10,70-10,95 GHz, 11,20-11,45 GHz y 12,75-13,25 GHz</w:t>
      </w:r>
    </w:p>
    <w:p w14:paraId="40B6867A" w14:textId="77777777" w:rsidR="00005E14" w:rsidRPr="00406B8B" w:rsidRDefault="00005E14" w:rsidP="00005E14">
      <w:pPr>
        <w:pStyle w:val="Reasons"/>
        <w:rPr>
          <w:lang w:val="fr-FR"/>
        </w:rPr>
      </w:pPr>
    </w:p>
    <w:p w14:paraId="3CBBE84F" w14:textId="65A21EF5" w:rsidR="004C5058" w:rsidRPr="00005E14" w:rsidRDefault="00005E14" w:rsidP="00005E14">
      <w:pPr>
        <w:jc w:val="center"/>
        <w:rPr>
          <w:lang w:val="fr-FR"/>
        </w:rPr>
      </w:pPr>
      <w:r w:rsidRPr="00406B8B">
        <w:rPr>
          <w:lang w:val="fr-FR"/>
        </w:rPr>
        <w:t>______________</w:t>
      </w:r>
    </w:p>
    <w:sectPr w:rsidR="004C5058" w:rsidRPr="00005E14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A758" w14:textId="77777777" w:rsidR="00666B37" w:rsidRDefault="00666B37">
      <w:r>
        <w:separator/>
      </w:r>
    </w:p>
  </w:endnote>
  <w:endnote w:type="continuationSeparator" w:id="0">
    <w:p w14:paraId="7C1E5D11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DD9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E73B79" w14:textId="556AF104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23E5">
      <w:rPr>
        <w:noProof/>
      </w:rPr>
      <w:t>09.10.23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A068" w14:textId="73213D56" w:rsidR="0077084A" w:rsidRDefault="00D66C28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05E14">
      <w:rPr>
        <w:lang w:val="en-US"/>
      </w:rPr>
      <w:t>P:\ESP\ITU-R\CONF-R\CMR23\000\065ADD22ADD08S.docx</w:t>
    </w:r>
    <w:r>
      <w:fldChar w:fldCharType="end"/>
    </w:r>
    <w:r w:rsidRPr="00D66C28">
      <w:rPr>
        <w:lang w:val="en-US"/>
      </w:rPr>
      <w:t xml:space="preserve"> </w:t>
    </w:r>
    <w:r>
      <w:rPr>
        <w:lang w:val="en-US"/>
      </w:rPr>
      <w:t>(528840)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3C30" w14:textId="7F35E6BD" w:rsidR="0077084A" w:rsidRPr="00D66C28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05E14">
      <w:rPr>
        <w:lang w:val="en-US"/>
      </w:rPr>
      <w:t>P:\ESP\ITU-R\CONF-R\CMR23\000\065ADD22ADD08S.docx</w:t>
    </w:r>
    <w:r>
      <w:fldChar w:fldCharType="end"/>
    </w:r>
    <w:r w:rsidR="00D66C28" w:rsidRPr="00D66C28">
      <w:rPr>
        <w:lang w:val="en-US"/>
      </w:rPr>
      <w:t xml:space="preserve"> </w:t>
    </w:r>
    <w:r w:rsidR="00D66C28">
      <w:rPr>
        <w:lang w:val="en-US"/>
      </w:rPr>
      <w:t>(528840)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4339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F836475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2831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2AE76D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65(Add.22)(Add.8)-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92985187">
    <w:abstractNumId w:val="8"/>
  </w:num>
  <w:num w:numId="2" w16cid:durableId="87774384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52521220">
    <w:abstractNumId w:val="9"/>
  </w:num>
  <w:num w:numId="4" w16cid:durableId="772942721">
    <w:abstractNumId w:val="7"/>
  </w:num>
  <w:num w:numId="5" w16cid:durableId="935869827">
    <w:abstractNumId w:val="6"/>
  </w:num>
  <w:num w:numId="6" w16cid:durableId="520246662">
    <w:abstractNumId w:val="5"/>
  </w:num>
  <w:num w:numId="7" w16cid:durableId="934555014">
    <w:abstractNumId w:val="4"/>
  </w:num>
  <w:num w:numId="8" w16cid:durableId="1856335508">
    <w:abstractNumId w:val="3"/>
  </w:num>
  <w:num w:numId="9" w16cid:durableId="269162375">
    <w:abstractNumId w:val="2"/>
  </w:num>
  <w:num w:numId="10" w16cid:durableId="1844126172">
    <w:abstractNumId w:val="1"/>
  </w:num>
  <w:num w:numId="11" w16cid:durableId="53727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5E14"/>
    <w:rsid w:val="0002785D"/>
    <w:rsid w:val="0005739F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9033A"/>
    <w:rsid w:val="002A791F"/>
    <w:rsid w:val="002C1A52"/>
    <w:rsid w:val="002C1B26"/>
    <w:rsid w:val="002C5D6C"/>
    <w:rsid w:val="002E701F"/>
    <w:rsid w:val="003248A9"/>
    <w:rsid w:val="00324FFA"/>
    <w:rsid w:val="0032680B"/>
    <w:rsid w:val="00355B26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C5058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D0834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66C28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E23E5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A151B1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qFormat/>
    <w:rsid w:val="007704DB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R23-WRC23-C-0065!A22-A8!MSW-S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67E3D-D268-4EE4-891C-79F37E1D727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CE9A97-CDE5-4131-A5B4-7DCD914908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3FD7C4-DE8D-4BC8-B912-7F000EF5F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D20FC7-0DE4-44AB-8F59-7952FBB92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R23-WRC23-C-0065!A22-A8!MSW-S</vt:lpstr>
    </vt:vector>
  </TitlesOfParts>
  <Manager>Secretaría General - Pool</Manager>
  <Company>Unión Internacional de Telecomunicaciones (UIT)</Company>
  <LinksUpToDate>false</LinksUpToDate>
  <CharactersWithSpaces>2912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R23-WRC23-C-0065!A22-A8!MSW-S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3</cp:revision>
  <cp:lastPrinted>2003-02-19T20:20:00Z</cp:lastPrinted>
  <dcterms:created xsi:type="dcterms:W3CDTF">2023-10-10T12:28:00Z</dcterms:created>
  <dcterms:modified xsi:type="dcterms:W3CDTF">2023-10-10T12:40:00Z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