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706BE" w14:paraId="437CE88B" w14:textId="77777777" w:rsidTr="00F320AA">
        <w:trPr>
          <w:cantSplit/>
        </w:trPr>
        <w:tc>
          <w:tcPr>
            <w:tcW w:w="1418" w:type="dxa"/>
            <w:vAlign w:val="center"/>
          </w:tcPr>
          <w:p w14:paraId="2B61349C" w14:textId="77777777" w:rsidR="00F320AA" w:rsidRPr="009706BE" w:rsidRDefault="00F320AA" w:rsidP="00F320AA">
            <w:pPr>
              <w:spacing w:before="0"/>
              <w:rPr>
                <w:rFonts w:ascii="Verdana" w:hAnsi="Verdana"/>
                <w:position w:val="6"/>
              </w:rPr>
            </w:pPr>
            <w:r w:rsidRPr="009706BE">
              <w:rPr>
                <w:noProof/>
              </w:rPr>
              <w:drawing>
                <wp:inline distT="0" distB="0" distL="0" distR="0" wp14:anchorId="525EAA23" wp14:editId="14B1D58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B2BFF1E" w14:textId="77777777" w:rsidR="00F320AA" w:rsidRPr="009706BE" w:rsidRDefault="00F320AA" w:rsidP="00F320AA">
            <w:pPr>
              <w:spacing w:before="400" w:after="48" w:line="240" w:lineRule="atLeast"/>
              <w:rPr>
                <w:rFonts w:ascii="Verdana" w:hAnsi="Verdana"/>
                <w:position w:val="6"/>
              </w:rPr>
            </w:pPr>
            <w:r w:rsidRPr="009706BE">
              <w:rPr>
                <w:rFonts w:ascii="Verdana" w:hAnsi="Verdana" w:cs="Times"/>
                <w:b/>
                <w:position w:val="6"/>
                <w:sz w:val="22"/>
                <w:szCs w:val="22"/>
              </w:rPr>
              <w:t>World Radiocommunication Conference (WRC-23)</w:t>
            </w:r>
            <w:r w:rsidRPr="009706BE">
              <w:rPr>
                <w:rFonts w:ascii="Verdana" w:hAnsi="Verdana" w:cs="Times"/>
                <w:b/>
                <w:position w:val="6"/>
                <w:sz w:val="26"/>
                <w:szCs w:val="26"/>
              </w:rPr>
              <w:br/>
            </w:r>
            <w:r w:rsidRPr="009706BE">
              <w:rPr>
                <w:rFonts w:ascii="Verdana" w:hAnsi="Verdana"/>
                <w:b/>
                <w:bCs/>
                <w:position w:val="6"/>
                <w:sz w:val="18"/>
                <w:szCs w:val="18"/>
              </w:rPr>
              <w:t>Dubai, 20 November - 15 December 2023</w:t>
            </w:r>
          </w:p>
        </w:tc>
        <w:tc>
          <w:tcPr>
            <w:tcW w:w="1951" w:type="dxa"/>
            <w:vAlign w:val="center"/>
          </w:tcPr>
          <w:p w14:paraId="71E6EF72" w14:textId="77777777" w:rsidR="00F320AA" w:rsidRPr="009706BE" w:rsidRDefault="00EB0812" w:rsidP="00F320AA">
            <w:pPr>
              <w:spacing w:before="0" w:line="240" w:lineRule="atLeast"/>
            </w:pPr>
            <w:r w:rsidRPr="009706BE">
              <w:rPr>
                <w:noProof/>
              </w:rPr>
              <w:drawing>
                <wp:inline distT="0" distB="0" distL="0" distR="0" wp14:anchorId="0559B3ED" wp14:editId="5D5845B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706BE" w14:paraId="38D3BA44" w14:textId="77777777">
        <w:trPr>
          <w:cantSplit/>
        </w:trPr>
        <w:tc>
          <w:tcPr>
            <w:tcW w:w="6911" w:type="dxa"/>
            <w:gridSpan w:val="2"/>
            <w:tcBorders>
              <w:bottom w:val="single" w:sz="12" w:space="0" w:color="auto"/>
            </w:tcBorders>
          </w:tcPr>
          <w:p w14:paraId="29F1E75A" w14:textId="77777777" w:rsidR="00A066F1" w:rsidRPr="009706B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0452CC8" w14:textId="77777777" w:rsidR="00A066F1" w:rsidRPr="009706BE" w:rsidRDefault="00A066F1" w:rsidP="00A066F1">
            <w:pPr>
              <w:spacing w:before="0" w:line="240" w:lineRule="atLeast"/>
              <w:rPr>
                <w:rFonts w:ascii="Verdana" w:hAnsi="Verdana"/>
                <w:szCs w:val="24"/>
              </w:rPr>
            </w:pPr>
          </w:p>
        </w:tc>
      </w:tr>
      <w:tr w:rsidR="00A066F1" w:rsidRPr="009706BE" w14:paraId="17D3E556" w14:textId="77777777">
        <w:trPr>
          <w:cantSplit/>
        </w:trPr>
        <w:tc>
          <w:tcPr>
            <w:tcW w:w="6911" w:type="dxa"/>
            <w:gridSpan w:val="2"/>
            <w:tcBorders>
              <w:top w:val="single" w:sz="12" w:space="0" w:color="auto"/>
            </w:tcBorders>
          </w:tcPr>
          <w:p w14:paraId="2D9D92BA" w14:textId="77777777" w:rsidR="00A066F1" w:rsidRPr="009706B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112C31D" w14:textId="77777777" w:rsidR="00A066F1" w:rsidRPr="009706BE" w:rsidRDefault="00A066F1" w:rsidP="00A066F1">
            <w:pPr>
              <w:spacing w:before="0" w:line="240" w:lineRule="atLeast"/>
              <w:rPr>
                <w:rFonts w:ascii="Verdana" w:hAnsi="Verdana"/>
                <w:sz w:val="20"/>
              </w:rPr>
            </w:pPr>
          </w:p>
        </w:tc>
      </w:tr>
      <w:tr w:rsidR="00A066F1" w:rsidRPr="009706BE" w14:paraId="7C61B8F1" w14:textId="77777777">
        <w:trPr>
          <w:cantSplit/>
          <w:trHeight w:val="23"/>
        </w:trPr>
        <w:tc>
          <w:tcPr>
            <w:tcW w:w="6911" w:type="dxa"/>
            <w:gridSpan w:val="2"/>
            <w:shd w:val="clear" w:color="auto" w:fill="auto"/>
          </w:tcPr>
          <w:p w14:paraId="3711D7C1" w14:textId="77777777" w:rsidR="00A066F1" w:rsidRPr="009706B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9706BE">
              <w:rPr>
                <w:rFonts w:ascii="Verdana" w:hAnsi="Verdana"/>
                <w:sz w:val="20"/>
                <w:szCs w:val="20"/>
              </w:rPr>
              <w:t>PLENARY MEETING</w:t>
            </w:r>
          </w:p>
        </w:tc>
        <w:tc>
          <w:tcPr>
            <w:tcW w:w="3120" w:type="dxa"/>
            <w:gridSpan w:val="2"/>
          </w:tcPr>
          <w:p w14:paraId="428ED3D7" w14:textId="77777777" w:rsidR="00A066F1" w:rsidRPr="009706BE" w:rsidRDefault="00E55816" w:rsidP="00AA666F">
            <w:pPr>
              <w:tabs>
                <w:tab w:val="left" w:pos="851"/>
              </w:tabs>
              <w:spacing w:before="0" w:line="240" w:lineRule="atLeast"/>
              <w:rPr>
                <w:rFonts w:ascii="Verdana" w:hAnsi="Verdana"/>
                <w:sz w:val="20"/>
              </w:rPr>
            </w:pPr>
            <w:r w:rsidRPr="009706BE">
              <w:rPr>
                <w:rFonts w:ascii="Verdana" w:hAnsi="Verdana"/>
                <w:b/>
                <w:sz w:val="20"/>
              </w:rPr>
              <w:t>Addendum 4 to</w:t>
            </w:r>
            <w:r w:rsidRPr="009706BE">
              <w:rPr>
                <w:rFonts w:ascii="Verdana" w:hAnsi="Verdana"/>
                <w:b/>
                <w:sz w:val="20"/>
              </w:rPr>
              <w:br/>
              <w:t>Document 65(Add.22)</w:t>
            </w:r>
            <w:r w:rsidR="00A066F1" w:rsidRPr="009706BE">
              <w:rPr>
                <w:rFonts w:ascii="Verdana" w:hAnsi="Verdana"/>
                <w:b/>
                <w:sz w:val="20"/>
              </w:rPr>
              <w:t>-</w:t>
            </w:r>
            <w:r w:rsidR="005E10C9" w:rsidRPr="009706BE">
              <w:rPr>
                <w:rFonts w:ascii="Verdana" w:hAnsi="Verdana"/>
                <w:b/>
                <w:sz w:val="20"/>
              </w:rPr>
              <w:t>E</w:t>
            </w:r>
          </w:p>
        </w:tc>
      </w:tr>
      <w:tr w:rsidR="00A066F1" w:rsidRPr="009706BE" w14:paraId="640EA811" w14:textId="77777777">
        <w:trPr>
          <w:cantSplit/>
          <w:trHeight w:val="23"/>
        </w:trPr>
        <w:tc>
          <w:tcPr>
            <w:tcW w:w="6911" w:type="dxa"/>
            <w:gridSpan w:val="2"/>
            <w:shd w:val="clear" w:color="auto" w:fill="auto"/>
          </w:tcPr>
          <w:p w14:paraId="4C00ED96" w14:textId="77777777" w:rsidR="00A066F1" w:rsidRPr="009706B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AA76D08" w14:textId="77777777" w:rsidR="00A066F1" w:rsidRPr="009706BE" w:rsidRDefault="00420873" w:rsidP="00A066F1">
            <w:pPr>
              <w:tabs>
                <w:tab w:val="left" w:pos="993"/>
              </w:tabs>
              <w:spacing w:before="0"/>
              <w:rPr>
                <w:rFonts w:ascii="Verdana" w:hAnsi="Verdana"/>
                <w:sz w:val="20"/>
              </w:rPr>
            </w:pPr>
            <w:r w:rsidRPr="009706BE">
              <w:rPr>
                <w:rFonts w:ascii="Verdana" w:hAnsi="Verdana"/>
                <w:b/>
                <w:sz w:val="20"/>
              </w:rPr>
              <w:t>4 October 2023</w:t>
            </w:r>
          </w:p>
        </w:tc>
      </w:tr>
      <w:tr w:rsidR="00A066F1" w:rsidRPr="009706BE" w14:paraId="329E669E" w14:textId="77777777">
        <w:trPr>
          <w:cantSplit/>
          <w:trHeight w:val="23"/>
        </w:trPr>
        <w:tc>
          <w:tcPr>
            <w:tcW w:w="6911" w:type="dxa"/>
            <w:gridSpan w:val="2"/>
            <w:shd w:val="clear" w:color="auto" w:fill="auto"/>
          </w:tcPr>
          <w:p w14:paraId="21527E0D" w14:textId="77777777" w:rsidR="00A066F1" w:rsidRPr="009706B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4BA8572" w14:textId="77777777" w:rsidR="00A066F1" w:rsidRPr="009706BE" w:rsidRDefault="00E55816" w:rsidP="00A066F1">
            <w:pPr>
              <w:tabs>
                <w:tab w:val="left" w:pos="993"/>
              </w:tabs>
              <w:spacing w:before="0"/>
              <w:rPr>
                <w:rFonts w:ascii="Verdana" w:hAnsi="Verdana"/>
                <w:b/>
                <w:sz w:val="20"/>
              </w:rPr>
            </w:pPr>
            <w:r w:rsidRPr="009706BE">
              <w:rPr>
                <w:rFonts w:ascii="Verdana" w:hAnsi="Verdana"/>
                <w:b/>
                <w:sz w:val="20"/>
              </w:rPr>
              <w:t>Original: English</w:t>
            </w:r>
          </w:p>
        </w:tc>
      </w:tr>
      <w:tr w:rsidR="00A066F1" w:rsidRPr="009706BE" w14:paraId="2BDAA4CD" w14:textId="77777777" w:rsidTr="00025864">
        <w:trPr>
          <w:cantSplit/>
          <w:trHeight w:val="23"/>
        </w:trPr>
        <w:tc>
          <w:tcPr>
            <w:tcW w:w="10031" w:type="dxa"/>
            <w:gridSpan w:val="4"/>
            <w:shd w:val="clear" w:color="auto" w:fill="auto"/>
          </w:tcPr>
          <w:p w14:paraId="01D38D26" w14:textId="77777777" w:rsidR="00A066F1" w:rsidRPr="009706BE" w:rsidRDefault="00A066F1" w:rsidP="00A066F1">
            <w:pPr>
              <w:tabs>
                <w:tab w:val="left" w:pos="993"/>
              </w:tabs>
              <w:spacing w:before="0"/>
              <w:rPr>
                <w:rFonts w:ascii="Verdana" w:hAnsi="Verdana"/>
                <w:b/>
                <w:sz w:val="20"/>
              </w:rPr>
            </w:pPr>
          </w:p>
        </w:tc>
      </w:tr>
      <w:tr w:rsidR="00E55816" w:rsidRPr="009706BE" w14:paraId="24FC0EE6" w14:textId="77777777" w:rsidTr="00025864">
        <w:trPr>
          <w:cantSplit/>
          <w:trHeight w:val="23"/>
        </w:trPr>
        <w:tc>
          <w:tcPr>
            <w:tcW w:w="10031" w:type="dxa"/>
            <w:gridSpan w:val="4"/>
            <w:shd w:val="clear" w:color="auto" w:fill="auto"/>
          </w:tcPr>
          <w:p w14:paraId="7DF11693" w14:textId="77777777" w:rsidR="00E55816" w:rsidRPr="009706BE" w:rsidRDefault="00884D60" w:rsidP="00E55816">
            <w:pPr>
              <w:pStyle w:val="Source"/>
            </w:pPr>
            <w:r w:rsidRPr="009706BE">
              <w:t>European Common Proposals</w:t>
            </w:r>
          </w:p>
        </w:tc>
      </w:tr>
      <w:tr w:rsidR="00E55816" w:rsidRPr="009706BE" w14:paraId="0F9B8CE4" w14:textId="77777777" w:rsidTr="00025864">
        <w:trPr>
          <w:cantSplit/>
          <w:trHeight w:val="23"/>
        </w:trPr>
        <w:tc>
          <w:tcPr>
            <w:tcW w:w="10031" w:type="dxa"/>
            <w:gridSpan w:val="4"/>
            <w:shd w:val="clear" w:color="auto" w:fill="auto"/>
          </w:tcPr>
          <w:p w14:paraId="74D44D04" w14:textId="77777777" w:rsidR="00E55816" w:rsidRPr="009706BE" w:rsidRDefault="007D5320" w:rsidP="00E55816">
            <w:pPr>
              <w:pStyle w:val="Title1"/>
            </w:pPr>
            <w:r w:rsidRPr="009706BE">
              <w:t>Proposals for the work of the Conference</w:t>
            </w:r>
          </w:p>
        </w:tc>
      </w:tr>
      <w:tr w:rsidR="00E55816" w:rsidRPr="009706BE" w14:paraId="7A70A0F0" w14:textId="77777777" w:rsidTr="00025864">
        <w:trPr>
          <w:cantSplit/>
          <w:trHeight w:val="23"/>
        </w:trPr>
        <w:tc>
          <w:tcPr>
            <w:tcW w:w="10031" w:type="dxa"/>
            <w:gridSpan w:val="4"/>
            <w:shd w:val="clear" w:color="auto" w:fill="auto"/>
          </w:tcPr>
          <w:p w14:paraId="5D78B2CF" w14:textId="77777777" w:rsidR="00E55816" w:rsidRPr="009706BE" w:rsidRDefault="00E55816" w:rsidP="00E55816">
            <w:pPr>
              <w:pStyle w:val="Title2"/>
            </w:pPr>
          </w:p>
        </w:tc>
      </w:tr>
      <w:tr w:rsidR="00A538A6" w:rsidRPr="009706BE" w14:paraId="67907AEB" w14:textId="77777777" w:rsidTr="00025864">
        <w:trPr>
          <w:cantSplit/>
          <w:trHeight w:val="23"/>
        </w:trPr>
        <w:tc>
          <w:tcPr>
            <w:tcW w:w="10031" w:type="dxa"/>
            <w:gridSpan w:val="4"/>
            <w:shd w:val="clear" w:color="auto" w:fill="auto"/>
          </w:tcPr>
          <w:p w14:paraId="4DDB0D0D" w14:textId="77777777" w:rsidR="00A538A6" w:rsidRPr="009706BE" w:rsidRDefault="004B13CB" w:rsidP="004B13CB">
            <w:pPr>
              <w:pStyle w:val="Agendaitem"/>
              <w:rPr>
                <w:lang w:val="en-GB"/>
              </w:rPr>
            </w:pPr>
            <w:r w:rsidRPr="009706BE">
              <w:rPr>
                <w:lang w:val="en-GB"/>
              </w:rPr>
              <w:t>Agenda item 7(D1)</w:t>
            </w:r>
          </w:p>
        </w:tc>
      </w:tr>
    </w:tbl>
    <w:bookmarkEnd w:id="4"/>
    <w:bookmarkEnd w:id="5"/>
    <w:p w14:paraId="2CC8895A" w14:textId="77777777" w:rsidR="00187BD9" w:rsidRPr="009706BE" w:rsidRDefault="00920E5F" w:rsidP="007341B9">
      <w:r w:rsidRPr="009706BE">
        <w:t>7</w:t>
      </w:r>
      <w:r w:rsidRPr="009706BE">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9706BE">
        <w:rPr>
          <w:b/>
        </w:rPr>
        <w:t>86</w:t>
      </w:r>
      <w:r w:rsidRPr="009706BE">
        <w:t xml:space="preserve"> </w:t>
      </w:r>
      <w:r w:rsidRPr="009706BE">
        <w:rPr>
          <w:b/>
        </w:rPr>
        <w:t>(Rev.WRC</w:t>
      </w:r>
      <w:r w:rsidRPr="009706BE">
        <w:rPr>
          <w:b/>
        </w:rPr>
        <w:noBreakHyphen/>
        <w:t>07)</w:t>
      </w:r>
      <w:r w:rsidRPr="009706BE">
        <w:rPr>
          <w:bCs/>
        </w:rPr>
        <w:t xml:space="preserve">, </w:t>
      </w:r>
      <w:proofErr w:type="gramStart"/>
      <w:r w:rsidRPr="009706BE">
        <w:rPr>
          <w:bCs/>
        </w:rPr>
        <w:t>in order to</w:t>
      </w:r>
      <w:proofErr w:type="gramEnd"/>
      <w:r w:rsidRPr="009706BE">
        <w:rPr>
          <w:bCs/>
        </w:rPr>
        <w:t xml:space="preserve"> facilitate the rational, efficient and economical use of radio frequencies and any associated orbits, including the geostationary-satellite orbit;</w:t>
      </w:r>
    </w:p>
    <w:p w14:paraId="2449FE77" w14:textId="7556EF44" w:rsidR="00187BD9" w:rsidRPr="009706BE" w:rsidRDefault="00920E5F" w:rsidP="009A5BC8">
      <w:r w:rsidRPr="009706BE">
        <w:t xml:space="preserve">7(D1) </w:t>
      </w:r>
      <w:r w:rsidRPr="009706BE">
        <w:tab/>
        <w:t xml:space="preserve">Topic D1 </w:t>
      </w:r>
      <w:r w:rsidR="0057614F" w:rsidRPr="009706BE">
        <w:t>–</w:t>
      </w:r>
      <w:r w:rsidRPr="009706BE">
        <w:t xml:space="preserve"> Modifications to Appendix 1 to Annex 4 of RR Appendix </w:t>
      </w:r>
      <w:r w:rsidRPr="009706BE">
        <w:rPr>
          <w:b/>
          <w:bCs/>
        </w:rPr>
        <w:t>30B</w:t>
      </w:r>
    </w:p>
    <w:p w14:paraId="2EFA2768" w14:textId="77777777" w:rsidR="00A77772" w:rsidRPr="009706BE" w:rsidRDefault="00A77772" w:rsidP="00A77772">
      <w:pPr>
        <w:pStyle w:val="Headingb"/>
        <w:rPr>
          <w:lang w:val="en-GB"/>
        </w:rPr>
      </w:pPr>
      <w:r w:rsidRPr="009706BE">
        <w:rPr>
          <w:lang w:val="en-GB"/>
        </w:rPr>
        <w:t>Introduction</w:t>
      </w:r>
    </w:p>
    <w:p w14:paraId="4DC69886" w14:textId="304A12BE" w:rsidR="00A77772" w:rsidRPr="009706BE" w:rsidRDefault="00A77772" w:rsidP="00A77772">
      <w:pPr>
        <w:rPr>
          <w:lang w:eastAsia="zh-CN"/>
        </w:rPr>
      </w:pPr>
      <w:r w:rsidRPr="009706BE">
        <w:rPr>
          <w:lang w:eastAsia="zh-CN"/>
        </w:rPr>
        <w:t xml:space="preserve">Appendix 1 to Annex 4 of Appendix </w:t>
      </w:r>
      <w:r w:rsidRPr="009706BE">
        <w:rPr>
          <w:b/>
          <w:bCs/>
          <w:lang w:eastAsia="zh-CN"/>
        </w:rPr>
        <w:t xml:space="preserve">30B </w:t>
      </w:r>
      <w:r w:rsidRPr="009706BE">
        <w:rPr>
          <w:lang w:eastAsia="zh-CN"/>
        </w:rPr>
        <w:t xml:space="preserve">of the Radio Regulations </w:t>
      </w:r>
      <w:r w:rsidR="00297EB8" w:rsidRPr="009706BE">
        <w:rPr>
          <w:lang w:eastAsia="zh-CN"/>
        </w:rPr>
        <w:t xml:space="preserve">(RR) </w:t>
      </w:r>
      <w:r w:rsidRPr="009706BE">
        <w:rPr>
          <w:lang w:eastAsia="zh-CN"/>
        </w:rPr>
        <w:t>determines the overall single-entry and aggregate carrier-to-interference (</w:t>
      </w:r>
      <w:r w:rsidRPr="009706BE">
        <w:rPr>
          <w:i/>
          <w:iCs/>
          <w:lang w:eastAsia="zh-CN"/>
        </w:rPr>
        <w:t>C</w:t>
      </w:r>
      <w:r w:rsidRPr="009706BE">
        <w:rPr>
          <w:lang w:eastAsia="zh-CN"/>
        </w:rPr>
        <w:t>/</w:t>
      </w:r>
      <w:r w:rsidRPr="009706BE">
        <w:rPr>
          <w:i/>
          <w:iCs/>
          <w:lang w:eastAsia="zh-CN"/>
        </w:rPr>
        <w:t>I</w:t>
      </w:r>
      <w:r w:rsidRPr="009706BE">
        <w:rPr>
          <w:lang w:eastAsia="zh-CN"/>
        </w:rPr>
        <w:t xml:space="preserve">) value averaged over the necessary bandwidth of the modulated carrier. </w:t>
      </w:r>
    </w:p>
    <w:p w14:paraId="56D61B0E" w14:textId="3FAF3E37" w:rsidR="00A77772" w:rsidRPr="009706BE" w:rsidRDefault="00A77772" w:rsidP="00A77772">
      <w:pPr>
        <w:rPr>
          <w:lang w:eastAsia="zh-CN"/>
        </w:rPr>
      </w:pPr>
      <w:r w:rsidRPr="009706BE">
        <w:rPr>
          <w:lang w:eastAsia="zh-CN"/>
        </w:rPr>
        <w:t>WRC-19 adopted modifications to sections 1.1 and 1.2 of Annex 4 of RR Appendix </w:t>
      </w:r>
      <w:r w:rsidRPr="009706BE">
        <w:rPr>
          <w:b/>
          <w:bCs/>
          <w:lang w:eastAsia="zh-CN"/>
        </w:rPr>
        <w:t>30B</w:t>
      </w:r>
      <w:r w:rsidRPr="009706BE">
        <w:rPr>
          <w:lang w:eastAsia="zh-CN"/>
        </w:rPr>
        <w:t xml:space="preserve"> by replacing 10 and 9 degrees as the minimum orbital separation by 7 and 6 degrees, respectively. However, these modifications were not reflected in section 2 of Appendix 1 to Annex 4 of RR Appendix </w:t>
      </w:r>
      <w:r w:rsidRPr="009706BE">
        <w:rPr>
          <w:b/>
          <w:bCs/>
          <w:lang w:eastAsia="zh-CN"/>
        </w:rPr>
        <w:t>30B</w:t>
      </w:r>
      <w:r w:rsidRPr="009706BE">
        <w:rPr>
          <w:lang w:eastAsia="zh-CN"/>
        </w:rPr>
        <w:t>. Instead, section 2 still refer</w:t>
      </w:r>
      <w:r w:rsidR="000F5404">
        <w:rPr>
          <w:lang w:eastAsia="zh-CN"/>
        </w:rPr>
        <w:t>s</w:t>
      </w:r>
      <w:r w:rsidRPr="009706BE">
        <w:rPr>
          <w:lang w:eastAsia="zh-CN"/>
        </w:rPr>
        <w:t xml:space="preserve"> to the values of 10 and 9 degrees for the calculation of the aggregate </w:t>
      </w:r>
      <w:r w:rsidRPr="009706BE">
        <w:rPr>
          <w:i/>
          <w:iCs/>
          <w:lang w:eastAsia="zh-CN"/>
        </w:rPr>
        <w:t>C</w:t>
      </w:r>
      <w:r w:rsidRPr="009706BE">
        <w:rPr>
          <w:lang w:eastAsia="zh-CN"/>
        </w:rPr>
        <w:t>/</w:t>
      </w:r>
      <w:r w:rsidRPr="009706BE">
        <w:rPr>
          <w:i/>
          <w:iCs/>
          <w:lang w:eastAsia="zh-CN"/>
        </w:rPr>
        <w:t>I</w:t>
      </w:r>
      <w:r w:rsidRPr="009706BE">
        <w:rPr>
          <w:lang w:eastAsia="zh-CN"/>
        </w:rPr>
        <w:t xml:space="preserve"> ratio at any given downlink test point. </w:t>
      </w:r>
    </w:p>
    <w:p w14:paraId="6ED8C1C6" w14:textId="54FA8734" w:rsidR="00A77772" w:rsidRPr="009706BE" w:rsidRDefault="00A77772" w:rsidP="00A77772">
      <w:r w:rsidRPr="009706BE">
        <w:t>This discrepancy in RR Appendix </w:t>
      </w:r>
      <w:r w:rsidRPr="009706BE">
        <w:rPr>
          <w:b/>
          <w:bCs/>
        </w:rPr>
        <w:t>30B</w:t>
      </w:r>
      <w:r w:rsidRPr="009706BE">
        <w:t xml:space="preserve"> has been identified in Annex 5 to Circular Letter </w:t>
      </w:r>
      <w:hyperlink r:id="rId14" w:history="1">
        <w:r w:rsidRPr="009706BE">
          <w:rPr>
            <w:rStyle w:val="Hyperlink"/>
          </w:rPr>
          <w:t>CCRR/66</w:t>
        </w:r>
      </w:hyperlink>
      <w:r w:rsidRPr="009706BE">
        <w:t xml:space="preserve"> and a rule of procedure has been adopted to align the values of the minimum orbital separation with those adopted by WRC-19, until WRC-23 can incorporate this modification into the Radio Regulations. </w:t>
      </w:r>
    </w:p>
    <w:p w14:paraId="45B3DA9F" w14:textId="6C7A17DC" w:rsidR="00241FA2" w:rsidRPr="009706BE" w:rsidRDefault="00A77772" w:rsidP="00297EB8">
      <w:pPr>
        <w:pStyle w:val="Headingb"/>
        <w:rPr>
          <w:lang w:val="en-GB"/>
        </w:rPr>
      </w:pPr>
      <w:r w:rsidRPr="009706BE">
        <w:rPr>
          <w:lang w:val="en-GB"/>
        </w:rPr>
        <w:t>Proposals</w:t>
      </w:r>
    </w:p>
    <w:p w14:paraId="1FD6D2DD" w14:textId="77777777" w:rsidR="00187BD9" w:rsidRPr="009706BE" w:rsidRDefault="00187BD9" w:rsidP="00187BD9">
      <w:pPr>
        <w:tabs>
          <w:tab w:val="clear" w:pos="1134"/>
          <w:tab w:val="clear" w:pos="1871"/>
          <w:tab w:val="clear" w:pos="2268"/>
        </w:tabs>
        <w:overflowPunct/>
        <w:autoSpaceDE/>
        <w:autoSpaceDN/>
        <w:adjustRightInd/>
        <w:spacing w:before="0"/>
        <w:textAlignment w:val="auto"/>
      </w:pPr>
      <w:r w:rsidRPr="009706BE">
        <w:br w:type="page"/>
      </w:r>
    </w:p>
    <w:p w14:paraId="0F643E9B" w14:textId="77777777" w:rsidR="000A6385" w:rsidRPr="009706BE" w:rsidRDefault="00920E5F" w:rsidP="00496979">
      <w:pPr>
        <w:pStyle w:val="AppendixNo"/>
      </w:pPr>
      <w:bookmarkStart w:id="6" w:name="_Toc35789236"/>
      <w:bookmarkStart w:id="7" w:name="_Toc35856933"/>
      <w:bookmarkStart w:id="8" w:name="_Toc35877567"/>
      <w:bookmarkStart w:id="9" w:name="_Toc35963508"/>
      <w:bookmarkStart w:id="10" w:name="_Toc42084220"/>
      <w:r w:rsidRPr="009706BE">
        <w:lastRenderedPageBreak/>
        <w:t xml:space="preserve">APPENDIX </w:t>
      </w:r>
      <w:r w:rsidRPr="009706BE">
        <w:rPr>
          <w:rStyle w:val="href"/>
        </w:rPr>
        <w:t>30B</w:t>
      </w:r>
      <w:r w:rsidRPr="009706BE">
        <w:t xml:space="preserve"> (REV.WRC</w:t>
      </w:r>
      <w:r w:rsidRPr="009706BE">
        <w:noBreakHyphen/>
        <w:t>19)</w:t>
      </w:r>
      <w:bookmarkEnd w:id="6"/>
      <w:bookmarkEnd w:id="7"/>
      <w:bookmarkEnd w:id="8"/>
      <w:bookmarkEnd w:id="9"/>
      <w:bookmarkEnd w:id="10"/>
    </w:p>
    <w:p w14:paraId="13C27D61" w14:textId="77777777" w:rsidR="000A6385" w:rsidRPr="009706BE" w:rsidRDefault="00920E5F" w:rsidP="00496979">
      <w:pPr>
        <w:pStyle w:val="Appendixtitle"/>
      </w:pPr>
      <w:bookmarkStart w:id="11" w:name="_Toc35789237"/>
      <w:bookmarkStart w:id="12" w:name="_Toc35856934"/>
      <w:bookmarkStart w:id="13" w:name="_Toc35877568"/>
      <w:bookmarkStart w:id="14" w:name="_Toc35963509"/>
      <w:bookmarkStart w:id="15" w:name="_Toc42084221"/>
      <w:r w:rsidRPr="009706BE">
        <w:t>Provisions and associated Plan for the fixed-satellite service</w:t>
      </w:r>
      <w:r w:rsidRPr="009706BE">
        <w:br/>
        <w:t>in the frequency bands 4 500-4 800 MHz, 6 725-7 025 MHz,</w:t>
      </w:r>
      <w:r w:rsidRPr="009706BE">
        <w:br/>
        <w:t>10.70-10.95 GHz, 11.20-11.45 GHz and 12.75-13.25 GHz</w:t>
      </w:r>
      <w:bookmarkEnd w:id="11"/>
      <w:bookmarkEnd w:id="12"/>
      <w:bookmarkEnd w:id="13"/>
      <w:bookmarkEnd w:id="14"/>
      <w:bookmarkEnd w:id="15"/>
    </w:p>
    <w:p w14:paraId="2750A724" w14:textId="77777777" w:rsidR="000A6385" w:rsidRPr="009706BE" w:rsidRDefault="00920E5F" w:rsidP="00496979">
      <w:pPr>
        <w:pStyle w:val="AnnexNo"/>
      </w:pPr>
      <w:r w:rsidRPr="009706BE">
        <w:t>ANNEX 4</w:t>
      </w:r>
      <w:r w:rsidRPr="009706BE">
        <w:rPr>
          <w:sz w:val="16"/>
          <w:szCs w:val="16"/>
        </w:rPr>
        <w:t>     (REV.WRC</w:t>
      </w:r>
      <w:r w:rsidRPr="009706BE">
        <w:rPr>
          <w:sz w:val="16"/>
          <w:szCs w:val="16"/>
        </w:rPr>
        <w:noBreakHyphen/>
        <w:t>19)</w:t>
      </w:r>
    </w:p>
    <w:p w14:paraId="5C28CCB2" w14:textId="329D6326" w:rsidR="000A6385" w:rsidRPr="009706BE" w:rsidRDefault="00920E5F" w:rsidP="00496979">
      <w:pPr>
        <w:pStyle w:val="Annextitle"/>
      </w:pPr>
      <w:bookmarkStart w:id="16" w:name="_Toc330560579"/>
      <w:bookmarkStart w:id="17" w:name="_Toc42084228"/>
      <w:r w:rsidRPr="009706BE">
        <w:t>Criteria for determining whether an allotment or</w:t>
      </w:r>
      <w:r w:rsidRPr="009706BE">
        <w:br/>
        <w:t xml:space="preserve">an assignment </w:t>
      </w:r>
      <w:proofErr w:type="gramStart"/>
      <w:r w:rsidRPr="009706BE">
        <w:t>is considered to be</w:t>
      </w:r>
      <w:proofErr w:type="gramEnd"/>
      <w:r w:rsidRPr="009706BE">
        <w:t xml:space="preserve"> affected</w:t>
      </w:r>
      <w:bookmarkEnd w:id="16"/>
      <w:bookmarkEnd w:id="17"/>
      <w:r w:rsidR="00C43B02" w:rsidRPr="009706BE">
        <w:rPr>
          <w:rStyle w:val="FootnoteReference"/>
          <w:rFonts w:ascii="Times New Roman"/>
          <w:b w:val="0"/>
        </w:rPr>
        <w:t>15</w:t>
      </w:r>
      <w:r w:rsidR="00C43B02" w:rsidRPr="009706BE">
        <w:rPr>
          <w:rStyle w:val="FootnoteReference"/>
          <w:rFonts w:ascii="Times New Roman"/>
          <w:b w:val="0"/>
          <w:i/>
          <w:iCs/>
        </w:rPr>
        <w:t>bis</w:t>
      </w:r>
    </w:p>
    <w:p w14:paraId="2441A07B" w14:textId="77777777" w:rsidR="000853F2" w:rsidRPr="009706BE" w:rsidRDefault="00920E5F">
      <w:pPr>
        <w:pStyle w:val="Proposal"/>
      </w:pPr>
      <w:r w:rsidRPr="009706BE">
        <w:t>MOD</w:t>
      </w:r>
      <w:r w:rsidRPr="009706BE">
        <w:tab/>
        <w:t>EUR/65A22A4/1</w:t>
      </w:r>
    </w:p>
    <w:p w14:paraId="04B66408" w14:textId="772A883D" w:rsidR="000A6385" w:rsidRPr="009706BE" w:rsidRDefault="00920E5F" w:rsidP="00496979">
      <w:pPr>
        <w:pStyle w:val="ApptoAnnex"/>
      </w:pPr>
      <w:r w:rsidRPr="009706BE">
        <w:t>APPENDIX 1 TO ANNEX 4</w:t>
      </w:r>
      <w:r w:rsidRPr="009706BE">
        <w:rPr>
          <w:sz w:val="16"/>
          <w:szCs w:val="16"/>
        </w:rPr>
        <w:t>     (Rev.WRC</w:t>
      </w:r>
      <w:r w:rsidRPr="009706BE">
        <w:rPr>
          <w:sz w:val="16"/>
          <w:szCs w:val="16"/>
        </w:rPr>
        <w:noBreakHyphen/>
      </w:r>
      <w:del w:id="18" w:author="I.T.U.-R" w:date="2023-10-06T14:28:00Z">
        <w:r w:rsidRPr="009706BE" w:rsidDel="00D50FA1">
          <w:rPr>
            <w:sz w:val="16"/>
            <w:szCs w:val="16"/>
          </w:rPr>
          <w:delText>07</w:delText>
        </w:r>
      </w:del>
      <w:ins w:id="19" w:author="I.T.U.-R" w:date="2023-10-06T14:28:00Z">
        <w:r w:rsidR="00D50FA1" w:rsidRPr="009706BE">
          <w:rPr>
            <w:sz w:val="16"/>
            <w:szCs w:val="16"/>
          </w:rPr>
          <w:t>23</w:t>
        </w:r>
      </w:ins>
      <w:r w:rsidRPr="009706BE">
        <w:rPr>
          <w:sz w:val="16"/>
          <w:szCs w:val="16"/>
        </w:rPr>
        <w:t>)</w:t>
      </w:r>
    </w:p>
    <w:p w14:paraId="6428361C" w14:textId="77777777" w:rsidR="000A6385" w:rsidRPr="009706BE" w:rsidRDefault="00920E5F" w:rsidP="00496979">
      <w:pPr>
        <w:pStyle w:val="Appendixtitle"/>
      </w:pPr>
      <w:bookmarkStart w:id="20" w:name="_Toc330560580"/>
      <w:bookmarkStart w:id="21" w:name="_Toc42084229"/>
      <w:r w:rsidRPr="009706BE">
        <w:t>Method for determination of the overall single-entry and aggregate</w:t>
      </w:r>
      <w:r w:rsidRPr="009706BE">
        <w:br/>
        <w:t>carrier-to-interference value averaged over the necessary</w:t>
      </w:r>
      <w:r w:rsidRPr="009706BE">
        <w:br/>
        <w:t>bandwidth of the modulated carrier</w:t>
      </w:r>
      <w:bookmarkEnd w:id="20"/>
      <w:bookmarkEnd w:id="21"/>
    </w:p>
    <w:p w14:paraId="75B0BAA4" w14:textId="77777777" w:rsidR="000853F2" w:rsidRPr="009706BE" w:rsidRDefault="000853F2">
      <w:pPr>
        <w:pStyle w:val="Reasons"/>
      </w:pPr>
    </w:p>
    <w:p w14:paraId="17F52A0E" w14:textId="77777777" w:rsidR="000853F2" w:rsidRPr="009706BE" w:rsidRDefault="00920E5F">
      <w:pPr>
        <w:pStyle w:val="Proposal"/>
      </w:pPr>
      <w:r w:rsidRPr="009706BE">
        <w:rPr>
          <w:u w:val="single"/>
        </w:rPr>
        <w:t>NOC</w:t>
      </w:r>
      <w:r w:rsidRPr="009706BE">
        <w:tab/>
        <w:t>EUR/65A22A4/2</w:t>
      </w:r>
    </w:p>
    <w:p w14:paraId="335B13F5" w14:textId="77777777" w:rsidR="000A6385" w:rsidRPr="009706BE" w:rsidRDefault="00920E5F" w:rsidP="00496979">
      <w:pPr>
        <w:pStyle w:val="Heading1"/>
      </w:pPr>
      <w:r w:rsidRPr="009706BE">
        <w:t>1</w:t>
      </w:r>
      <w:r w:rsidRPr="009706BE">
        <w:tab/>
        <w:t xml:space="preserve">Single-entry </w:t>
      </w:r>
      <w:r w:rsidRPr="009706BE">
        <w:rPr>
          <w:i/>
          <w:iCs/>
        </w:rPr>
        <w:t>C</w:t>
      </w:r>
      <w:r w:rsidRPr="009706BE">
        <w:t>/</w:t>
      </w:r>
      <w:r w:rsidRPr="009706BE">
        <w:rPr>
          <w:i/>
          <w:iCs/>
        </w:rPr>
        <w:t>I</w:t>
      </w:r>
    </w:p>
    <w:p w14:paraId="1C29DAA8" w14:textId="77777777" w:rsidR="000853F2" w:rsidRPr="009706BE" w:rsidRDefault="000853F2">
      <w:pPr>
        <w:pStyle w:val="Reasons"/>
      </w:pPr>
    </w:p>
    <w:p w14:paraId="0CB62F82" w14:textId="77777777" w:rsidR="000853F2" w:rsidRPr="009706BE" w:rsidRDefault="00920E5F">
      <w:pPr>
        <w:pStyle w:val="Proposal"/>
      </w:pPr>
      <w:r w:rsidRPr="009706BE">
        <w:t>MOD</w:t>
      </w:r>
      <w:r w:rsidRPr="009706BE">
        <w:tab/>
        <w:t>EUR/65A22A4/3</w:t>
      </w:r>
    </w:p>
    <w:p w14:paraId="444944D9" w14:textId="77777777" w:rsidR="000A6385" w:rsidRPr="009706BE" w:rsidRDefault="00920E5F" w:rsidP="00496979">
      <w:pPr>
        <w:pStyle w:val="Heading1"/>
      </w:pPr>
      <w:r w:rsidRPr="009706BE">
        <w:t>2</w:t>
      </w:r>
      <w:r w:rsidRPr="009706BE">
        <w:tab/>
        <w:t xml:space="preserve">Aggregate </w:t>
      </w:r>
      <w:r w:rsidRPr="009706BE">
        <w:rPr>
          <w:i/>
          <w:iCs/>
        </w:rPr>
        <w:t>C</w:t>
      </w:r>
      <w:r w:rsidRPr="009706BE">
        <w:t>/</w:t>
      </w:r>
      <w:r w:rsidRPr="009706BE">
        <w:rPr>
          <w:i/>
          <w:iCs/>
        </w:rPr>
        <w:t>I</w:t>
      </w:r>
    </w:p>
    <w:p w14:paraId="54A6781D" w14:textId="77777777" w:rsidR="0099061B" w:rsidRPr="009706BE" w:rsidRDefault="0099061B" w:rsidP="0099061B">
      <w:r w:rsidRPr="009706BE">
        <w:t>The aggregate (</w:t>
      </w:r>
      <w:r w:rsidRPr="009706BE">
        <w:rPr>
          <w:i/>
          <w:iCs/>
        </w:rPr>
        <w:t>C</w:t>
      </w:r>
      <w:r w:rsidRPr="009706BE">
        <w:t>/</w:t>
      </w:r>
      <w:r w:rsidRPr="009706BE">
        <w:rPr>
          <w:i/>
          <w:iCs/>
        </w:rPr>
        <w:t>I</w:t>
      </w:r>
      <w:r w:rsidRPr="009706BE">
        <w:t>)</w:t>
      </w:r>
      <w:r w:rsidRPr="009706BE">
        <w:rPr>
          <w:i/>
          <w:iCs/>
          <w:vertAlign w:val="subscript"/>
        </w:rPr>
        <w:t>agg</w:t>
      </w:r>
      <w:r w:rsidRPr="009706BE">
        <w:t xml:space="preserve"> at a given downlink test point is given by:</w:t>
      </w:r>
    </w:p>
    <w:p w14:paraId="115AC595" w14:textId="77777777" w:rsidR="0099061B" w:rsidRPr="009706BE" w:rsidRDefault="0099061B" w:rsidP="0099061B">
      <w:pPr>
        <w:pStyle w:val="Equation"/>
      </w:pPr>
      <w:r w:rsidRPr="009706BE">
        <w:tab/>
      </w:r>
      <w:r w:rsidRPr="009706BE">
        <w:tab/>
      </w:r>
      <w:r w:rsidRPr="009706BE">
        <w:rPr>
          <w:position w:val="-52"/>
        </w:rPr>
        <w:object w:dxaOrig="3900" w:dyaOrig="1160" w14:anchorId="73385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7" o:spid="_x0000_i1025" type="#_x0000_t75" style="width:198pt;height:55.8pt" o:ole="">
            <v:imagedata r:id="rId15" o:title=""/>
          </v:shape>
          <o:OLEObject Type="Embed" ProgID="Equation.DSMT4" ShapeID="shape37" DrawAspect="Content" ObjectID="_1758120374" r:id="rId16"/>
        </w:object>
      </w:r>
      <w:r w:rsidRPr="009706BE">
        <w:t>          dB</w:t>
      </w:r>
    </w:p>
    <w:p w14:paraId="625A9ED2" w14:textId="77777777" w:rsidR="0099061B" w:rsidRPr="009706BE" w:rsidRDefault="0099061B" w:rsidP="0099061B">
      <w:pPr>
        <w:pStyle w:val="Equation"/>
      </w:pPr>
      <w:r w:rsidRPr="009706BE">
        <w:tab/>
      </w:r>
      <w:r w:rsidRPr="009706BE">
        <w:tab/>
      </w:r>
      <w:r w:rsidRPr="009706BE">
        <w:rPr>
          <w:i/>
          <w:iCs/>
        </w:rPr>
        <w:t>j</w:t>
      </w:r>
      <w:r w:rsidRPr="009706BE">
        <w:t xml:space="preserve">  =  1, 2, 3 . . . </w:t>
      </w:r>
      <w:r w:rsidRPr="009706BE">
        <w:rPr>
          <w:i/>
          <w:iCs/>
        </w:rPr>
        <w:t>n</w:t>
      </w:r>
      <w:r w:rsidRPr="009706BE">
        <w:t>,</w:t>
      </w:r>
    </w:p>
    <w:p w14:paraId="498BD93F" w14:textId="77777777" w:rsidR="0099061B" w:rsidRPr="009706BE" w:rsidRDefault="0099061B" w:rsidP="0099061B">
      <w:r w:rsidRPr="009706BE">
        <w:t>where:</w:t>
      </w:r>
    </w:p>
    <w:p w14:paraId="151A2280" w14:textId="77777777" w:rsidR="0099061B" w:rsidRPr="009706BE" w:rsidRDefault="0099061B" w:rsidP="0099061B">
      <w:pPr>
        <w:pStyle w:val="Equationlegend"/>
      </w:pPr>
      <w:r w:rsidRPr="009706BE">
        <w:tab/>
        <w:t>(</w:t>
      </w:r>
      <w:r w:rsidRPr="009706BE">
        <w:rPr>
          <w:i/>
          <w:iCs/>
        </w:rPr>
        <w:t>C</w:t>
      </w:r>
      <w:r w:rsidRPr="009706BE">
        <w:t>/</w:t>
      </w:r>
      <w:r w:rsidRPr="009706BE">
        <w:rPr>
          <w:i/>
          <w:iCs/>
        </w:rPr>
        <w:t>I</w:t>
      </w:r>
      <w:r w:rsidRPr="009706BE">
        <w:t>)</w:t>
      </w:r>
      <w:r w:rsidRPr="009706BE">
        <w:rPr>
          <w:i/>
          <w:iCs/>
          <w:vertAlign w:val="subscript"/>
        </w:rPr>
        <w:t>tj</w:t>
      </w:r>
      <w:r w:rsidRPr="009706BE">
        <w:t>:</w:t>
      </w:r>
      <w:r w:rsidRPr="009706BE">
        <w:tab/>
        <w:t xml:space="preserve">overall carrier-to-interference ratio due to interference from the </w:t>
      </w:r>
      <w:r w:rsidRPr="009706BE">
        <w:rPr>
          <w:i/>
          <w:iCs/>
        </w:rPr>
        <w:t>j</w:t>
      </w:r>
      <w:r w:rsidRPr="009706BE">
        <w:t>-th allotment or assignment calculated using the method for overall single-entry (</w:t>
      </w:r>
      <w:r w:rsidRPr="009706BE">
        <w:rPr>
          <w:i/>
          <w:iCs/>
        </w:rPr>
        <w:t>C</w:t>
      </w:r>
      <w:r w:rsidRPr="009706BE">
        <w:t>/</w:t>
      </w:r>
      <w:r w:rsidRPr="009706BE">
        <w:rPr>
          <w:i/>
          <w:iCs/>
        </w:rPr>
        <w:t>I</w:t>
      </w:r>
      <w:r w:rsidRPr="009706BE">
        <w:t>)</w:t>
      </w:r>
      <w:r w:rsidRPr="009706BE">
        <w:rPr>
          <w:i/>
          <w:iCs/>
          <w:vertAlign w:val="subscript"/>
        </w:rPr>
        <w:t>t</w:t>
      </w:r>
      <w:r w:rsidRPr="009706BE">
        <w:t xml:space="preserve"> as provided in § 1 of Appendix 1 to this Annex; and</w:t>
      </w:r>
    </w:p>
    <w:p w14:paraId="26AA4F75" w14:textId="77777777" w:rsidR="0099061B" w:rsidRPr="009706BE" w:rsidRDefault="0099061B" w:rsidP="0099061B">
      <w:pPr>
        <w:pStyle w:val="Equationlegend"/>
      </w:pPr>
      <w:r w:rsidRPr="009706BE">
        <w:rPr>
          <w:i/>
          <w:iCs/>
        </w:rPr>
        <w:tab/>
        <w:t>n</w:t>
      </w:r>
      <w:r w:rsidRPr="009706BE">
        <w:t>:</w:t>
      </w:r>
      <w:r w:rsidRPr="009706BE">
        <w:tab/>
        <w:t xml:space="preserve">total number of interfering allotments or assignments for which the orbital separation with the desired satellite is less than or equal to </w:t>
      </w:r>
      <w:del w:id="22" w:author="PTB" w:date="2022-12-07T18:15:00Z">
        <w:r w:rsidRPr="009706BE" w:rsidDel="009A697B">
          <w:delText>10</w:delText>
        </w:r>
      </w:del>
      <w:ins w:id="23" w:author="PTB" w:date="2022-12-07T18:15:00Z">
        <w:r w:rsidRPr="009706BE">
          <w:t>7</w:t>
        </w:r>
      </w:ins>
      <w:r w:rsidRPr="009706BE">
        <w:t xml:space="preserve">° in the case of the 6/4 GHz band and less than or equal to </w:t>
      </w:r>
      <w:del w:id="24" w:author="PTB" w:date="2022-12-07T18:15:00Z">
        <w:r w:rsidRPr="009706BE" w:rsidDel="009A697B">
          <w:delText>9</w:delText>
        </w:r>
      </w:del>
      <w:ins w:id="25" w:author="PTB" w:date="2022-12-07T18:15:00Z">
        <w:r w:rsidRPr="009706BE">
          <w:t>6</w:t>
        </w:r>
      </w:ins>
      <w:r w:rsidRPr="009706BE">
        <w:t>° in the case of the 13/10-11 GHz band.</w:t>
      </w:r>
    </w:p>
    <w:p w14:paraId="16EB2C48" w14:textId="77777777" w:rsidR="0099061B" w:rsidRPr="009706BE" w:rsidRDefault="0099061B" w:rsidP="0032202E">
      <w:pPr>
        <w:pStyle w:val="Reasons"/>
      </w:pPr>
    </w:p>
    <w:p w14:paraId="0DCB7BF2" w14:textId="772FA470" w:rsidR="000853F2" w:rsidRPr="009706BE" w:rsidRDefault="0099061B" w:rsidP="00920E5F">
      <w:pPr>
        <w:spacing w:before="0"/>
        <w:jc w:val="center"/>
      </w:pPr>
      <w:r w:rsidRPr="009706BE">
        <w:t>______________</w:t>
      </w:r>
    </w:p>
    <w:sectPr w:rsidR="000853F2" w:rsidRPr="009706BE" w:rsidSect="00E12668">
      <w:headerReference w:type="default" r:id="rId17"/>
      <w:footerReference w:type="even" r:id="rId18"/>
      <w:footerReference w:type="default" r:id="rId19"/>
      <w:type w:val="oddPage"/>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5884" w14:textId="77777777" w:rsidR="0022757F" w:rsidRDefault="0022757F">
      <w:r>
        <w:separator/>
      </w:r>
    </w:p>
  </w:endnote>
  <w:endnote w:type="continuationSeparator" w:id="0">
    <w:p w14:paraId="2D52001D"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F928" w14:textId="77777777" w:rsidR="00E45D05" w:rsidRDefault="00E45D05">
    <w:pPr>
      <w:framePr w:wrap="around" w:vAnchor="text" w:hAnchor="margin" w:xAlign="right" w:y="1"/>
    </w:pPr>
    <w:r>
      <w:fldChar w:fldCharType="begin"/>
    </w:r>
    <w:r>
      <w:instrText xml:space="preserve">PAGE  </w:instrText>
    </w:r>
    <w:r>
      <w:fldChar w:fldCharType="end"/>
    </w:r>
  </w:p>
  <w:p w14:paraId="0C274A24" w14:textId="624419F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F5404">
      <w:rPr>
        <w:noProof/>
      </w:rPr>
      <w:t>06.10.23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9472" w14:textId="1B429E93" w:rsidR="00E12668" w:rsidRDefault="00E45D05" w:rsidP="009B1EA1">
    <w:pPr>
      <w:pStyle w:val="Footer"/>
    </w:pPr>
    <w:r>
      <w:fldChar w:fldCharType="begin"/>
    </w:r>
    <w:r w:rsidRPr="0041348E">
      <w:rPr>
        <w:lang w:val="en-US"/>
      </w:rPr>
      <w:instrText xml:space="preserve"> FILENAME \p  \* MERGEFORMAT </w:instrText>
    </w:r>
    <w:r>
      <w:fldChar w:fldCharType="separate"/>
    </w:r>
    <w:r w:rsidR="00A91A58">
      <w:rPr>
        <w:lang w:val="en-US"/>
      </w:rPr>
      <w:t>P:\ENG\ITU-R\CONF-R\CMR23\000\065ADD22ADD4E.docx</w:t>
    </w:r>
    <w:r>
      <w:fldChar w:fldCharType="end"/>
    </w:r>
    <w:r w:rsidR="00A91A58">
      <w:t xml:space="preserve"> (</w:t>
    </w:r>
    <w:r w:rsidR="00E12668">
      <w:t>528838)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D828" w14:textId="77777777" w:rsidR="0022757F" w:rsidRDefault="0022757F">
      <w:r>
        <w:rPr>
          <w:b/>
        </w:rPr>
        <w:t>_______________</w:t>
      </w:r>
    </w:p>
  </w:footnote>
  <w:footnote w:type="continuationSeparator" w:id="0">
    <w:p w14:paraId="4F7E0BC4"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B37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240CCF9" w14:textId="77777777" w:rsidR="00A066F1" w:rsidRPr="00A066F1" w:rsidRDefault="00BC75DE" w:rsidP="00241FA2">
    <w:pPr>
      <w:pStyle w:val="Header"/>
    </w:pPr>
    <w:r>
      <w:t>WRC</w:t>
    </w:r>
    <w:r w:rsidR="006D70B0">
      <w:t>23</w:t>
    </w:r>
    <w:r w:rsidR="00A066F1">
      <w:t>/</w:t>
    </w:r>
    <w:bookmarkStart w:id="26" w:name="OLE_LINK1"/>
    <w:bookmarkStart w:id="27" w:name="OLE_LINK2"/>
    <w:bookmarkStart w:id="28" w:name="OLE_LINK3"/>
    <w:r w:rsidR="00EB55C6">
      <w:t>65(Add.22)(Add.4)</w:t>
    </w:r>
    <w:bookmarkEnd w:id="26"/>
    <w:bookmarkEnd w:id="27"/>
    <w:bookmarkEnd w:id="2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24531216">
    <w:abstractNumId w:val="0"/>
  </w:num>
  <w:num w:numId="2" w16cid:durableId="15042018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R">
    <w15:presenceInfo w15:providerId="None" w15:userId="I.T.U.-R"/>
  </w15:person>
  <w15:person w15:author="PTB">
    <w15:presenceInfo w15:providerId="None" w15:userId="P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53F2"/>
    <w:rsid w:val="00086491"/>
    <w:rsid w:val="00091346"/>
    <w:rsid w:val="0009706C"/>
    <w:rsid w:val="000A6385"/>
    <w:rsid w:val="000D154B"/>
    <w:rsid w:val="000D2DAF"/>
    <w:rsid w:val="000E463E"/>
    <w:rsid w:val="000F5404"/>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5E03"/>
    <w:rsid w:val="00271316"/>
    <w:rsid w:val="00297EB8"/>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1F7A"/>
    <w:rsid w:val="00492075"/>
    <w:rsid w:val="004969AD"/>
    <w:rsid w:val="004A26C4"/>
    <w:rsid w:val="004B13CB"/>
    <w:rsid w:val="004D26EA"/>
    <w:rsid w:val="004D2BFB"/>
    <w:rsid w:val="004D5D5C"/>
    <w:rsid w:val="004F3DC0"/>
    <w:rsid w:val="0050139F"/>
    <w:rsid w:val="0055140B"/>
    <w:rsid w:val="0057614F"/>
    <w:rsid w:val="005861D7"/>
    <w:rsid w:val="005964AB"/>
    <w:rsid w:val="005C099A"/>
    <w:rsid w:val="005C31A5"/>
    <w:rsid w:val="005E10C9"/>
    <w:rsid w:val="005E290B"/>
    <w:rsid w:val="005E61DD"/>
    <w:rsid w:val="005F04D8"/>
    <w:rsid w:val="006023DF"/>
    <w:rsid w:val="00615426"/>
    <w:rsid w:val="00616219"/>
    <w:rsid w:val="0064039B"/>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0E5F"/>
    <w:rsid w:val="009274B4"/>
    <w:rsid w:val="00934EA2"/>
    <w:rsid w:val="00944A5C"/>
    <w:rsid w:val="00952A66"/>
    <w:rsid w:val="009706BE"/>
    <w:rsid w:val="0099061B"/>
    <w:rsid w:val="009B1EA1"/>
    <w:rsid w:val="009B7C9A"/>
    <w:rsid w:val="009C56E5"/>
    <w:rsid w:val="009C7716"/>
    <w:rsid w:val="009E5FC8"/>
    <w:rsid w:val="009E687A"/>
    <w:rsid w:val="009F236F"/>
    <w:rsid w:val="00A066F1"/>
    <w:rsid w:val="00A141AF"/>
    <w:rsid w:val="00A16D29"/>
    <w:rsid w:val="00A30305"/>
    <w:rsid w:val="00A31D2D"/>
    <w:rsid w:val="00A408AE"/>
    <w:rsid w:val="00A4600A"/>
    <w:rsid w:val="00A538A6"/>
    <w:rsid w:val="00A54C25"/>
    <w:rsid w:val="00A710E7"/>
    <w:rsid w:val="00A7372E"/>
    <w:rsid w:val="00A73A12"/>
    <w:rsid w:val="00A77772"/>
    <w:rsid w:val="00A8284C"/>
    <w:rsid w:val="00A91A58"/>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42CFD"/>
    <w:rsid w:val="00C43B02"/>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0FA1"/>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2668"/>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457E4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73A12"/>
    <w:rPr>
      <w:color w:val="605E5C"/>
      <w:shd w:val="clear" w:color="auto" w:fill="E1DFDD"/>
    </w:rPr>
  </w:style>
  <w:style w:type="character" w:styleId="FollowedHyperlink">
    <w:name w:val="FollowedHyperlink"/>
    <w:basedOn w:val="DefaultParagraphFont"/>
    <w:semiHidden/>
    <w:unhideWhenUsed/>
    <w:rsid w:val="000F5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CRR-CIR-0066/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R23-WRC23-C-0065!A22-A4!MSW-E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47355-29F2-4721-B517-81C178C2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719A2-EF3F-441E-83F4-E2CC9C67578C}">
  <ds:schemaRefs>
    <ds:schemaRef ds:uri="http://schemas.openxmlformats.org/officeDocument/2006/bibliography"/>
  </ds:schemaRefs>
</ds:datastoreItem>
</file>

<file path=customXml/itemProps3.xml><?xml version="1.0" encoding="utf-8"?>
<ds:datastoreItem xmlns:ds="http://schemas.openxmlformats.org/officeDocument/2006/customXml" ds:itemID="{D575B3A7-ED0B-457C-B0F8-B9640D4EA7DC}">
  <ds:schemaRefs>
    <ds:schemaRef ds:uri="http://schemas.microsoft.com/sharepoint/events"/>
  </ds:schemaRefs>
</ds:datastoreItem>
</file>

<file path=customXml/itemProps4.xml><?xml version="1.0" encoding="utf-8"?>
<ds:datastoreItem xmlns:ds="http://schemas.openxmlformats.org/officeDocument/2006/customXml" ds:itemID="{D7EA7578-AB30-45EF-B4B9-5CD3ADFB9201}">
  <ds:schemaRefs>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76b7d054-b29f-418b-b414-6b742f999448"/>
    <ds:schemaRef ds:uri="http://www.w3.org/XML/1998/namespace"/>
    <ds:schemaRef ds:uri="http://purl.org/dc/elements/1.1/"/>
    <ds:schemaRef ds:uri="http://schemas.openxmlformats.org/package/2006/metadata/core-properties"/>
    <ds:schemaRef ds:uri="b9f87034-1e33-420b-8ff9-da24a529006f"/>
  </ds:schemaRefs>
</ds:datastoreItem>
</file>

<file path=customXml/itemProps5.xml><?xml version="1.0" encoding="utf-8"?>
<ds:datastoreItem xmlns:ds="http://schemas.openxmlformats.org/officeDocument/2006/customXml" ds:itemID="{1CCAF80E-4AAF-4EF5-B148-AE66D848A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457</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R23-WRC23-C-0065!A22-A4!MSW-E</vt:lpstr>
    </vt:vector>
  </TitlesOfParts>
  <Manager>General Secretariat - Pool</Manager>
  <Company>International Telecommunication Union (ITU)</Company>
  <LinksUpToDate>false</LinksUpToDate>
  <CharactersWithSpaces>3075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R23-WRC23-C-0065!A22-A4!MSW-E</dc:title>
  <dc:subject>World Radiocommunication Conference - 2023</dc:subject>
  <dc:creator>Documents Proposals Manager (DPM)</dc:creator>
  <cp:keywords>DPM_v2023.8.1.1_prod</cp:keywords>
  <dc:description>Uploaded on 2015.07.06</dc:description>
  <cp:lastModifiedBy>TPU E kt</cp:lastModifiedBy>
  <cp:revision>4</cp:revision>
  <cp:lastPrinted>2017-02-10T08:23:00Z</cp:lastPrinted>
  <dcterms:created xsi:type="dcterms:W3CDTF">2023-10-06T14:19:00Z</dcterms:created>
  <dcterms:modified xsi:type="dcterms:W3CDTF">2023-10-06T15:58:00Z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