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C0E4B" w14:paraId="10FE1BCB" w14:textId="77777777" w:rsidTr="00C1305F">
        <w:trPr>
          <w:cantSplit/>
        </w:trPr>
        <w:tc>
          <w:tcPr>
            <w:tcW w:w="1418" w:type="dxa"/>
            <w:vAlign w:val="center"/>
          </w:tcPr>
          <w:p w14:paraId="21F31A4B" w14:textId="77777777" w:rsidR="00C1305F" w:rsidRPr="008C0E4B" w:rsidRDefault="00C1305F" w:rsidP="00B575FF">
            <w:pPr>
              <w:spacing w:before="0"/>
              <w:rPr>
                <w:rFonts w:ascii="Verdana" w:hAnsi="Verdana"/>
                <w:b/>
                <w:bCs/>
                <w:sz w:val="20"/>
              </w:rPr>
            </w:pPr>
            <w:r w:rsidRPr="008C0E4B">
              <w:drawing>
                <wp:inline distT="0" distB="0" distL="0" distR="0" wp14:anchorId="443CFAE3" wp14:editId="7271ABE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6446BDE" w14:textId="4A2C16BB" w:rsidR="00C1305F" w:rsidRPr="008C0E4B" w:rsidRDefault="00C1305F" w:rsidP="00B575FF">
            <w:pPr>
              <w:spacing w:before="400" w:after="48"/>
              <w:rPr>
                <w:rFonts w:ascii="Verdana" w:hAnsi="Verdana"/>
                <w:b/>
                <w:bCs/>
                <w:sz w:val="20"/>
              </w:rPr>
            </w:pPr>
            <w:r w:rsidRPr="008C0E4B">
              <w:rPr>
                <w:rFonts w:ascii="Verdana" w:hAnsi="Verdana"/>
                <w:b/>
                <w:bCs/>
                <w:sz w:val="20"/>
              </w:rPr>
              <w:t>Conférence mondiale des radiocommunications (CMR-23)</w:t>
            </w:r>
            <w:r w:rsidRPr="008C0E4B">
              <w:rPr>
                <w:rFonts w:ascii="Verdana" w:hAnsi="Verdana"/>
                <w:b/>
                <w:bCs/>
                <w:sz w:val="20"/>
              </w:rPr>
              <w:br/>
            </w:r>
            <w:r w:rsidRPr="008C0E4B">
              <w:rPr>
                <w:rFonts w:ascii="Verdana" w:hAnsi="Verdana"/>
                <w:b/>
                <w:bCs/>
                <w:sz w:val="18"/>
                <w:szCs w:val="18"/>
              </w:rPr>
              <w:t xml:space="preserve">Dubaï, 20 novembre </w:t>
            </w:r>
            <w:r w:rsidR="0094312B" w:rsidRPr="008C0E4B">
              <w:rPr>
                <w:rFonts w:ascii="Verdana" w:hAnsi="Verdana"/>
                <w:b/>
                <w:bCs/>
                <w:sz w:val="18"/>
                <w:szCs w:val="18"/>
              </w:rPr>
              <w:t>–</w:t>
            </w:r>
            <w:r w:rsidRPr="008C0E4B">
              <w:rPr>
                <w:rFonts w:ascii="Verdana" w:hAnsi="Verdana"/>
                <w:b/>
                <w:bCs/>
                <w:sz w:val="18"/>
                <w:szCs w:val="18"/>
              </w:rPr>
              <w:t xml:space="preserve"> 15 décembre 2023</w:t>
            </w:r>
          </w:p>
        </w:tc>
        <w:tc>
          <w:tcPr>
            <w:tcW w:w="1809" w:type="dxa"/>
            <w:vAlign w:val="center"/>
          </w:tcPr>
          <w:p w14:paraId="09EAD51B" w14:textId="77777777" w:rsidR="00C1305F" w:rsidRPr="008C0E4B" w:rsidRDefault="00C1305F" w:rsidP="00B575FF">
            <w:pPr>
              <w:spacing w:before="0"/>
            </w:pPr>
            <w:r w:rsidRPr="008C0E4B">
              <w:drawing>
                <wp:inline distT="0" distB="0" distL="0" distR="0" wp14:anchorId="0DDBD9A4" wp14:editId="463928A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C0E4B" w14:paraId="76A518EF" w14:textId="77777777" w:rsidTr="0050008E">
        <w:trPr>
          <w:cantSplit/>
        </w:trPr>
        <w:tc>
          <w:tcPr>
            <w:tcW w:w="6911" w:type="dxa"/>
            <w:gridSpan w:val="2"/>
            <w:tcBorders>
              <w:bottom w:val="single" w:sz="12" w:space="0" w:color="auto"/>
            </w:tcBorders>
          </w:tcPr>
          <w:p w14:paraId="7F7CE9F3" w14:textId="77777777" w:rsidR="00BB1D82" w:rsidRPr="008C0E4B" w:rsidRDefault="00BB1D82" w:rsidP="00B575FF">
            <w:pPr>
              <w:spacing w:before="0" w:after="48"/>
              <w:rPr>
                <w:b/>
                <w:smallCaps/>
                <w:szCs w:val="24"/>
              </w:rPr>
            </w:pPr>
            <w:bookmarkStart w:id="0" w:name="dhead"/>
          </w:p>
        </w:tc>
        <w:tc>
          <w:tcPr>
            <w:tcW w:w="3120" w:type="dxa"/>
            <w:gridSpan w:val="2"/>
            <w:tcBorders>
              <w:bottom w:val="single" w:sz="12" w:space="0" w:color="auto"/>
            </w:tcBorders>
          </w:tcPr>
          <w:p w14:paraId="7627F9BF" w14:textId="77777777" w:rsidR="00BB1D82" w:rsidRPr="008C0E4B" w:rsidRDefault="00BB1D82" w:rsidP="00B575FF">
            <w:pPr>
              <w:spacing w:before="0"/>
              <w:rPr>
                <w:rFonts w:ascii="Verdana" w:hAnsi="Verdana"/>
                <w:szCs w:val="24"/>
              </w:rPr>
            </w:pPr>
          </w:p>
        </w:tc>
      </w:tr>
      <w:tr w:rsidR="00BB1D82" w:rsidRPr="008C0E4B" w14:paraId="59851012" w14:textId="77777777" w:rsidTr="00BB1D82">
        <w:trPr>
          <w:cantSplit/>
        </w:trPr>
        <w:tc>
          <w:tcPr>
            <w:tcW w:w="6911" w:type="dxa"/>
            <w:gridSpan w:val="2"/>
            <w:tcBorders>
              <w:top w:val="single" w:sz="12" w:space="0" w:color="auto"/>
            </w:tcBorders>
          </w:tcPr>
          <w:p w14:paraId="36BA6F1A" w14:textId="77777777" w:rsidR="00BB1D82" w:rsidRPr="008C0E4B" w:rsidRDefault="00BB1D82" w:rsidP="00B575FF">
            <w:pPr>
              <w:spacing w:before="0" w:after="48"/>
              <w:rPr>
                <w:rFonts w:ascii="Verdana" w:hAnsi="Verdana"/>
                <w:b/>
                <w:smallCaps/>
                <w:sz w:val="20"/>
              </w:rPr>
            </w:pPr>
          </w:p>
        </w:tc>
        <w:tc>
          <w:tcPr>
            <w:tcW w:w="3120" w:type="dxa"/>
            <w:gridSpan w:val="2"/>
            <w:tcBorders>
              <w:top w:val="single" w:sz="12" w:space="0" w:color="auto"/>
            </w:tcBorders>
          </w:tcPr>
          <w:p w14:paraId="2945100A" w14:textId="77777777" w:rsidR="00BB1D82" w:rsidRPr="008C0E4B" w:rsidRDefault="00BB1D82" w:rsidP="00B575FF">
            <w:pPr>
              <w:spacing w:before="0"/>
              <w:rPr>
                <w:rFonts w:ascii="Verdana" w:hAnsi="Verdana"/>
                <w:sz w:val="20"/>
              </w:rPr>
            </w:pPr>
          </w:p>
        </w:tc>
      </w:tr>
      <w:tr w:rsidR="00BB1D82" w:rsidRPr="008C0E4B" w14:paraId="1ADA5E3A" w14:textId="77777777" w:rsidTr="00BB1D82">
        <w:trPr>
          <w:cantSplit/>
        </w:trPr>
        <w:tc>
          <w:tcPr>
            <w:tcW w:w="6911" w:type="dxa"/>
            <w:gridSpan w:val="2"/>
          </w:tcPr>
          <w:p w14:paraId="60C66478" w14:textId="77777777" w:rsidR="00BB1D82" w:rsidRPr="008C0E4B" w:rsidRDefault="006D4724" w:rsidP="00B575FF">
            <w:pPr>
              <w:spacing w:before="0"/>
              <w:rPr>
                <w:rFonts w:ascii="Verdana" w:hAnsi="Verdana"/>
                <w:b/>
                <w:sz w:val="20"/>
              </w:rPr>
            </w:pPr>
            <w:r w:rsidRPr="008C0E4B">
              <w:rPr>
                <w:rFonts w:ascii="Verdana" w:hAnsi="Verdana"/>
                <w:b/>
                <w:sz w:val="20"/>
              </w:rPr>
              <w:t>SÉANCE PLÉNIÈRE</w:t>
            </w:r>
          </w:p>
        </w:tc>
        <w:tc>
          <w:tcPr>
            <w:tcW w:w="3120" w:type="dxa"/>
            <w:gridSpan w:val="2"/>
          </w:tcPr>
          <w:p w14:paraId="360938F2" w14:textId="77777777" w:rsidR="00BB1D82" w:rsidRPr="008C0E4B" w:rsidRDefault="006D4724" w:rsidP="00B575FF">
            <w:pPr>
              <w:spacing w:before="0"/>
              <w:rPr>
                <w:rFonts w:ascii="Verdana" w:hAnsi="Verdana"/>
                <w:sz w:val="20"/>
              </w:rPr>
            </w:pPr>
            <w:r w:rsidRPr="008C0E4B">
              <w:rPr>
                <w:rFonts w:ascii="Verdana" w:hAnsi="Verdana"/>
                <w:b/>
                <w:sz w:val="20"/>
              </w:rPr>
              <w:t>Addendum 13 au</w:t>
            </w:r>
            <w:r w:rsidRPr="008C0E4B">
              <w:rPr>
                <w:rFonts w:ascii="Verdana" w:hAnsi="Verdana"/>
                <w:b/>
                <w:sz w:val="20"/>
              </w:rPr>
              <w:br/>
              <w:t>Document 65(Add.22)</w:t>
            </w:r>
            <w:r w:rsidR="00BB1D82" w:rsidRPr="008C0E4B">
              <w:rPr>
                <w:rFonts w:ascii="Verdana" w:hAnsi="Verdana"/>
                <w:b/>
                <w:sz w:val="20"/>
              </w:rPr>
              <w:t>-</w:t>
            </w:r>
            <w:r w:rsidRPr="008C0E4B">
              <w:rPr>
                <w:rFonts w:ascii="Verdana" w:hAnsi="Verdana"/>
                <w:b/>
                <w:sz w:val="20"/>
              </w:rPr>
              <w:t>F</w:t>
            </w:r>
          </w:p>
        </w:tc>
      </w:tr>
      <w:bookmarkEnd w:id="0"/>
      <w:tr w:rsidR="00690C7B" w:rsidRPr="008C0E4B" w14:paraId="16E8F0B4" w14:textId="77777777" w:rsidTr="00BB1D82">
        <w:trPr>
          <w:cantSplit/>
        </w:trPr>
        <w:tc>
          <w:tcPr>
            <w:tcW w:w="6911" w:type="dxa"/>
            <w:gridSpan w:val="2"/>
          </w:tcPr>
          <w:p w14:paraId="465DA765" w14:textId="77777777" w:rsidR="00690C7B" w:rsidRPr="008C0E4B" w:rsidRDefault="00690C7B" w:rsidP="00B575FF">
            <w:pPr>
              <w:spacing w:before="0"/>
              <w:rPr>
                <w:rFonts w:ascii="Verdana" w:hAnsi="Verdana"/>
                <w:b/>
                <w:sz w:val="20"/>
              </w:rPr>
            </w:pPr>
          </w:p>
        </w:tc>
        <w:tc>
          <w:tcPr>
            <w:tcW w:w="3120" w:type="dxa"/>
            <w:gridSpan w:val="2"/>
          </w:tcPr>
          <w:p w14:paraId="11EB9CBE" w14:textId="77777777" w:rsidR="00690C7B" w:rsidRPr="008C0E4B" w:rsidRDefault="00690C7B" w:rsidP="00B575FF">
            <w:pPr>
              <w:spacing w:before="0"/>
              <w:rPr>
                <w:rFonts w:ascii="Verdana" w:hAnsi="Verdana"/>
                <w:b/>
                <w:sz w:val="20"/>
              </w:rPr>
            </w:pPr>
            <w:r w:rsidRPr="008C0E4B">
              <w:rPr>
                <w:rFonts w:ascii="Verdana" w:hAnsi="Verdana"/>
                <w:b/>
                <w:sz w:val="20"/>
              </w:rPr>
              <w:t>29 septembre 2023</w:t>
            </w:r>
          </w:p>
        </w:tc>
      </w:tr>
      <w:tr w:rsidR="00690C7B" w:rsidRPr="008C0E4B" w14:paraId="4CA6A798" w14:textId="77777777" w:rsidTr="00BB1D82">
        <w:trPr>
          <w:cantSplit/>
        </w:trPr>
        <w:tc>
          <w:tcPr>
            <w:tcW w:w="6911" w:type="dxa"/>
            <w:gridSpan w:val="2"/>
          </w:tcPr>
          <w:p w14:paraId="0166EE67" w14:textId="77777777" w:rsidR="00690C7B" w:rsidRPr="008C0E4B" w:rsidRDefault="00690C7B" w:rsidP="00B575FF">
            <w:pPr>
              <w:spacing w:before="0" w:after="48"/>
              <w:rPr>
                <w:rFonts w:ascii="Verdana" w:hAnsi="Verdana"/>
                <w:b/>
                <w:smallCaps/>
                <w:sz w:val="20"/>
              </w:rPr>
            </w:pPr>
          </w:p>
        </w:tc>
        <w:tc>
          <w:tcPr>
            <w:tcW w:w="3120" w:type="dxa"/>
            <w:gridSpan w:val="2"/>
          </w:tcPr>
          <w:p w14:paraId="64D4A40E" w14:textId="77777777" w:rsidR="00690C7B" w:rsidRPr="008C0E4B" w:rsidRDefault="00690C7B" w:rsidP="00B575FF">
            <w:pPr>
              <w:spacing w:before="0"/>
              <w:rPr>
                <w:rFonts w:ascii="Verdana" w:hAnsi="Verdana"/>
                <w:b/>
                <w:sz w:val="20"/>
              </w:rPr>
            </w:pPr>
            <w:r w:rsidRPr="008C0E4B">
              <w:rPr>
                <w:rFonts w:ascii="Verdana" w:hAnsi="Verdana"/>
                <w:b/>
                <w:sz w:val="20"/>
              </w:rPr>
              <w:t>Original: anglais</w:t>
            </w:r>
          </w:p>
        </w:tc>
      </w:tr>
      <w:tr w:rsidR="00690C7B" w:rsidRPr="008C0E4B" w14:paraId="13A89A80" w14:textId="77777777" w:rsidTr="00C11970">
        <w:trPr>
          <w:cantSplit/>
        </w:trPr>
        <w:tc>
          <w:tcPr>
            <w:tcW w:w="10031" w:type="dxa"/>
            <w:gridSpan w:val="4"/>
          </w:tcPr>
          <w:p w14:paraId="307856D9" w14:textId="77777777" w:rsidR="00690C7B" w:rsidRPr="008C0E4B" w:rsidRDefault="00690C7B" w:rsidP="00B575FF">
            <w:pPr>
              <w:spacing w:before="0"/>
              <w:rPr>
                <w:rFonts w:ascii="Verdana" w:hAnsi="Verdana"/>
                <w:b/>
                <w:sz w:val="20"/>
              </w:rPr>
            </w:pPr>
          </w:p>
        </w:tc>
      </w:tr>
      <w:tr w:rsidR="00690C7B" w:rsidRPr="008C0E4B" w14:paraId="033C8D18" w14:textId="77777777" w:rsidTr="0050008E">
        <w:trPr>
          <w:cantSplit/>
        </w:trPr>
        <w:tc>
          <w:tcPr>
            <w:tcW w:w="10031" w:type="dxa"/>
            <w:gridSpan w:val="4"/>
          </w:tcPr>
          <w:p w14:paraId="463BE7E8" w14:textId="77777777" w:rsidR="00690C7B" w:rsidRPr="008C0E4B" w:rsidRDefault="00690C7B" w:rsidP="00B575FF">
            <w:pPr>
              <w:pStyle w:val="Source"/>
            </w:pPr>
            <w:bookmarkStart w:id="1" w:name="dsource" w:colFirst="0" w:colLast="0"/>
            <w:r w:rsidRPr="008C0E4B">
              <w:t>Propositions européennes communes</w:t>
            </w:r>
          </w:p>
        </w:tc>
      </w:tr>
      <w:tr w:rsidR="00690C7B" w:rsidRPr="008C0E4B" w14:paraId="4F4D056C" w14:textId="77777777" w:rsidTr="0050008E">
        <w:trPr>
          <w:cantSplit/>
        </w:trPr>
        <w:tc>
          <w:tcPr>
            <w:tcW w:w="10031" w:type="dxa"/>
            <w:gridSpan w:val="4"/>
          </w:tcPr>
          <w:p w14:paraId="44FD9514" w14:textId="735772EC" w:rsidR="00690C7B" w:rsidRPr="008C0E4B" w:rsidRDefault="0094312B" w:rsidP="00B575FF">
            <w:pPr>
              <w:pStyle w:val="Title1"/>
            </w:pPr>
            <w:bookmarkStart w:id="2" w:name="dtitle1" w:colFirst="0" w:colLast="0"/>
            <w:bookmarkEnd w:id="1"/>
            <w:r w:rsidRPr="008C0E4B">
              <w:t>Propositions pour les travaux de la conférence</w:t>
            </w:r>
          </w:p>
        </w:tc>
      </w:tr>
      <w:tr w:rsidR="00690C7B" w:rsidRPr="008C0E4B" w14:paraId="1E0AC8DD" w14:textId="77777777" w:rsidTr="0050008E">
        <w:trPr>
          <w:cantSplit/>
        </w:trPr>
        <w:tc>
          <w:tcPr>
            <w:tcW w:w="10031" w:type="dxa"/>
            <w:gridSpan w:val="4"/>
          </w:tcPr>
          <w:p w14:paraId="58D5D2F4" w14:textId="77777777" w:rsidR="00690C7B" w:rsidRPr="008C0E4B" w:rsidRDefault="00690C7B" w:rsidP="00B575FF">
            <w:pPr>
              <w:pStyle w:val="Title2"/>
            </w:pPr>
            <w:bookmarkStart w:id="3" w:name="dtitle2" w:colFirst="0" w:colLast="0"/>
            <w:bookmarkEnd w:id="2"/>
          </w:p>
        </w:tc>
      </w:tr>
      <w:tr w:rsidR="00690C7B" w:rsidRPr="008C0E4B" w14:paraId="0D1092B6" w14:textId="77777777" w:rsidTr="0050008E">
        <w:trPr>
          <w:cantSplit/>
        </w:trPr>
        <w:tc>
          <w:tcPr>
            <w:tcW w:w="10031" w:type="dxa"/>
            <w:gridSpan w:val="4"/>
          </w:tcPr>
          <w:p w14:paraId="1EC8812E" w14:textId="77777777" w:rsidR="00690C7B" w:rsidRPr="008C0E4B" w:rsidRDefault="00690C7B" w:rsidP="00B575FF">
            <w:pPr>
              <w:pStyle w:val="Agendaitem"/>
              <w:rPr>
                <w:lang w:val="fr-FR"/>
              </w:rPr>
            </w:pPr>
            <w:bookmarkStart w:id="4" w:name="dtitle3" w:colFirst="0" w:colLast="0"/>
            <w:bookmarkEnd w:id="3"/>
            <w:r w:rsidRPr="008C0E4B">
              <w:rPr>
                <w:lang w:val="fr-FR"/>
              </w:rPr>
              <w:t>Point 7(K) de l'ordre du jour</w:t>
            </w:r>
          </w:p>
        </w:tc>
      </w:tr>
    </w:tbl>
    <w:bookmarkEnd w:id="4"/>
    <w:p w14:paraId="4FD91128" w14:textId="77777777" w:rsidR="001745F6" w:rsidRPr="008C0E4B" w:rsidRDefault="007436F1" w:rsidP="00B575FF">
      <w:r w:rsidRPr="008C0E4B">
        <w:t>7</w:t>
      </w:r>
      <w:r w:rsidRPr="008C0E4B">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C0E4B">
        <w:rPr>
          <w:b/>
          <w:bCs/>
        </w:rPr>
        <w:t>86 (Rév.CMR-07)</w:t>
      </w:r>
      <w:r w:rsidRPr="008C0E4B">
        <w:t>, afin de faciliter l'utilisation rationnelle, efficace et économique des fréquences radioélectriques et des orbites associées, y compris de l'orbite des satellites géostationnaires;</w:t>
      </w:r>
    </w:p>
    <w:p w14:paraId="5573F87B" w14:textId="77777777" w:rsidR="001745F6" w:rsidRPr="008C0E4B" w:rsidRDefault="007436F1" w:rsidP="00B575FF">
      <w:r w:rsidRPr="008C0E4B">
        <w:t>7(K)</w:t>
      </w:r>
      <w:r w:rsidRPr="008C0E4B">
        <w:tab/>
        <w:t xml:space="preserve">Question K – Modification apportée à la Résolution </w:t>
      </w:r>
      <w:r w:rsidRPr="008C0E4B">
        <w:rPr>
          <w:b/>
          <w:bCs/>
        </w:rPr>
        <w:t>553 (Rév.CMR-15)</w:t>
      </w:r>
      <w:r w:rsidRPr="008C0E4B">
        <w:t xml:space="preserve"> pour supprimer certaines restrictions empêchant les administrations de tirer concrètement parti de la Résolution</w:t>
      </w:r>
    </w:p>
    <w:p w14:paraId="3602D4ED" w14:textId="164C5E84" w:rsidR="00105680" w:rsidRPr="008C0E4B" w:rsidRDefault="00105680" w:rsidP="00B575FF">
      <w:pPr>
        <w:pStyle w:val="Headingb"/>
      </w:pPr>
      <w:r w:rsidRPr="008C0E4B">
        <w:t>Introduction</w:t>
      </w:r>
    </w:p>
    <w:p w14:paraId="0C3D01CD" w14:textId="3A05D67A" w:rsidR="00257D0A" w:rsidRPr="008C0E4B" w:rsidRDefault="00EF06F6" w:rsidP="00B575FF">
      <w:r w:rsidRPr="008C0E4B">
        <w:t>À</w:t>
      </w:r>
      <w:r w:rsidR="00B575FF" w:rsidRPr="008C0E4B">
        <w:t xml:space="preserve"> la suite de</w:t>
      </w:r>
      <w:r w:rsidR="00257D0A" w:rsidRPr="008C0E4B">
        <w:t xml:space="preserve"> la mise en œuvre de la Résolution </w:t>
      </w:r>
      <w:r w:rsidR="00257D0A" w:rsidRPr="008C0E4B">
        <w:rPr>
          <w:b/>
        </w:rPr>
        <w:t>553 (Rév.CMR-15)</w:t>
      </w:r>
      <w:r w:rsidR="00257D0A" w:rsidRPr="008C0E4B">
        <w:t xml:space="preserve"> par certaines administrations, il a été souligné que certaines restrictions décidées par la CMR-15 pouvaient empêcher les administrations d'appliquer efficacement la Résolution. Ces restrictions spécifiques peuvent être résumées comme suit:</w:t>
      </w:r>
    </w:p>
    <w:p w14:paraId="543606E5" w14:textId="512C5EB0" w:rsidR="00105680" w:rsidRPr="008C0E4B" w:rsidRDefault="00105680" w:rsidP="00B575FF">
      <w:pPr>
        <w:pStyle w:val="enumlev1"/>
      </w:pPr>
      <w:r w:rsidRPr="008C0E4B">
        <w:t>–</w:t>
      </w:r>
      <w:r w:rsidRPr="008C0E4B">
        <w:tab/>
        <w:t>la Résolution ne peut être appliquée qu'une seule fois par une administration, que celle</w:t>
      </w:r>
      <w:r w:rsidR="00EB3329" w:rsidRPr="008C0E4B">
        <w:noBreakHyphen/>
      </w:r>
      <w:r w:rsidRPr="008C0E4B">
        <w:t>ci soit parvenue ou non à notifier le réseau considéré; et</w:t>
      </w:r>
    </w:p>
    <w:p w14:paraId="3B466AA2" w14:textId="1A326148" w:rsidR="00105680" w:rsidRPr="008C0E4B" w:rsidRDefault="00105680" w:rsidP="00B575FF">
      <w:pPr>
        <w:pStyle w:val="enumlev1"/>
      </w:pPr>
      <w:r w:rsidRPr="008C0E4B">
        <w:t>–</w:t>
      </w:r>
      <w:r w:rsidRPr="008C0E4B">
        <w:tab/>
        <w:t>une administration ne peut pas appliquer la Résolution si elle a ne serait-ce qu'une seule demande en instance au titre de la procédure normale de coordination dans la bande de fréquences concernée.</w:t>
      </w:r>
    </w:p>
    <w:p w14:paraId="396EA686" w14:textId="52F4FC4C" w:rsidR="00105680" w:rsidRPr="008C0E4B" w:rsidRDefault="00257D0A" w:rsidP="00B575FF">
      <w:r w:rsidRPr="008C0E4B">
        <w:t xml:space="preserve">La CEPT propose de supprimer les restrictions ci-dessus en </w:t>
      </w:r>
      <w:r w:rsidR="00FF7C6F" w:rsidRPr="008C0E4B">
        <w:t>apportant des modifications aux</w:t>
      </w:r>
      <w:r w:rsidRPr="008C0E4B">
        <w:t xml:space="preserve"> paragraphes 1 et 2 de la Pièce jointe </w:t>
      </w:r>
      <w:r w:rsidR="00FF7C6F" w:rsidRPr="008C0E4B">
        <w:t>à</w:t>
      </w:r>
      <w:r w:rsidRPr="008C0E4B">
        <w:t xml:space="preserve"> la Résolution </w:t>
      </w:r>
      <w:r w:rsidRPr="008C0E4B">
        <w:rPr>
          <w:b/>
        </w:rPr>
        <w:t>553 (Rév.CMR-15)</w:t>
      </w:r>
      <w:r w:rsidRPr="008C0E4B">
        <w:t xml:space="preserve">. </w:t>
      </w:r>
      <w:r w:rsidR="00105680" w:rsidRPr="008C0E4B">
        <w:t xml:space="preserve">Cette méthode augmente la probabilité que les administrations appliquent efficacement la Résolution, mais ne permet pas de supprimer les restrictions </w:t>
      </w:r>
      <w:r w:rsidRPr="008C0E4B">
        <w:t xml:space="preserve">fondamentales </w:t>
      </w:r>
      <w:r w:rsidR="00105680" w:rsidRPr="008C0E4B">
        <w:t>qui empêchent une administration de notifier plus d'un réseau au titre de la procédure spéciale décrite dans la Résolution et d'appliquer la Résolution si elle a un réseau notifié dans les bandes de fréquences concernées.</w:t>
      </w:r>
    </w:p>
    <w:p w14:paraId="2C8F6180" w14:textId="61B71F7F" w:rsidR="00105680" w:rsidRPr="008C0E4B" w:rsidRDefault="00105680" w:rsidP="00B575FF">
      <w:pPr>
        <w:pStyle w:val="Headingb"/>
      </w:pPr>
      <w:r w:rsidRPr="008C0E4B">
        <w:lastRenderedPageBreak/>
        <w:t>Propositions</w:t>
      </w:r>
    </w:p>
    <w:p w14:paraId="5B75C245" w14:textId="77777777" w:rsidR="0015203F" w:rsidRPr="008C0E4B" w:rsidRDefault="0015203F" w:rsidP="00B575FF">
      <w:pPr>
        <w:tabs>
          <w:tab w:val="clear" w:pos="1134"/>
          <w:tab w:val="clear" w:pos="1871"/>
          <w:tab w:val="clear" w:pos="2268"/>
        </w:tabs>
        <w:overflowPunct/>
        <w:autoSpaceDE/>
        <w:autoSpaceDN/>
        <w:adjustRightInd/>
        <w:spacing w:before="0"/>
        <w:textAlignment w:val="auto"/>
      </w:pPr>
      <w:r w:rsidRPr="008C0E4B">
        <w:br w:type="page"/>
      </w:r>
    </w:p>
    <w:p w14:paraId="4FAAAB94" w14:textId="77777777" w:rsidR="00A54A37" w:rsidRPr="008C0E4B" w:rsidRDefault="007436F1" w:rsidP="00B575FF">
      <w:pPr>
        <w:pStyle w:val="Proposal"/>
      </w:pPr>
      <w:r w:rsidRPr="008C0E4B">
        <w:lastRenderedPageBreak/>
        <w:t>MOD</w:t>
      </w:r>
      <w:r w:rsidRPr="008C0E4B">
        <w:tab/>
        <w:t>EUR/65A22A13/1</w:t>
      </w:r>
      <w:r w:rsidRPr="008C0E4B">
        <w:rPr>
          <w:vanish/>
          <w:color w:val="7F7F7F" w:themeColor="text1" w:themeTint="80"/>
          <w:vertAlign w:val="superscript"/>
        </w:rPr>
        <w:t>#2165</w:t>
      </w:r>
    </w:p>
    <w:p w14:paraId="618536CA" w14:textId="77777777" w:rsidR="001745F6" w:rsidRPr="008C0E4B" w:rsidRDefault="007436F1" w:rsidP="00B575FF">
      <w:pPr>
        <w:pStyle w:val="ResNo"/>
      </w:pPr>
      <w:r w:rsidRPr="008C0E4B">
        <w:t>RÉSOLUTION 553 (RÉV.cmr-</w:t>
      </w:r>
      <w:del w:id="5" w:author="French" w:date="2022-10-12T08:41:00Z">
        <w:r w:rsidRPr="008C0E4B" w:rsidDel="004452B9">
          <w:delText>15</w:delText>
        </w:r>
      </w:del>
      <w:ins w:id="6" w:author="French" w:date="2022-10-12T08:41:00Z">
        <w:r w:rsidRPr="008C0E4B">
          <w:t>23</w:t>
        </w:r>
      </w:ins>
      <w:r w:rsidRPr="008C0E4B">
        <w:t>)</w:t>
      </w:r>
    </w:p>
    <w:p w14:paraId="4E93BE0C" w14:textId="77777777" w:rsidR="001745F6" w:rsidRPr="008C0E4B" w:rsidRDefault="007436F1" w:rsidP="00B575FF">
      <w:pPr>
        <w:pStyle w:val="Restitle"/>
      </w:pPr>
      <w:r w:rsidRPr="008C0E4B">
        <w:t>Mesures réglementaires additionnelles applicables aux réseaux du service</w:t>
      </w:r>
      <w:r w:rsidRPr="008C0E4B">
        <w:br/>
        <w:t>de radiodiffusion par satellite dans la bande de fréquences 21,4-22 GHz</w:t>
      </w:r>
      <w:r w:rsidRPr="008C0E4B">
        <w:br/>
        <w:t>en Régions 1 et 3 pour améliorer l'accès équitable</w:t>
      </w:r>
      <w:r w:rsidRPr="008C0E4B">
        <w:br/>
        <w:t>à cette bande de fréquences</w:t>
      </w:r>
    </w:p>
    <w:p w14:paraId="14EEA3F6" w14:textId="77777777" w:rsidR="001745F6" w:rsidRPr="008C0E4B" w:rsidRDefault="007436F1" w:rsidP="00B575FF">
      <w:pPr>
        <w:pStyle w:val="Normalaftertitle"/>
      </w:pPr>
      <w:r w:rsidRPr="008C0E4B">
        <w:t>La Conférence mondiale des radiocommunications (</w:t>
      </w:r>
      <w:del w:id="7" w:author="French" w:date="2022-10-12T08:41:00Z">
        <w:r w:rsidRPr="008C0E4B" w:rsidDel="004452B9">
          <w:delText>Genève, 2015</w:delText>
        </w:r>
      </w:del>
      <w:ins w:id="8" w:author="French" w:date="2022-10-12T08:41:00Z">
        <w:r w:rsidRPr="008C0E4B">
          <w:t xml:space="preserve">Dubaï, </w:t>
        </w:r>
      </w:ins>
      <w:ins w:id="9" w:author="French" w:date="2022-10-12T08:42:00Z">
        <w:r w:rsidRPr="008C0E4B">
          <w:t>2023</w:t>
        </w:r>
      </w:ins>
      <w:r w:rsidRPr="008C0E4B">
        <w:t>),</w:t>
      </w:r>
    </w:p>
    <w:p w14:paraId="2214C06D" w14:textId="77777777" w:rsidR="001745F6" w:rsidRPr="008C0E4B" w:rsidRDefault="007436F1" w:rsidP="00B575FF">
      <w:r w:rsidRPr="008C0E4B">
        <w:t>…</w:t>
      </w:r>
    </w:p>
    <w:p w14:paraId="1126E7F2" w14:textId="77777777" w:rsidR="001745F6" w:rsidRPr="008C0E4B" w:rsidRDefault="007436F1" w:rsidP="00B575FF">
      <w:pPr>
        <w:pStyle w:val="AnnexNo"/>
      </w:pPr>
      <w:bookmarkStart w:id="10" w:name="_Toc124837927"/>
      <w:bookmarkStart w:id="11" w:name="_Toc134513865"/>
      <w:r w:rsidRPr="008C0E4B">
        <w:rPr>
          <w:caps w:val="0"/>
        </w:rPr>
        <w:t>PIÈCE JOINTE À LA RÉSOLUTION 553 (RÉ</w:t>
      </w:r>
      <w:r w:rsidRPr="008C0E4B">
        <w:t>v.</w:t>
      </w:r>
      <w:r w:rsidRPr="008C0E4B">
        <w:rPr>
          <w:caps w:val="0"/>
        </w:rPr>
        <w:t>CMR-</w:t>
      </w:r>
      <w:del w:id="12" w:author="French" w:date="2022-10-12T08:42:00Z">
        <w:r w:rsidRPr="008C0E4B" w:rsidDel="004452B9">
          <w:rPr>
            <w:caps w:val="0"/>
          </w:rPr>
          <w:delText>15</w:delText>
        </w:r>
      </w:del>
      <w:ins w:id="13" w:author="French" w:date="2022-10-12T08:42:00Z">
        <w:r w:rsidRPr="008C0E4B">
          <w:rPr>
            <w:caps w:val="0"/>
          </w:rPr>
          <w:t>23</w:t>
        </w:r>
      </w:ins>
      <w:r w:rsidRPr="008C0E4B">
        <w:rPr>
          <w:caps w:val="0"/>
        </w:rPr>
        <w:t>)</w:t>
      </w:r>
      <w:bookmarkEnd w:id="10"/>
      <w:bookmarkEnd w:id="11"/>
    </w:p>
    <w:p w14:paraId="1C9CFA4B" w14:textId="77777777" w:rsidR="001745F6" w:rsidRPr="008C0E4B" w:rsidRDefault="007436F1" w:rsidP="00B575FF">
      <w:pPr>
        <w:pStyle w:val="Annextitle"/>
        <w:rPr>
          <w:lang w:eastAsia="zh-CN"/>
        </w:rPr>
      </w:pPr>
      <w:r w:rsidRPr="008C0E4B">
        <w:rPr>
          <w:lang w:eastAsia="zh-CN"/>
        </w:rPr>
        <w:t xml:space="preserve">Procédure spéciale à appliquer à une assignation d'un système </w:t>
      </w:r>
      <w:r w:rsidRPr="008C0E4B">
        <w:rPr>
          <w:lang w:eastAsia="zh-CN"/>
        </w:rPr>
        <w:br/>
        <w:t xml:space="preserve">du SRS dans la bande de fréquences 21,4-22 GHz </w:t>
      </w:r>
      <w:r w:rsidRPr="008C0E4B">
        <w:rPr>
          <w:lang w:eastAsia="zh-CN"/>
        </w:rPr>
        <w:br/>
        <w:t>dans les Régions 1 et 3</w:t>
      </w:r>
    </w:p>
    <w:p w14:paraId="4D3ADEBF" w14:textId="124E38C0" w:rsidR="001745F6" w:rsidRPr="008C0E4B" w:rsidRDefault="007436F1" w:rsidP="00B575FF">
      <w:pPr>
        <w:pStyle w:val="Normalaftertitle"/>
        <w:rPr>
          <w:ins w:id="14" w:author="French" w:date="2022-10-20T15:49:00Z"/>
        </w:rPr>
      </w:pPr>
      <w:r w:rsidRPr="008C0E4B">
        <w:t>1</w:t>
      </w:r>
      <w:r w:rsidRPr="008C0E4B">
        <w:tab/>
        <w:t>La procédure spéciale décrite dans la présente Pièce jointe ne peut être appliquée qu'</w:t>
      </w:r>
      <w:del w:id="15" w:author="French" w:date="2022-10-20T15:45:00Z">
        <w:r w:rsidRPr="008C0E4B" w:rsidDel="002C4970">
          <w:delText>une fois</w:delText>
        </w:r>
      </w:del>
      <w:ins w:id="16" w:author="French" w:date="2022-10-20T15:45:00Z">
        <w:r w:rsidRPr="008C0E4B">
          <w:t>à un réseau à la fois</w:t>
        </w:r>
      </w:ins>
      <w:r w:rsidRPr="008C0E4B">
        <w:t xml:space="preserve"> (sauf dans les cas décrits au § 3 ci-dessous) par une administration, ou une administration agissant au nom d'un groupe d'administrations nommément désignées, lorsque, pour la bande de fréquences 21,4-22 GHz, aucune de ces administrations n'a</w:t>
      </w:r>
      <w:del w:id="17" w:author="French" w:date="2022-10-20T15:49:00Z">
        <w:r w:rsidRPr="008C0E4B" w:rsidDel="002C4970">
          <w:delText xml:space="preserve"> </w:delText>
        </w:r>
      </w:del>
      <w:ins w:id="18" w:author="French" w:date="2022-10-20T15:49:00Z">
        <w:r w:rsidRPr="008C0E4B">
          <w:t>:</w:t>
        </w:r>
      </w:ins>
    </w:p>
    <w:p w14:paraId="66801482" w14:textId="77777777" w:rsidR="001745F6" w:rsidRPr="008C0E4B" w:rsidRDefault="007436F1" w:rsidP="00B575FF">
      <w:pPr>
        <w:pStyle w:val="enumlev1"/>
        <w:rPr>
          <w:ins w:id="19" w:author="French" w:date="2022-10-12T08:44:00Z"/>
        </w:rPr>
      </w:pPr>
      <w:ins w:id="20" w:author="French" w:date="2022-10-20T15:49:00Z">
        <w:r w:rsidRPr="008C0E4B">
          <w:t>–</w:t>
        </w:r>
        <w:r w:rsidRPr="008C0E4B">
          <w:tab/>
        </w:r>
      </w:ins>
      <w:r w:rsidRPr="008C0E4B">
        <w:t>un réseau inscrit dans le Fichier de référence international des fréquences, notifié au titre de l'Article </w:t>
      </w:r>
      <w:r w:rsidRPr="008C0E4B">
        <w:rPr>
          <w:b/>
          <w:bCs/>
        </w:rPr>
        <w:t>11</w:t>
      </w:r>
      <w:del w:id="21" w:author="French" w:date="2022-10-24T10:50:00Z">
        <w:r w:rsidRPr="008C0E4B" w:rsidDel="00C75C50">
          <w:delText>,</w:delText>
        </w:r>
      </w:del>
      <w:ins w:id="22" w:author="French" w:date="2022-10-24T10:50:00Z">
        <w:r w:rsidRPr="008C0E4B">
          <w:t>;</w:t>
        </w:r>
      </w:ins>
      <w:r w:rsidRPr="008C0E4B">
        <w:t xml:space="preserve"> ou</w:t>
      </w:r>
    </w:p>
    <w:p w14:paraId="5A9FB83C" w14:textId="77777777" w:rsidR="001745F6" w:rsidRPr="008C0E4B" w:rsidRDefault="007436F1" w:rsidP="00B575FF">
      <w:pPr>
        <w:pStyle w:val="enumlev1"/>
        <w:rPr>
          <w:ins w:id="23" w:author="French" w:date="2022-10-12T08:43:00Z"/>
        </w:rPr>
      </w:pPr>
      <w:ins w:id="24" w:author="French" w:date="2022-10-12T08:44:00Z">
        <w:r w:rsidRPr="008C0E4B">
          <w:t>–</w:t>
        </w:r>
        <w:r w:rsidRPr="008C0E4B">
          <w:tab/>
        </w:r>
      </w:ins>
      <w:ins w:id="25" w:author="F." w:date="2022-10-14T08:28:00Z">
        <w:r w:rsidRPr="008C0E4B">
          <w:t>plus</w:t>
        </w:r>
      </w:ins>
      <w:ins w:id="26" w:author="F." w:date="2022-10-14T08:37:00Z">
        <w:r w:rsidRPr="008C0E4B">
          <w:t>ieurs</w:t>
        </w:r>
      </w:ins>
      <w:ins w:id="27" w:author="F." w:date="2022-10-14T08:28:00Z">
        <w:r w:rsidRPr="008C0E4B">
          <w:t xml:space="preserve"> réseau</w:t>
        </w:r>
      </w:ins>
      <w:ins w:id="28" w:author="F." w:date="2022-10-14T08:37:00Z">
        <w:r w:rsidRPr="008C0E4B">
          <w:t>x</w:t>
        </w:r>
      </w:ins>
      <w:ins w:id="29" w:author="F." w:date="2022-10-14T08:28:00Z">
        <w:r w:rsidRPr="008C0E4B">
          <w:t xml:space="preserve"> </w:t>
        </w:r>
      </w:ins>
      <w:r w:rsidRPr="008C0E4B">
        <w:t>examiné</w:t>
      </w:r>
      <w:ins w:id="30" w:author="F." w:date="2022-10-14T15:48:00Z">
        <w:r w:rsidRPr="008C0E4B">
          <w:t>s</w:t>
        </w:r>
      </w:ins>
      <w:r w:rsidRPr="008C0E4B">
        <w:t xml:space="preserve"> avec succès au titre du numéro </w:t>
      </w:r>
      <w:r w:rsidRPr="008C0E4B">
        <w:rPr>
          <w:b/>
          <w:bCs/>
        </w:rPr>
        <w:t>9.34</w:t>
      </w:r>
      <w:r w:rsidRPr="008C0E4B">
        <w:t xml:space="preserve"> et publié</w:t>
      </w:r>
      <w:ins w:id="31" w:author="F." w:date="2022-10-14T15:49:00Z">
        <w:r w:rsidRPr="008C0E4B">
          <w:t>s</w:t>
        </w:r>
      </w:ins>
      <w:r w:rsidRPr="008C0E4B">
        <w:t xml:space="preserve"> conformément au numéro </w:t>
      </w:r>
      <w:r w:rsidRPr="008C0E4B">
        <w:rPr>
          <w:b/>
          <w:bCs/>
        </w:rPr>
        <w:t>9.38</w:t>
      </w:r>
      <w:r w:rsidRPr="008C0E4B">
        <w:t xml:space="preserve"> </w:t>
      </w:r>
      <w:del w:id="32" w:author="Frenche" w:date="2023-03-30T22:00:00Z">
        <w:r w:rsidRPr="008C0E4B" w:rsidDel="008E752A">
          <w:delText>pour la bande de fréquences 21,4-22 GHz.</w:delText>
        </w:r>
      </w:del>
      <w:ins w:id="33" w:author="French" w:date="2022-10-20T14:52:00Z">
        <w:r w:rsidRPr="008C0E4B">
          <w:t xml:space="preserve">à </w:t>
        </w:r>
      </w:ins>
      <w:ins w:id="34" w:author="F." w:date="2022-10-14T08:29:00Z">
        <w:r w:rsidRPr="008C0E4B">
          <w:t>la même position orbitale</w:t>
        </w:r>
      </w:ins>
      <w:ins w:id="35" w:author="F." w:date="2022-10-14T08:32:00Z">
        <w:r w:rsidRPr="008C0E4B">
          <w:t xml:space="preserve"> que celle</w:t>
        </w:r>
      </w:ins>
      <w:ins w:id="36" w:author="French" w:date="2022-10-20T14:53:00Z">
        <w:r w:rsidRPr="008C0E4B">
          <w:t xml:space="preserve"> prévue </w:t>
        </w:r>
      </w:ins>
      <w:ins w:id="37" w:author="F." w:date="2022-10-14T15:42:00Z">
        <w:r w:rsidRPr="008C0E4B">
          <w:t>dans</w:t>
        </w:r>
      </w:ins>
      <w:ins w:id="38" w:author="F." w:date="2022-10-14T08:32:00Z">
        <w:r w:rsidRPr="008C0E4B">
          <w:t xml:space="preserve"> </w:t>
        </w:r>
      </w:ins>
      <w:ins w:id="39" w:author="F." w:date="2022-10-14T15:50:00Z">
        <w:r w:rsidRPr="008C0E4B">
          <w:t>la présente</w:t>
        </w:r>
      </w:ins>
      <w:ins w:id="40" w:author="F." w:date="2022-10-14T08:32:00Z">
        <w:r w:rsidRPr="008C0E4B">
          <w:t xml:space="preserve"> procédure spéciale</w:t>
        </w:r>
      </w:ins>
      <w:ins w:id="41" w:author="French" w:date="2022-10-24T10:50:00Z">
        <w:r w:rsidRPr="008C0E4B">
          <w:t>;</w:t>
        </w:r>
      </w:ins>
      <w:ins w:id="42" w:author="F." w:date="2022-10-14T08:32:00Z">
        <w:r w:rsidRPr="008C0E4B">
          <w:t xml:space="preserve"> ou</w:t>
        </w:r>
      </w:ins>
    </w:p>
    <w:p w14:paraId="3C6BBD0C" w14:textId="77777777" w:rsidR="001745F6" w:rsidRPr="008C0E4B" w:rsidRDefault="007436F1" w:rsidP="00B575FF">
      <w:pPr>
        <w:pStyle w:val="enumlev1"/>
        <w:rPr>
          <w:ins w:id="43" w:author="French" w:date="2022-10-12T08:43:00Z"/>
        </w:rPr>
      </w:pPr>
      <w:ins w:id="44" w:author="French" w:date="2022-10-12T08:43:00Z">
        <w:r w:rsidRPr="008C0E4B">
          <w:t>–</w:t>
        </w:r>
        <w:r w:rsidRPr="008C0E4B">
          <w:tab/>
        </w:r>
      </w:ins>
      <w:ins w:id="45" w:author="F." w:date="2022-10-14T08:33:00Z">
        <w:r w:rsidRPr="008C0E4B">
          <w:t xml:space="preserve">un réseau examiné avec succès </w:t>
        </w:r>
      </w:ins>
      <w:ins w:id="46" w:author="F." w:date="2022-10-14T08:34:00Z">
        <w:r w:rsidRPr="008C0E4B">
          <w:t xml:space="preserve">au titre du numéro </w:t>
        </w:r>
        <w:r w:rsidRPr="008C0E4B">
          <w:rPr>
            <w:b/>
          </w:rPr>
          <w:t>9.34</w:t>
        </w:r>
        <w:r w:rsidRPr="008C0E4B">
          <w:t xml:space="preserve"> et publié conformément au numéro </w:t>
        </w:r>
        <w:r w:rsidRPr="008C0E4B">
          <w:rPr>
            <w:b/>
          </w:rPr>
          <w:t>9.38</w:t>
        </w:r>
      </w:ins>
      <w:ins w:id="47" w:author="French" w:date="2022-10-20T14:53:00Z">
        <w:r w:rsidRPr="008C0E4B">
          <w:t xml:space="preserve"> à</w:t>
        </w:r>
      </w:ins>
      <w:ins w:id="48" w:author="French" w:date="2022-10-20T14:54:00Z">
        <w:r w:rsidRPr="008C0E4B">
          <w:t xml:space="preserve"> </w:t>
        </w:r>
      </w:ins>
      <w:ins w:id="49" w:author="F." w:date="2022-10-14T08:34:00Z">
        <w:r w:rsidRPr="008C0E4B">
          <w:t xml:space="preserve">une position orbitale différente de celle </w:t>
        </w:r>
      </w:ins>
      <w:ins w:id="50" w:author="French" w:date="2022-10-20T14:53:00Z">
        <w:r w:rsidRPr="008C0E4B">
          <w:t xml:space="preserve">prévue </w:t>
        </w:r>
      </w:ins>
      <w:ins w:id="51" w:author="F." w:date="2022-10-14T08:34:00Z">
        <w:r w:rsidRPr="008C0E4B">
          <w:t xml:space="preserve">dans </w:t>
        </w:r>
      </w:ins>
      <w:ins w:id="52" w:author="F." w:date="2022-10-14T15:51:00Z">
        <w:r w:rsidRPr="008C0E4B">
          <w:t>la présente</w:t>
        </w:r>
      </w:ins>
      <w:ins w:id="53" w:author="F." w:date="2022-10-14T08:34:00Z">
        <w:r w:rsidRPr="008C0E4B">
          <w:t xml:space="preserve"> procédure spéciale.</w:t>
        </w:r>
      </w:ins>
    </w:p>
    <w:p w14:paraId="0C405ABE" w14:textId="3203B0F3" w:rsidR="001745F6" w:rsidRPr="008C0E4B" w:rsidRDefault="007436F1" w:rsidP="00B575FF">
      <w:r w:rsidRPr="008C0E4B">
        <w:t>Dans le cas des pays satisfaisant aux dispositions du § 3 ci-dessous, la procédure spéciale décrite dans la présente Pièce jointe peut également être appliquée</w:t>
      </w:r>
      <w:r w:rsidRPr="008C0E4B">
        <w:rPr>
          <w:rStyle w:val="FootnoteReference"/>
        </w:rPr>
        <w:footnoteReference w:customMarkFollows="1" w:id="1"/>
        <w:t>1</w:t>
      </w:r>
      <w:r w:rsidRPr="008C0E4B">
        <w:t xml:space="preserve"> par une administration lorsque cette administration a des réseaux inscrits dans le Fichier de référence international des fréquences, notifiés au titre de l'Article </w:t>
      </w:r>
      <w:r w:rsidRPr="008C0E4B">
        <w:rPr>
          <w:b/>
          <w:bCs/>
        </w:rPr>
        <w:t>11</w:t>
      </w:r>
      <w:r w:rsidRPr="008C0E4B">
        <w:t xml:space="preserve">, ou </w:t>
      </w:r>
      <w:ins w:id="54" w:author="F." w:date="2022-10-14T08:37:00Z">
        <w:r w:rsidRPr="008C0E4B">
          <w:t xml:space="preserve">plusieurs réseaux </w:t>
        </w:r>
      </w:ins>
      <w:r w:rsidRPr="008C0E4B">
        <w:t xml:space="preserve">examinés avec succès au titre du numéro </w:t>
      </w:r>
      <w:r w:rsidRPr="008C0E4B">
        <w:rPr>
          <w:b/>
          <w:bCs/>
        </w:rPr>
        <w:t>9.34</w:t>
      </w:r>
      <w:r w:rsidRPr="008C0E4B">
        <w:t xml:space="preserve"> et publiés conformément au numéro </w:t>
      </w:r>
      <w:r w:rsidRPr="008C0E4B">
        <w:rPr>
          <w:b/>
          <w:bCs/>
        </w:rPr>
        <w:t>9.38</w:t>
      </w:r>
      <w:r w:rsidRPr="008C0E4B">
        <w:t xml:space="preserve"> </w:t>
      </w:r>
      <w:ins w:id="55" w:author="French" w:date="2022-10-20T14:55:00Z">
        <w:r w:rsidRPr="008C0E4B">
          <w:t>à</w:t>
        </w:r>
      </w:ins>
      <w:ins w:id="56" w:author="F." w:date="2022-10-14T08:39:00Z">
        <w:r w:rsidRPr="008C0E4B">
          <w:t xml:space="preserve"> la même position orbitale que celle indiquée dans </w:t>
        </w:r>
      </w:ins>
      <w:ins w:id="57" w:author="F." w:date="2022-10-14T15:59:00Z">
        <w:r w:rsidRPr="008C0E4B">
          <w:t>la présente</w:t>
        </w:r>
      </w:ins>
      <w:ins w:id="58" w:author="F." w:date="2022-10-14T08:39:00Z">
        <w:r w:rsidRPr="008C0E4B">
          <w:t xml:space="preserve"> procédure spéciale, ou un réseau examiné avec succès au titre du numéro </w:t>
        </w:r>
        <w:r w:rsidRPr="008C0E4B">
          <w:rPr>
            <w:b/>
          </w:rPr>
          <w:t>9.34</w:t>
        </w:r>
        <w:r w:rsidRPr="008C0E4B">
          <w:t xml:space="preserve"> et publié conformément au numéro </w:t>
        </w:r>
        <w:r w:rsidRPr="008C0E4B">
          <w:rPr>
            <w:b/>
          </w:rPr>
          <w:t>9.38</w:t>
        </w:r>
      </w:ins>
      <w:ins w:id="59" w:author="French" w:date="2022-10-20T14:55:00Z">
        <w:r w:rsidRPr="008C0E4B">
          <w:t xml:space="preserve"> à </w:t>
        </w:r>
      </w:ins>
      <w:ins w:id="60" w:author="F." w:date="2022-10-14T08:39:00Z">
        <w:r w:rsidRPr="008C0E4B">
          <w:t xml:space="preserve">une position orbitale différente de celle indiquée dans </w:t>
        </w:r>
      </w:ins>
      <w:ins w:id="61" w:author="F." w:date="2022-10-14T15:59:00Z">
        <w:r w:rsidRPr="008C0E4B">
          <w:t>la présente</w:t>
        </w:r>
      </w:ins>
      <w:ins w:id="62" w:author="F." w:date="2022-10-14T08:39:00Z">
        <w:r w:rsidRPr="008C0E4B">
          <w:t xml:space="preserve"> procédure spéciale </w:t>
        </w:r>
      </w:ins>
      <w:r w:rsidRPr="008C0E4B">
        <w:t xml:space="preserve">pour la bande de fréquences 21,4-22 GHz, mais qui, pris ensemble, ne </w:t>
      </w:r>
      <w:r w:rsidRPr="008C0E4B">
        <w:lastRenderedPageBreak/>
        <w:t>comprennent pas l'intégralité de son territoire dans la zone de service. Chacune des administrations d'un groupe perdra son droit d'appliquer la présente procédure spéciale individuellement, ou en tant que membre d'un autre groupe.</w:t>
      </w:r>
      <w:ins w:id="63" w:author="Lupo, Céline" w:date="2023-10-17T13:37:00Z">
        <w:r w:rsidR="00802B18" w:rsidRPr="008C0E4B">
          <w:rPr>
            <w:sz w:val="16"/>
            <w:szCs w:val="16"/>
          </w:rPr>
          <w:t>     (CMR-23)</w:t>
        </w:r>
      </w:ins>
    </w:p>
    <w:p w14:paraId="1BE5D549" w14:textId="4ED67AAB" w:rsidR="001745F6" w:rsidRPr="008C0E4B" w:rsidRDefault="007436F1" w:rsidP="00B575FF">
      <w:r w:rsidRPr="008C0E4B">
        <w:t>2</w:t>
      </w:r>
      <w:r w:rsidRPr="008C0E4B">
        <w:tab/>
        <w:t>Dans le cas où une administration ayant déjà présenté une soumission au titre de la présente procédure spéciale, soit individuellement, soit en tant que membre d'un groupe (sauf dans les cas décrits au § 3 ci-dessous), présente ultérieurement une nouvelle soumission, cette nouvelle soumission ne pourra être admise au bénéfice de la présente procédure spéciale</w:t>
      </w:r>
      <w:ins w:id="64" w:author="F." w:date="2022-10-14T08:41:00Z">
        <w:r w:rsidRPr="008C0E4B">
          <w:t xml:space="preserve">, sauf si le réseau associé à la soumission précédente </w:t>
        </w:r>
      </w:ins>
      <w:ins w:id="65" w:author="F." w:date="2022-10-14T15:44:00Z">
        <w:r w:rsidRPr="008C0E4B">
          <w:t xml:space="preserve">présentée </w:t>
        </w:r>
      </w:ins>
      <w:ins w:id="66" w:author="F." w:date="2022-10-14T08:41:00Z">
        <w:r w:rsidRPr="008C0E4B">
          <w:t xml:space="preserve">au titre de la présente procédure spéciale n'a pas été notifié avant la date limite réglementaire </w:t>
        </w:r>
      </w:ins>
      <w:ins w:id="67" w:author="F." w:date="2022-10-14T16:41:00Z">
        <w:r w:rsidRPr="008C0E4B">
          <w:t>fixée par</w:t>
        </w:r>
      </w:ins>
      <w:ins w:id="68" w:author="F." w:date="2022-10-14T08:41:00Z">
        <w:r w:rsidRPr="008C0E4B">
          <w:t xml:space="preserve"> l'UIT</w:t>
        </w:r>
      </w:ins>
      <w:r w:rsidRPr="008C0E4B">
        <w:t>.</w:t>
      </w:r>
      <w:ins w:id="69" w:author="Lupo, Céline" w:date="2023-10-17T13:34:00Z">
        <w:r w:rsidR="00802B18" w:rsidRPr="008C0E4B">
          <w:rPr>
            <w:sz w:val="16"/>
            <w:szCs w:val="16"/>
          </w:rPr>
          <w:t>     (CMR-23)</w:t>
        </w:r>
      </w:ins>
    </w:p>
    <w:p w14:paraId="5B341614" w14:textId="05480C67" w:rsidR="001745F6" w:rsidRPr="008C0E4B" w:rsidRDefault="007436F1" w:rsidP="00B575FF">
      <w:pPr>
        <w:rPr>
          <w:ins w:id="70" w:author="fleur" w:date="2023-03-22T16:07:00Z"/>
        </w:rPr>
      </w:pPr>
      <w:ins w:id="71" w:author="Duport, Laura" w:date="2023-03-20T12:36:00Z">
        <w:r w:rsidRPr="008C0E4B">
          <w:t>2</w:t>
        </w:r>
        <w:r w:rsidRPr="008C0E4B">
          <w:rPr>
            <w:i/>
            <w:iCs/>
          </w:rPr>
          <w:t>bis</w:t>
        </w:r>
        <w:r w:rsidRPr="008C0E4B">
          <w:tab/>
        </w:r>
      </w:ins>
      <w:ins w:id="72" w:author="fleur" w:date="2023-03-22T16:06:00Z">
        <w:r w:rsidRPr="008C0E4B">
          <w:t>A</w:t>
        </w:r>
      </w:ins>
      <w:ins w:id="73" w:author="Duport, Laura" w:date="2023-03-20T12:39:00Z">
        <w:r w:rsidRPr="008C0E4B">
          <w:t xml:space="preserve">fin de bénéficier de l'application de la procédure spéciale, l'administration ayant soumis l'assignation peut soit retirer, soit modifier la soumission qu'elle a envoyée précédemment au Bureau conformément </w:t>
        </w:r>
      </w:ins>
      <w:ins w:id="74" w:author="fleur" w:date="2023-03-22T16:07:00Z">
        <w:r w:rsidRPr="008C0E4B">
          <w:t xml:space="preserve">à la procédure normale et </w:t>
        </w:r>
      </w:ins>
      <w:ins w:id="75" w:author="fleur" w:date="2023-03-22T16:08:00Z">
        <w:r w:rsidRPr="008C0E4B">
          <w:t xml:space="preserve">qui a été examinée avec succès au titre du numéro </w:t>
        </w:r>
        <w:r w:rsidRPr="008C0E4B">
          <w:rPr>
            <w:b/>
            <w:bCs/>
          </w:rPr>
          <w:t>9.34</w:t>
        </w:r>
        <w:r w:rsidRPr="008C0E4B">
          <w:t xml:space="preserve"> et publiée conformément au numéro </w:t>
        </w:r>
        <w:r w:rsidRPr="008C0E4B">
          <w:rPr>
            <w:b/>
            <w:bCs/>
          </w:rPr>
          <w:t>9.38</w:t>
        </w:r>
      </w:ins>
      <w:ins w:id="76" w:author="fleur" w:date="2023-03-22T16:09:00Z">
        <w:r w:rsidRPr="008C0E4B">
          <w:t>. En cas de modification, la soumission doit</w:t>
        </w:r>
      </w:ins>
      <w:ins w:id="77" w:author="fleur" w:date="2023-03-22T16:10:00Z">
        <w:r w:rsidRPr="008C0E4B">
          <w:t xml:space="preserve"> rester dans les limites de l'enveloppe des caractéristiques de la soumission précédente </w:t>
        </w:r>
      </w:ins>
      <w:ins w:id="78" w:author="fleur" w:date="2023-03-22T16:14:00Z">
        <w:r w:rsidRPr="008C0E4B">
          <w:t>pour pouvoir</w:t>
        </w:r>
      </w:ins>
      <w:ins w:id="79" w:author="fleur" w:date="2023-03-22T16:10:00Z">
        <w:r w:rsidRPr="008C0E4B">
          <w:t xml:space="preserve"> conserv</w:t>
        </w:r>
      </w:ins>
      <w:ins w:id="80" w:author="fleur" w:date="2023-03-22T16:11:00Z">
        <w:r w:rsidRPr="008C0E4B">
          <w:t>er la date de réception initiale.</w:t>
        </w:r>
      </w:ins>
      <w:ins w:id="81" w:author="fleur" w:date="2023-03-22T16:12:00Z">
        <w:r w:rsidRPr="008C0E4B">
          <w:t xml:space="preserve"> Si </w:t>
        </w:r>
      </w:ins>
      <w:ins w:id="82" w:author="F." w:date="2023-10-19T16:25:00Z">
        <w:r w:rsidR="00FF7C6F" w:rsidRPr="008C0E4B">
          <w:t>la soumission</w:t>
        </w:r>
      </w:ins>
      <w:ins w:id="83" w:author="fleur" w:date="2023-03-22T16:12:00Z">
        <w:r w:rsidRPr="008C0E4B">
          <w:t xml:space="preserve"> précédente contient plusieurs bandes de fréquences, la modification peut être appliquée à la bande de fréquences </w:t>
        </w:r>
      </w:ins>
      <w:ins w:id="84" w:author="fleur" w:date="2023-03-22T16:13:00Z">
        <w:r w:rsidRPr="008C0E4B">
          <w:t>21,4-22 GHz et sera séparée pour prendre la forme d'une soumission indépendante au titre de la procédure spéciale.</w:t>
        </w:r>
      </w:ins>
    </w:p>
    <w:p w14:paraId="53168F39" w14:textId="01198450" w:rsidR="00802B18" w:rsidRPr="008C0E4B" w:rsidRDefault="007436F1" w:rsidP="00B575FF">
      <w:r w:rsidRPr="008C0E4B">
        <w:t>...</w:t>
      </w:r>
    </w:p>
    <w:p w14:paraId="4AF59C25" w14:textId="77777777" w:rsidR="00C55C21" w:rsidRPr="008C0E4B" w:rsidRDefault="00C55C21" w:rsidP="00B575FF">
      <w:pPr>
        <w:pStyle w:val="Reasons"/>
      </w:pPr>
    </w:p>
    <w:p w14:paraId="45540B29" w14:textId="0190741D" w:rsidR="00A54A37" w:rsidRPr="008C0E4B" w:rsidRDefault="00802B18" w:rsidP="00B575FF">
      <w:pPr>
        <w:jc w:val="center"/>
      </w:pPr>
      <w:r w:rsidRPr="008C0E4B">
        <w:t>______________</w:t>
      </w:r>
    </w:p>
    <w:sectPr w:rsidR="00A54A37" w:rsidRPr="008C0E4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1E3F" w14:textId="77777777" w:rsidR="00CB685A" w:rsidRDefault="00CB685A">
      <w:r>
        <w:separator/>
      </w:r>
    </w:p>
  </w:endnote>
  <w:endnote w:type="continuationSeparator" w:id="0">
    <w:p w14:paraId="439147B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A345" w14:textId="6045FAE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B3329">
      <w:rPr>
        <w:noProof/>
      </w:rPr>
      <w:t>26.10.23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8274" w14:textId="4C686E6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F06F6">
      <w:rPr>
        <w:lang w:val="en-US"/>
      </w:rPr>
      <w:t>P:\FRA\ITU-R\CONF-R\CMR23\000\065ADD22ADD13F.docx</w:t>
    </w:r>
    <w:r>
      <w:fldChar w:fldCharType="end"/>
    </w:r>
    <w:r w:rsidR="001745F6" w:rsidRPr="00257D0A">
      <w:rPr>
        <w:lang w:val="en-US"/>
      </w:rPr>
      <w:t xml:space="preserve"> </w:t>
    </w:r>
    <w:r w:rsidR="007436F1" w:rsidRPr="00257D0A">
      <w:rPr>
        <w:lang w:val="en-US"/>
      </w:rPr>
      <w:t>(528843)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5E9D" w14:textId="5D1F7D0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F06F6">
      <w:rPr>
        <w:lang w:val="en-US"/>
      </w:rPr>
      <w:t>P:\FRA\ITU-R\CONF-R\CMR23\000\065ADD22ADD13F.docx</w:t>
    </w:r>
    <w:r>
      <w:fldChar w:fldCharType="end"/>
    </w:r>
    <w:r w:rsidR="001745F6" w:rsidRPr="00257D0A">
      <w:rPr>
        <w:lang w:val="en-US"/>
      </w:rPr>
      <w:t xml:space="preserve"> </w:t>
    </w:r>
    <w:r w:rsidR="007436F1" w:rsidRPr="00257D0A">
      <w:rPr>
        <w:lang w:val="en-US"/>
      </w:rPr>
      <w:t>(528843)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0109" w14:textId="77777777" w:rsidR="00CB685A" w:rsidRDefault="00CB685A">
      <w:r>
        <w:rPr>
          <w:b/>
        </w:rPr>
        <w:t>_______________</w:t>
      </w:r>
    </w:p>
  </w:footnote>
  <w:footnote w:type="continuationSeparator" w:id="0">
    <w:p w14:paraId="44D459F0" w14:textId="77777777" w:rsidR="00CB685A" w:rsidRDefault="00CB685A">
      <w:r>
        <w:continuationSeparator/>
      </w:r>
    </w:p>
  </w:footnote>
  <w:footnote w:id="1">
    <w:p w14:paraId="47C945F9" w14:textId="77777777" w:rsidR="001745F6" w:rsidRPr="00721FF9" w:rsidRDefault="007436F1" w:rsidP="00756C3A">
      <w:pPr>
        <w:pStyle w:val="FootnoteText"/>
        <w:rPr>
          <w:lang w:val="fr-CH"/>
        </w:rPr>
      </w:pPr>
      <w:r w:rsidRPr="002A0401">
        <w:rPr>
          <w:rStyle w:val="FootnoteReference"/>
        </w:rPr>
        <w:t>1</w:t>
      </w:r>
      <w:r w:rsidRPr="005C031E">
        <w:rPr>
          <w:color w:val="000000"/>
          <w:lang w:val="fr-CH"/>
        </w:rPr>
        <w:t xml:space="preserve"> </w:t>
      </w:r>
      <w:r w:rsidRPr="005C031E">
        <w:rPr>
          <w:color w:val="000000"/>
          <w:lang w:val="fr-CH"/>
        </w:rPr>
        <w:tab/>
      </w:r>
      <w:r>
        <w:rPr>
          <w:lang w:val="fr-CH"/>
        </w:rPr>
        <w:t xml:space="preserve">Le nombre de soumissions ne doit pas dépasser le nombre de positions orbitales correspondant aux assignations nationales figurant dans le Plan pour l'Appendice </w:t>
      </w:r>
      <w:r w:rsidRPr="00EB0ADA">
        <w:rPr>
          <w:b/>
          <w:bCs/>
          <w:lang w:val="fr-CH"/>
        </w:rPr>
        <w:t>30</w:t>
      </w:r>
      <w:r>
        <w:rPr>
          <w:lang w:val="fr-CH"/>
        </w:rPr>
        <w:t xml:space="preserve">, auquel on soustrait le nombre de positions orbitales de cette administration pour les réseaux figurant dans le Fichier de référence international des fréquences, les soumissions notifiées conformément à l'Article </w:t>
      </w:r>
      <w:r w:rsidRPr="00043679">
        <w:rPr>
          <w:b/>
          <w:bCs/>
          <w:lang w:val="fr-CH"/>
        </w:rPr>
        <w:t>11</w:t>
      </w:r>
      <w:r>
        <w:rPr>
          <w:lang w:val="fr-CH"/>
        </w:rPr>
        <w:t xml:space="preserve"> et les soumissions examinées avec succès conformément au numéro </w:t>
      </w:r>
      <w:r w:rsidRPr="00043679">
        <w:rPr>
          <w:b/>
          <w:bCs/>
          <w:lang w:val="fr-CH"/>
        </w:rPr>
        <w:t>9.34</w:t>
      </w:r>
      <w:r>
        <w:rPr>
          <w:lang w:val="fr-CH"/>
        </w:rPr>
        <w:t xml:space="preserve"> et publiées conformément au numéro </w:t>
      </w:r>
      <w:r w:rsidRPr="00043679">
        <w:rPr>
          <w:b/>
          <w:bCs/>
          <w:lang w:val="fr-CH"/>
        </w:rPr>
        <w:t>9.38</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D125" w14:textId="724D8C77" w:rsidR="004F1F8E" w:rsidRDefault="004F1F8E" w:rsidP="004F1F8E">
    <w:pPr>
      <w:pStyle w:val="Header"/>
    </w:pPr>
    <w:r>
      <w:fldChar w:fldCharType="begin"/>
    </w:r>
    <w:r>
      <w:instrText xml:space="preserve"> PAGE </w:instrText>
    </w:r>
    <w:r>
      <w:fldChar w:fldCharType="separate"/>
    </w:r>
    <w:r w:rsidR="00525C36">
      <w:rPr>
        <w:noProof/>
      </w:rPr>
      <w:t>4</w:t>
    </w:r>
    <w:r>
      <w:fldChar w:fldCharType="end"/>
    </w:r>
  </w:p>
  <w:p w14:paraId="354639B4" w14:textId="77777777" w:rsidR="004F1F8E" w:rsidRDefault="00225CF2" w:rsidP="00FD7AA3">
    <w:pPr>
      <w:pStyle w:val="Header"/>
    </w:pPr>
    <w:r>
      <w:t>WRC</w:t>
    </w:r>
    <w:r w:rsidR="00D3426F">
      <w:t>23</w:t>
    </w:r>
    <w:r w:rsidR="004F1F8E">
      <w:t>/</w:t>
    </w:r>
    <w:r w:rsidR="006A4B45">
      <w:t>65(Add.22)(Add.13)-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82210191">
    <w:abstractNumId w:val="0"/>
  </w:num>
  <w:num w:numId="2" w16cid:durableId="5521611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
    <w15:presenceInfo w15:providerId="None" w15:userId="F."/>
  </w15:person>
  <w15:person w15:author="Lupo, Céline">
    <w15:presenceInfo w15:providerId="AD" w15:userId="S::celine.lupo@itu.int::db354556-ae22-4129-8e5e-368bef97a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05680"/>
    <w:rsid w:val="00107F1D"/>
    <w:rsid w:val="001167B9"/>
    <w:rsid w:val="001267A0"/>
    <w:rsid w:val="0015203F"/>
    <w:rsid w:val="00160C64"/>
    <w:rsid w:val="001745F6"/>
    <w:rsid w:val="0018169B"/>
    <w:rsid w:val="0019352B"/>
    <w:rsid w:val="001960D0"/>
    <w:rsid w:val="001A11F6"/>
    <w:rsid w:val="001F17E8"/>
    <w:rsid w:val="001F6BF2"/>
    <w:rsid w:val="00204306"/>
    <w:rsid w:val="00225CF2"/>
    <w:rsid w:val="00232FD2"/>
    <w:rsid w:val="00257D0A"/>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25C36"/>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436F1"/>
    <w:rsid w:val="00764342"/>
    <w:rsid w:val="00774362"/>
    <w:rsid w:val="00786598"/>
    <w:rsid w:val="00790C74"/>
    <w:rsid w:val="007A04E8"/>
    <w:rsid w:val="007B2C34"/>
    <w:rsid w:val="007F282B"/>
    <w:rsid w:val="00802B18"/>
    <w:rsid w:val="00830086"/>
    <w:rsid w:val="00851625"/>
    <w:rsid w:val="00863C0A"/>
    <w:rsid w:val="008A3120"/>
    <w:rsid w:val="008A4B97"/>
    <w:rsid w:val="008C0E4B"/>
    <w:rsid w:val="008C5B8E"/>
    <w:rsid w:val="008C5DD5"/>
    <w:rsid w:val="008C7123"/>
    <w:rsid w:val="008D41BE"/>
    <w:rsid w:val="008D58D3"/>
    <w:rsid w:val="008E3BC9"/>
    <w:rsid w:val="00923064"/>
    <w:rsid w:val="00930FFD"/>
    <w:rsid w:val="00936D25"/>
    <w:rsid w:val="00941EA5"/>
    <w:rsid w:val="0094312B"/>
    <w:rsid w:val="00964700"/>
    <w:rsid w:val="00966C16"/>
    <w:rsid w:val="0098732F"/>
    <w:rsid w:val="009A045F"/>
    <w:rsid w:val="009A6A2B"/>
    <w:rsid w:val="009C7E7C"/>
    <w:rsid w:val="00A00473"/>
    <w:rsid w:val="00A03C9B"/>
    <w:rsid w:val="00A37105"/>
    <w:rsid w:val="00A54A37"/>
    <w:rsid w:val="00A606C3"/>
    <w:rsid w:val="00A83B09"/>
    <w:rsid w:val="00A84541"/>
    <w:rsid w:val="00AE36A0"/>
    <w:rsid w:val="00B00294"/>
    <w:rsid w:val="00B3749C"/>
    <w:rsid w:val="00B575FF"/>
    <w:rsid w:val="00B64FD0"/>
    <w:rsid w:val="00BA5BD0"/>
    <w:rsid w:val="00BB1D82"/>
    <w:rsid w:val="00BC217E"/>
    <w:rsid w:val="00BD51C5"/>
    <w:rsid w:val="00BF26E7"/>
    <w:rsid w:val="00C1305F"/>
    <w:rsid w:val="00C21339"/>
    <w:rsid w:val="00C512A3"/>
    <w:rsid w:val="00C53FCA"/>
    <w:rsid w:val="00C55C21"/>
    <w:rsid w:val="00C71DEB"/>
    <w:rsid w:val="00C76BAF"/>
    <w:rsid w:val="00C814B9"/>
    <w:rsid w:val="00CB685A"/>
    <w:rsid w:val="00CC75B0"/>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B3329"/>
    <w:rsid w:val="00EC7615"/>
    <w:rsid w:val="00ED16AA"/>
    <w:rsid w:val="00ED1C7A"/>
    <w:rsid w:val="00ED6B8D"/>
    <w:rsid w:val="00EE3D7B"/>
    <w:rsid w:val="00EF06F6"/>
    <w:rsid w:val="00EF662E"/>
    <w:rsid w:val="00F10064"/>
    <w:rsid w:val="00F148F1"/>
    <w:rsid w:val="00F711A7"/>
    <w:rsid w:val="00FA3BBF"/>
    <w:rsid w:val="00FC41F8"/>
    <w:rsid w:val="00FD7AA3"/>
    <w:rsid w:val="00FF1C40"/>
    <w:rsid w:val="00FF7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B5420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02B1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R23-WRC23-C-0065!A22-A13!MSW-F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1046294C-B5AE-461A-965E-C2B7B7F58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DECBE-9318-42F9-9131-56076CD97EA9}">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C5607AB4-A7BD-4228-A058-D7B702A6EF73}">
  <ds:schemaRefs>
    <ds:schemaRef ds:uri="http://purl.org/dc/terms/"/>
    <ds:schemaRef ds:uri="32a1a8c5-2265-4ebc-b7a0-2071e2c5c9bb"/>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881</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R23-WRC23-C-0065!A22-A13!MSW-F</vt:lpstr>
    </vt:vector>
  </TitlesOfParts>
  <Manager>Secrétariat général - Pool</Manager>
  <Company>Union internationale des télécommunications (UIT)</Company>
  <LinksUpToDate>false</LinksUpToDate>
  <CharactersWithSpaces>6040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R23-WRC23-C-0065!A22-A13!MSW-F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2023-10-26T10:11:00Z</dcterms:created>
  <dcterms:modified xsi:type="dcterms:W3CDTF">2023-10-30T08:01:00Z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