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C61B3" w14:paraId="2D2ED924" w14:textId="77777777" w:rsidTr="0080079E">
        <w:trPr>
          <w:cantSplit/>
        </w:trPr>
        <w:tc>
          <w:tcPr>
            <w:tcW w:w="1418" w:type="dxa"/>
            <w:vAlign w:val="center"/>
          </w:tcPr>
          <w:p w14:paraId="1921328F" w14:textId="77777777" w:rsidR="0080079E" w:rsidRPr="00DC61B3" w:rsidRDefault="0080079E" w:rsidP="0080079E">
            <w:pPr>
              <w:spacing w:before="0" w:line="240" w:lineRule="atLeast"/>
              <w:rPr>
                <w:rFonts w:ascii="Verdana" w:hAnsi="Verdana"/>
                <w:position w:val="6"/>
              </w:rPr>
            </w:pPr>
            <w:r w:rsidRPr="00DC61B3">
              <w:rPr>
                <w:noProof/>
              </w:rPr>
              <w:drawing>
                <wp:inline distT="0" distB="0" distL="0" distR="0" wp14:anchorId="71BFE73C" wp14:editId="6A16CE3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99D63A1" w14:textId="77777777" w:rsidR="0080079E" w:rsidRPr="00DC61B3" w:rsidRDefault="0080079E" w:rsidP="00C44E9E">
            <w:pPr>
              <w:spacing w:before="400" w:after="48" w:line="240" w:lineRule="atLeast"/>
              <w:rPr>
                <w:rFonts w:ascii="Verdana" w:hAnsi="Verdana"/>
                <w:position w:val="6"/>
              </w:rPr>
            </w:pPr>
            <w:r w:rsidRPr="00DC61B3">
              <w:rPr>
                <w:rFonts w:ascii="Verdana" w:hAnsi="Verdana" w:cs="Times"/>
                <w:b/>
                <w:position w:val="6"/>
                <w:sz w:val="20"/>
              </w:rPr>
              <w:t>Conferencia Mundial de Radiocomunicaciones (CMR-23)</w:t>
            </w:r>
            <w:r w:rsidRPr="00DC61B3">
              <w:rPr>
                <w:rFonts w:ascii="Verdana" w:hAnsi="Verdana" w:cs="Times"/>
                <w:b/>
                <w:position w:val="6"/>
                <w:sz w:val="20"/>
              </w:rPr>
              <w:br/>
            </w:r>
            <w:r w:rsidRPr="00DC61B3">
              <w:rPr>
                <w:rFonts w:ascii="Verdana" w:hAnsi="Verdana" w:cs="Times"/>
                <w:b/>
                <w:position w:val="6"/>
                <w:sz w:val="18"/>
                <w:szCs w:val="18"/>
              </w:rPr>
              <w:t>Dubái, 20 de noviembre - 15 de diciembre de 2023</w:t>
            </w:r>
          </w:p>
        </w:tc>
        <w:tc>
          <w:tcPr>
            <w:tcW w:w="1809" w:type="dxa"/>
            <w:vAlign w:val="center"/>
          </w:tcPr>
          <w:p w14:paraId="1603DC80" w14:textId="77777777" w:rsidR="0080079E" w:rsidRPr="00DC61B3" w:rsidRDefault="0080079E" w:rsidP="0080079E">
            <w:pPr>
              <w:spacing w:before="0" w:line="240" w:lineRule="atLeast"/>
            </w:pPr>
            <w:bookmarkStart w:id="0" w:name="ditulogo"/>
            <w:bookmarkEnd w:id="0"/>
            <w:r w:rsidRPr="00DC61B3">
              <w:rPr>
                <w:noProof/>
              </w:rPr>
              <w:drawing>
                <wp:inline distT="0" distB="0" distL="0" distR="0" wp14:anchorId="07F344FF" wp14:editId="1AAA92A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C61B3" w14:paraId="317B3FD9" w14:textId="77777777" w:rsidTr="0050008E">
        <w:trPr>
          <w:cantSplit/>
        </w:trPr>
        <w:tc>
          <w:tcPr>
            <w:tcW w:w="6911" w:type="dxa"/>
            <w:gridSpan w:val="2"/>
            <w:tcBorders>
              <w:bottom w:val="single" w:sz="12" w:space="0" w:color="auto"/>
            </w:tcBorders>
          </w:tcPr>
          <w:p w14:paraId="794D0E38" w14:textId="77777777" w:rsidR="0090121B" w:rsidRPr="00DC61B3"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1C2779E0" w14:textId="77777777" w:rsidR="0090121B" w:rsidRPr="00DC61B3" w:rsidRDefault="0090121B" w:rsidP="0090121B">
            <w:pPr>
              <w:spacing w:before="0" w:line="240" w:lineRule="atLeast"/>
              <w:rPr>
                <w:rFonts w:ascii="Verdana" w:hAnsi="Verdana"/>
                <w:szCs w:val="24"/>
              </w:rPr>
            </w:pPr>
          </w:p>
        </w:tc>
      </w:tr>
      <w:tr w:rsidR="0090121B" w:rsidRPr="00DC61B3" w14:paraId="014EBD15" w14:textId="77777777" w:rsidTr="0090121B">
        <w:trPr>
          <w:cantSplit/>
        </w:trPr>
        <w:tc>
          <w:tcPr>
            <w:tcW w:w="6911" w:type="dxa"/>
            <w:gridSpan w:val="2"/>
            <w:tcBorders>
              <w:top w:val="single" w:sz="12" w:space="0" w:color="auto"/>
            </w:tcBorders>
          </w:tcPr>
          <w:p w14:paraId="604D2785" w14:textId="77777777" w:rsidR="0090121B" w:rsidRPr="00DC61B3"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AF2024B" w14:textId="77777777" w:rsidR="0090121B" w:rsidRPr="00DC61B3" w:rsidRDefault="0090121B" w:rsidP="0090121B">
            <w:pPr>
              <w:spacing w:before="0" w:line="240" w:lineRule="atLeast"/>
              <w:rPr>
                <w:rFonts w:ascii="Verdana" w:hAnsi="Verdana"/>
                <w:sz w:val="20"/>
              </w:rPr>
            </w:pPr>
          </w:p>
        </w:tc>
      </w:tr>
      <w:tr w:rsidR="0090121B" w:rsidRPr="00DC61B3" w14:paraId="5C9AE65B" w14:textId="77777777" w:rsidTr="0090121B">
        <w:trPr>
          <w:cantSplit/>
        </w:trPr>
        <w:tc>
          <w:tcPr>
            <w:tcW w:w="6911" w:type="dxa"/>
            <w:gridSpan w:val="2"/>
          </w:tcPr>
          <w:p w14:paraId="44B88D32" w14:textId="77777777" w:rsidR="0090121B" w:rsidRPr="00DC61B3" w:rsidRDefault="001E7D42" w:rsidP="00EA77F0">
            <w:pPr>
              <w:pStyle w:val="Committee"/>
              <w:framePr w:hSpace="0" w:wrap="auto" w:hAnchor="text" w:yAlign="inline"/>
              <w:rPr>
                <w:sz w:val="18"/>
                <w:szCs w:val="18"/>
                <w:lang w:val="es-ES_tradnl"/>
              </w:rPr>
            </w:pPr>
            <w:r w:rsidRPr="00DC61B3">
              <w:rPr>
                <w:sz w:val="18"/>
                <w:szCs w:val="18"/>
                <w:lang w:val="es-ES_tradnl"/>
              </w:rPr>
              <w:t>SESIÓN PLENARIA</w:t>
            </w:r>
          </w:p>
        </w:tc>
        <w:tc>
          <w:tcPr>
            <w:tcW w:w="3120" w:type="dxa"/>
            <w:gridSpan w:val="2"/>
          </w:tcPr>
          <w:p w14:paraId="770D8457" w14:textId="77777777" w:rsidR="0090121B" w:rsidRPr="00DC61B3" w:rsidRDefault="00AE658F" w:rsidP="0045384C">
            <w:pPr>
              <w:spacing w:before="0"/>
              <w:rPr>
                <w:rFonts w:ascii="Verdana" w:hAnsi="Verdana"/>
                <w:sz w:val="18"/>
                <w:szCs w:val="18"/>
              </w:rPr>
            </w:pPr>
            <w:r w:rsidRPr="00DC61B3">
              <w:rPr>
                <w:rFonts w:ascii="Verdana" w:hAnsi="Verdana"/>
                <w:b/>
                <w:sz w:val="18"/>
                <w:szCs w:val="18"/>
              </w:rPr>
              <w:t>Addéndum 19 al</w:t>
            </w:r>
            <w:r w:rsidRPr="00DC61B3">
              <w:rPr>
                <w:rFonts w:ascii="Verdana" w:hAnsi="Verdana"/>
                <w:b/>
                <w:sz w:val="18"/>
                <w:szCs w:val="18"/>
              </w:rPr>
              <w:br/>
              <w:t>Documento 65</w:t>
            </w:r>
            <w:r w:rsidR="0090121B" w:rsidRPr="00DC61B3">
              <w:rPr>
                <w:rFonts w:ascii="Verdana" w:hAnsi="Verdana"/>
                <w:b/>
                <w:sz w:val="18"/>
                <w:szCs w:val="18"/>
              </w:rPr>
              <w:t>-</w:t>
            </w:r>
            <w:r w:rsidRPr="00DC61B3">
              <w:rPr>
                <w:rFonts w:ascii="Verdana" w:hAnsi="Verdana"/>
                <w:b/>
                <w:sz w:val="18"/>
                <w:szCs w:val="18"/>
              </w:rPr>
              <w:t>S</w:t>
            </w:r>
          </w:p>
        </w:tc>
      </w:tr>
      <w:bookmarkEnd w:id="1"/>
      <w:tr w:rsidR="000A5B9A" w:rsidRPr="00DC61B3" w14:paraId="7559ACF5" w14:textId="77777777" w:rsidTr="0090121B">
        <w:trPr>
          <w:cantSplit/>
        </w:trPr>
        <w:tc>
          <w:tcPr>
            <w:tcW w:w="6911" w:type="dxa"/>
            <w:gridSpan w:val="2"/>
          </w:tcPr>
          <w:p w14:paraId="3D840880" w14:textId="77777777" w:rsidR="000A5B9A" w:rsidRPr="00DC61B3" w:rsidRDefault="000A5B9A" w:rsidP="0045384C">
            <w:pPr>
              <w:spacing w:before="0" w:after="48"/>
              <w:rPr>
                <w:rFonts w:ascii="Verdana" w:hAnsi="Verdana"/>
                <w:b/>
                <w:smallCaps/>
                <w:sz w:val="18"/>
                <w:szCs w:val="18"/>
              </w:rPr>
            </w:pPr>
          </w:p>
        </w:tc>
        <w:tc>
          <w:tcPr>
            <w:tcW w:w="3120" w:type="dxa"/>
            <w:gridSpan w:val="2"/>
          </w:tcPr>
          <w:p w14:paraId="0D46EF5E" w14:textId="77777777" w:rsidR="000A5B9A" w:rsidRPr="00DC61B3" w:rsidRDefault="000A5B9A" w:rsidP="0045384C">
            <w:pPr>
              <w:spacing w:before="0"/>
              <w:rPr>
                <w:rFonts w:ascii="Verdana" w:hAnsi="Verdana"/>
                <w:b/>
                <w:sz w:val="18"/>
                <w:szCs w:val="18"/>
              </w:rPr>
            </w:pPr>
            <w:r w:rsidRPr="00DC61B3">
              <w:rPr>
                <w:rFonts w:ascii="Verdana" w:hAnsi="Verdana"/>
                <w:b/>
                <w:sz w:val="18"/>
                <w:szCs w:val="18"/>
              </w:rPr>
              <w:t>31 de octubre de 2023</w:t>
            </w:r>
          </w:p>
        </w:tc>
      </w:tr>
      <w:tr w:rsidR="000A5B9A" w:rsidRPr="00DC61B3" w14:paraId="0A2696EF" w14:textId="77777777" w:rsidTr="0090121B">
        <w:trPr>
          <w:cantSplit/>
        </w:trPr>
        <w:tc>
          <w:tcPr>
            <w:tcW w:w="6911" w:type="dxa"/>
            <w:gridSpan w:val="2"/>
          </w:tcPr>
          <w:p w14:paraId="0C4D1B9B" w14:textId="77777777" w:rsidR="000A5B9A" w:rsidRPr="00DC61B3" w:rsidRDefault="000A5B9A" w:rsidP="0045384C">
            <w:pPr>
              <w:spacing w:before="0" w:after="48"/>
              <w:rPr>
                <w:rFonts w:ascii="Verdana" w:hAnsi="Verdana"/>
                <w:b/>
                <w:smallCaps/>
                <w:sz w:val="18"/>
                <w:szCs w:val="18"/>
              </w:rPr>
            </w:pPr>
          </w:p>
        </w:tc>
        <w:tc>
          <w:tcPr>
            <w:tcW w:w="3120" w:type="dxa"/>
            <w:gridSpan w:val="2"/>
          </w:tcPr>
          <w:p w14:paraId="0528D2AB" w14:textId="77777777" w:rsidR="000A5B9A" w:rsidRPr="00DC61B3" w:rsidRDefault="000A5B9A" w:rsidP="0045384C">
            <w:pPr>
              <w:spacing w:before="0"/>
              <w:rPr>
                <w:rFonts w:ascii="Verdana" w:hAnsi="Verdana"/>
                <w:b/>
                <w:sz w:val="18"/>
                <w:szCs w:val="18"/>
              </w:rPr>
            </w:pPr>
            <w:r w:rsidRPr="00DC61B3">
              <w:rPr>
                <w:rFonts w:ascii="Verdana" w:hAnsi="Verdana"/>
                <w:b/>
                <w:sz w:val="18"/>
                <w:szCs w:val="18"/>
              </w:rPr>
              <w:t>Original: inglés</w:t>
            </w:r>
          </w:p>
        </w:tc>
      </w:tr>
      <w:tr w:rsidR="000A5B9A" w:rsidRPr="00DC61B3" w14:paraId="0C2C6EBD" w14:textId="77777777" w:rsidTr="006744FC">
        <w:trPr>
          <w:cantSplit/>
        </w:trPr>
        <w:tc>
          <w:tcPr>
            <w:tcW w:w="10031" w:type="dxa"/>
            <w:gridSpan w:val="4"/>
          </w:tcPr>
          <w:p w14:paraId="0578F3C5" w14:textId="77777777" w:rsidR="000A5B9A" w:rsidRPr="00DC61B3" w:rsidRDefault="000A5B9A" w:rsidP="0045384C">
            <w:pPr>
              <w:spacing w:before="0"/>
              <w:rPr>
                <w:rFonts w:ascii="Verdana" w:hAnsi="Verdana"/>
                <w:b/>
                <w:sz w:val="18"/>
                <w:szCs w:val="22"/>
              </w:rPr>
            </w:pPr>
          </w:p>
        </w:tc>
      </w:tr>
      <w:tr w:rsidR="000A5B9A" w:rsidRPr="00DC61B3" w14:paraId="7CF8A7C4" w14:textId="77777777" w:rsidTr="0050008E">
        <w:trPr>
          <w:cantSplit/>
        </w:trPr>
        <w:tc>
          <w:tcPr>
            <w:tcW w:w="10031" w:type="dxa"/>
            <w:gridSpan w:val="4"/>
          </w:tcPr>
          <w:p w14:paraId="1FA0F58B" w14:textId="77777777" w:rsidR="000A5B9A" w:rsidRPr="00DC61B3" w:rsidRDefault="000A5B9A" w:rsidP="000A5B9A">
            <w:pPr>
              <w:pStyle w:val="Source"/>
            </w:pPr>
            <w:bookmarkStart w:id="2" w:name="dsource" w:colFirst="0" w:colLast="0"/>
            <w:r w:rsidRPr="00DC61B3">
              <w:t>Propuestas Comunes Europeas</w:t>
            </w:r>
          </w:p>
        </w:tc>
      </w:tr>
      <w:tr w:rsidR="000A5B9A" w:rsidRPr="00DC61B3" w14:paraId="0BEAEE85" w14:textId="77777777" w:rsidTr="0050008E">
        <w:trPr>
          <w:cantSplit/>
        </w:trPr>
        <w:tc>
          <w:tcPr>
            <w:tcW w:w="10031" w:type="dxa"/>
            <w:gridSpan w:val="4"/>
          </w:tcPr>
          <w:p w14:paraId="6A48F4F9" w14:textId="189AD1FE" w:rsidR="000A5B9A" w:rsidRPr="00DC61B3" w:rsidRDefault="00035F00" w:rsidP="000A5B9A">
            <w:pPr>
              <w:pStyle w:val="Title1"/>
            </w:pPr>
            <w:bookmarkStart w:id="3" w:name="dtitle1" w:colFirst="0" w:colLast="0"/>
            <w:bookmarkEnd w:id="2"/>
            <w:r w:rsidRPr="00DC61B3">
              <w:t>PROPUESTAS PARA LOS TRABAJOS DE LA CONFERENCIA</w:t>
            </w:r>
          </w:p>
        </w:tc>
      </w:tr>
      <w:tr w:rsidR="000A5B9A" w:rsidRPr="00DC61B3" w14:paraId="2C787F88" w14:textId="77777777" w:rsidTr="0050008E">
        <w:trPr>
          <w:cantSplit/>
        </w:trPr>
        <w:tc>
          <w:tcPr>
            <w:tcW w:w="10031" w:type="dxa"/>
            <w:gridSpan w:val="4"/>
          </w:tcPr>
          <w:p w14:paraId="4ECD13AC" w14:textId="77777777" w:rsidR="000A5B9A" w:rsidRPr="00DC61B3" w:rsidRDefault="000A5B9A" w:rsidP="000A5B9A">
            <w:pPr>
              <w:pStyle w:val="Title2"/>
            </w:pPr>
            <w:bookmarkStart w:id="4" w:name="dtitle2" w:colFirst="0" w:colLast="0"/>
            <w:bookmarkEnd w:id="3"/>
          </w:p>
        </w:tc>
      </w:tr>
      <w:tr w:rsidR="000A5B9A" w:rsidRPr="00DC61B3" w14:paraId="05B10F6B" w14:textId="77777777" w:rsidTr="0050008E">
        <w:trPr>
          <w:cantSplit/>
        </w:trPr>
        <w:tc>
          <w:tcPr>
            <w:tcW w:w="10031" w:type="dxa"/>
            <w:gridSpan w:val="4"/>
          </w:tcPr>
          <w:p w14:paraId="25C15A47" w14:textId="77777777" w:rsidR="000A5B9A" w:rsidRPr="00DC61B3" w:rsidRDefault="000A5B9A" w:rsidP="000A5B9A">
            <w:pPr>
              <w:pStyle w:val="Agendaitem"/>
            </w:pPr>
            <w:bookmarkStart w:id="5" w:name="dtitle3" w:colFirst="0" w:colLast="0"/>
            <w:bookmarkEnd w:id="4"/>
            <w:r w:rsidRPr="00DC61B3">
              <w:t>Punto 1.19 del orden del día</w:t>
            </w:r>
          </w:p>
        </w:tc>
      </w:tr>
    </w:tbl>
    <w:bookmarkEnd w:id="5"/>
    <w:p w14:paraId="74A92321" w14:textId="77777777" w:rsidR="00CA2965" w:rsidRPr="00DC61B3" w:rsidRDefault="00273BDD" w:rsidP="003129AF">
      <w:r w:rsidRPr="00DC61B3">
        <w:rPr>
          <w:bCs/>
        </w:rPr>
        <w:t>1.19</w:t>
      </w:r>
      <w:r w:rsidRPr="00DC61B3">
        <w:rPr>
          <w:b/>
          <w:bCs/>
        </w:rPr>
        <w:tab/>
      </w:r>
      <w:r w:rsidRPr="00DC61B3">
        <w:rPr>
          <w:bCs/>
        </w:rPr>
        <w:t>considerar una nueva atribución a título primario al servicio fijo por satélite en el sentido espacio-Tierra en la banda de frecuencias 17,3-17,7 GHz en la Región 2, protegiendo a su vez los servicios primarios existentes en la banda, de conformidad con la Resolución </w:t>
      </w:r>
      <w:r w:rsidRPr="00DC61B3">
        <w:rPr>
          <w:b/>
          <w:bCs/>
        </w:rPr>
        <w:t>174 (CMR</w:t>
      </w:r>
      <w:r w:rsidRPr="00DC61B3">
        <w:rPr>
          <w:b/>
          <w:bCs/>
        </w:rPr>
        <w:noBreakHyphen/>
        <w:t>19)</w:t>
      </w:r>
      <w:r w:rsidRPr="00DC61B3">
        <w:rPr>
          <w:bCs/>
        </w:rPr>
        <w:t>;</w:t>
      </w:r>
    </w:p>
    <w:p w14:paraId="6B7AA4FE" w14:textId="2FADEAA8" w:rsidR="00035F00" w:rsidRPr="00DC61B3" w:rsidRDefault="00035F00" w:rsidP="00035F00">
      <w:pPr>
        <w:pStyle w:val="Headingb"/>
      </w:pPr>
      <w:r w:rsidRPr="00DC61B3">
        <w:t>Introducción</w:t>
      </w:r>
    </w:p>
    <w:p w14:paraId="5B189CC2" w14:textId="141ED933" w:rsidR="00035F00" w:rsidRPr="00DC61B3" w:rsidRDefault="002E37CF" w:rsidP="00035F00">
      <w:r w:rsidRPr="00DC61B3">
        <w:t>En esta</w:t>
      </w:r>
      <w:r w:rsidR="002505F3">
        <w:t>s</w:t>
      </w:r>
      <w:r w:rsidRPr="00DC61B3">
        <w:t xml:space="preserve"> PCE se proponen modificaciones del Reglamento de Radiocomunicaciones para facilitar una nueva atribución a título primario al servicio fijo por satélite en el sentido espacio-Tierra en la banda de frecuencias 17,3-17,7 GHz en la Región 2, </w:t>
      </w:r>
      <w:r w:rsidR="006B623F">
        <w:t>protegiendo a su vez</w:t>
      </w:r>
      <w:r w:rsidRPr="00DC61B3">
        <w:t xml:space="preserve"> los servicios atribuidos en esa banda de frecuencias y en las bandas de frecuencias adyacentes</w:t>
      </w:r>
      <w:r w:rsidR="00035F00" w:rsidRPr="00DC61B3">
        <w:t>.</w:t>
      </w:r>
    </w:p>
    <w:p w14:paraId="17B5B016" w14:textId="029F32AD" w:rsidR="00363A65" w:rsidRPr="002505F3" w:rsidRDefault="002E37CF" w:rsidP="002505F3">
      <w:pPr>
        <w:pStyle w:val="Headingb"/>
        <w:rPr>
          <w:b w:val="0"/>
          <w:bCs/>
        </w:rPr>
      </w:pPr>
      <w:r w:rsidRPr="002505F3">
        <w:t>Propuestas</w:t>
      </w:r>
    </w:p>
    <w:p w14:paraId="303102A7" w14:textId="77777777" w:rsidR="008750A8" w:rsidRPr="00DC61B3" w:rsidRDefault="008750A8" w:rsidP="008750A8">
      <w:pPr>
        <w:tabs>
          <w:tab w:val="clear" w:pos="1134"/>
          <w:tab w:val="clear" w:pos="1871"/>
          <w:tab w:val="clear" w:pos="2268"/>
        </w:tabs>
        <w:overflowPunct/>
        <w:autoSpaceDE/>
        <w:autoSpaceDN/>
        <w:adjustRightInd/>
        <w:spacing w:before="0"/>
        <w:textAlignment w:val="auto"/>
      </w:pPr>
      <w:r w:rsidRPr="00DC61B3">
        <w:br w:type="page"/>
      </w:r>
    </w:p>
    <w:p w14:paraId="633F7F28" w14:textId="77777777" w:rsidR="006537F1" w:rsidRPr="0000090A" w:rsidRDefault="00273BDD" w:rsidP="0000090A">
      <w:pPr>
        <w:pStyle w:val="ArtNo"/>
      </w:pPr>
      <w:bookmarkStart w:id="6" w:name="_Toc48141301"/>
      <w:r w:rsidRPr="0000090A">
        <w:lastRenderedPageBreak/>
        <w:t xml:space="preserve">ARTÍCULO </w:t>
      </w:r>
      <w:r w:rsidRPr="0000090A">
        <w:rPr>
          <w:rStyle w:val="href"/>
        </w:rPr>
        <w:t>5</w:t>
      </w:r>
      <w:bookmarkEnd w:id="6"/>
    </w:p>
    <w:p w14:paraId="15FE0E1B" w14:textId="77777777" w:rsidR="00625DBA" w:rsidRPr="00DC61B3" w:rsidRDefault="00273BDD" w:rsidP="00625DBA">
      <w:pPr>
        <w:pStyle w:val="Arttitle"/>
      </w:pPr>
      <w:bookmarkStart w:id="7" w:name="_Toc48141302"/>
      <w:r w:rsidRPr="00DC61B3">
        <w:t>Atribuciones de frecuencia</w:t>
      </w:r>
      <w:bookmarkEnd w:id="7"/>
    </w:p>
    <w:p w14:paraId="4E6FDCDA" w14:textId="77777777" w:rsidR="00625DBA" w:rsidRPr="00DC61B3" w:rsidRDefault="00273BDD" w:rsidP="00625DBA">
      <w:pPr>
        <w:pStyle w:val="Section1"/>
      </w:pPr>
      <w:r w:rsidRPr="00DC61B3">
        <w:t>Sección IV – Cuadro de atribución de bandas de frecuencias</w:t>
      </w:r>
      <w:r w:rsidRPr="00DC61B3">
        <w:br/>
      </w:r>
      <w:r w:rsidRPr="00DC61B3">
        <w:rPr>
          <w:b w:val="0"/>
          <w:bCs/>
        </w:rPr>
        <w:t>(Véase el número</w:t>
      </w:r>
      <w:r w:rsidRPr="00DC61B3">
        <w:t xml:space="preserve"> </w:t>
      </w:r>
      <w:r w:rsidRPr="00DC61B3">
        <w:rPr>
          <w:rStyle w:val="Artref"/>
        </w:rPr>
        <w:t>2.1</w:t>
      </w:r>
      <w:r w:rsidRPr="00DC61B3">
        <w:rPr>
          <w:b w:val="0"/>
          <w:bCs/>
        </w:rPr>
        <w:t>)</w:t>
      </w:r>
      <w:r w:rsidRPr="00DC61B3">
        <w:br/>
      </w:r>
    </w:p>
    <w:p w14:paraId="34787621" w14:textId="77777777" w:rsidR="00B47676" w:rsidRPr="00DC61B3" w:rsidRDefault="00273BDD">
      <w:pPr>
        <w:pStyle w:val="Proposal"/>
      </w:pPr>
      <w:r w:rsidRPr="00DC61B3">
        <w:t>MOD</w:t>
      </w:r>
      <w:r w:rsidRPr="00DC61B3">
        <w:tab/>
        <w:t>EUR/65A19/1</w:t>
      </w:r>
      <w:r w:rsidRPr="00DC61B3">
        <w:rPr>
          <w:vanish/>
          <w:color w:val="7F7F7F" w:themeColor="text1" w:themeTint="80"/>
          <w:vertAlign w:val="superscript"/>
        </w:rPr>
        <w:t>#1921</w:t>
      </w:r>
    </w:p>
    <w:p w14:paraId="0C58AF27" w14:textId="77777777" w:rsidR="007704DB" w:rsidRPr="00DC61B3" w:rsidRDefault="00273BDD" w:rsidP="00D210C4">
      <w:pPr>
        <w:pStyle w:val="Tabletitle"/>
        <w:rPr>
          <w:color w:val="000000"/>
        </w:rPr>
      </w:pPr>
      <w:r w:rsidRPr="00DC61B3">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DC61B3" w14:paraId="6B86C690" w14:textId="77777777" w:rsidTr="00D210C4">
        <w:trPr>
          <w:cantSplit/>
        </w:trPr>
        <w:tc>
          <w:tcPr>
            <w:tcW w:w="9303" w:type="dxa"/>
            <w:gridSpan w:val="3"/>
            <w:tcBorders>
              <w:top w:val="single" w:sz="6" w:space="0" w:color="auto"/>
              <w:left w:val="single" w:sz="6" w:space="0" w:color="auto"/>
              <w:bottom w:val="single" w:sz="6" w:space="0" w:color="auto"/>
              <w:right w:val="single" w:sz="6" w:space="0" w:color="auto"/>
            </w:tcBorders>
          </w:tcPr>
          <w:p w14:paraId="41441281" w14:textId="77777777" w:rsidR="007704DB" w:rsidRPr="00DC61B3" w:rsidRDefault="00273BDD" w:rsidP="00D210C4">
            <w:pPr>
              <w:pStyle w:val="Tablehead"/>
            </w:pPr>
            <w:r w:rsidRPr="00DC61B3">
              <w:t>Atribución a los servicios</w:t>
            </w:r>
          </w:p>
        </w:tc>
      </w:tr>
      <w:tr w:rsidR="007704DB" w:rsidRPr="00DC61B3" w14:paraId="26A392CF" w14:textId="77777777" w:rsidTr="00D210C4">
        <w:trPr>
          <w:cantSplit/>
        </w:trPr>
        <w:tc>
          <w:tcPr>
            <w:tcW w:w="3101" w:type="dxa"/>
            <w:tcBorders>
              <w:top w:val="single" w:sz="6" w:space="0" w:color="auto"/>
              <w:left w:val="single" w:sz="6" w:space="0" w:color="auto"/>
              <w:bottom w:val="single" w:sz="6" w:space="0" w:color="auto"/>
              <w:right w:val="single" w:sz="6" w:space="0" w:color="auto"/>
            </w:tcBorders>
          </w:tcPr>
          <w:p w14:paraId="2C7C6B24" w14:textId="77777777" w:rsidR="007704DB" w:rsidRPr="00DC61B3" w:rsidRDefault="00273BDD" w:rsidP="00D210C4">
            <w:pPr>
              <w:pStyle w:val="Tablehead"/>
            </w:pPr>
            <w:r w:rsidRPr="00DC61B3">
              <w:t>Región 1</w:t>
            </w:r>
          </w:p>
        </w:tc>
        <w:tc>
          <w:tcPr>
            <w:tcW w:w="3101" w:type="dxa"/>
            <w:tcBorders>
              <w:top w:val="single" w:sz="6" w:space="0" w:color="auto"/>
              <w:left w:val="single" w:sz="6" w:space="0" w:color="auto"/>
              <w:bottom w:val="single" w:sz="6" w:space="0" w:color="auto"/>
              <w:right w:val="single" w:sz="6" w:space="0" w:color="auto"/>
            </w:tcBorders>
          </w:tcPr>
          <w:p w14:paraId="3C26FC0D" w14:textId="77777777" w:rsidR="007704DB" w:rsidRPr="00DC61B3" w:rsidRDefault="00273BDD" w:rsidP="00D210C4">
            <w:pPr>
              <w:pStyle w:val="Tablehead"/>
            </w:pPr>
            <w:r w:rsidRPr="00DC61B3">
              <w:t>Región 2</w:t>
            </w:r>
          </w:p>
        </w:tc>
        <w:tc>
          <w:tcPr>
            <w:tcW w:w="3101" w:type="dxa"/>
            <w:tcBorders>
              <w:top w:val="single" w:sz="6" w:space="0" w:color="auto"/>
              <w:left w:val="single" w:sz="6" w:space="0" w:color="auto"/>
              <w:bottom w:val="single" w:sz="6" w:space="0" w:color="auto"/>
              <w:right w:val="single" w:sz="6" w:space="0" w:color="auto"/>
            </w:tcBorders>
          </w:tcPr>
          <w:p w14:paraId="3EA04C80" w14:textId="77777777" w:rsidR="007704DB" w:rsidRPr="00DC61B3" w:rsidRDefault="00273BDD" w:rsidP="00D210C4">
            <w:pPr>
              <w:pStyle w:val="Tablehead"/>
            </w:pPr>
            <w:r w:rsidRPr="00DC61B3">
              <w:t>Región 3</w:t>
            </w:r>
          </w:p>
        </w:tc>
      </w:tr>
      <w:tr w:rsidR="007704DB" w:rsidRPr="00DC61B3" w14:paraId="73F5A801" w14:textId="77777777" w:rsidTr="00D210C4">
        <w:trPr>
          <w:cantSplit/>
        </w:trPr>
        <w:tc>
          <w:tcPr>
            <w:tcW w:w="3101" w:type="dxa"/>
            <w:tcBorders>
              <w:top w:val="single" w:sz="6" w:space="0" w:color="auto"/>
              <w:left w:val="single" w:sz="6" w:space="0" w:color="auto"/>
              <w:right w:val="single" w:sz="6" w:space="0" w:color="auto"/>
            </w:tcBorders>
          </w:tcPr>
          <w:p w14:paraId="6C43CD8A" w14:textId="77777777" w:rsidR="007704DB" w:rsidRPr="00DC61B3" w:rsidRDefault="00273BDD" w:rsidP="00D210C4">
            <w:pPr>
              <w:pStyle w:val="TableTextS5"/>
            </w:pPr>
            <w:r w:rsidRPr="00DC61B3">
              <w:rPr>
                <w:rStyle w:val="Tablefreq"/>
              </w:rPr>
              <w:t>17,3-17,7</w:t>
            </w:r>
          </w:p>
          <w:p w14:paraId="003105C5" w14:textId="321E2868" w:rsidR="007704DB" w:rsidRPr="00DC61B3" w:rsidRDefault="00273BDD" w:rsidP="00D210C4">
            <w:pPr>
              <w:pStyle w:val="TableTextS5"/>
            </w:pPr>
            <w:r w:rsidRPr="00DC61B3">
              <w:t>FIJO POR SATÉLITE</w:t>
            </w:r>
            <w:r w:rsidRPr="00DC61B3">
              <w:br/>
              <w:t xml:space="preserve">(Tierra-espacio)  </w:t>
            </w:r>
            <w:r w:rsidRPr="00DC61B3">
              <w:rPr>
                <w:rStyle w:val="Artref"/>
              </w:rPr>
              <w:t>5.516</w:t>
            </w:r>
            <w:r w:rsidRPr="00DC61B3">
              <w:rPr>
                <w:rStyle w:val="Artref"/>
                <w:color w:val="000000"/>
              </w:rPr>
              <w:br/>
            </w:r>
            <w:r w:rsidRPr="00DC61B3">
              <w:t>(espacio-Tierra)</w:t>
            </w:r>
            <w:r w:rsidR="002E37CF" w:rsidRPr="00DC61B3">
              <w:t xml:space="preserve"> </w:t>
            </w:r>
            <w:r w:rsidR="002E37CF" w:rsidRPr="00DC61B3">
              <w:rPr>
                <w:color w:val="000000"/>
                <w:sz w:val="24"/>
              </w:rPr>
              <w:t xml:space="preserve"> </w:t>
            </w:r>
            <w:ins w:id="8" w:author="CEPT" w:date="2023-08-16T11:57:00Z">
              <w:r w:rsidR="002E37CF" w:rsidRPr="00DC61B3">
                <w:t xml:space="preserve">MOD 5.484A </w:t>
              </w:r>
            </w:ins>
            <w:r w:rsidRPr="00DC61B3">
              <w:t xml:space="preserve">  </w:t>
            </w:r>
            <w:ins w:id="9" w:author="Spanish83" w:date="2022-12-09T11:58:00Z">
              <w:r w:rsidRPr="00DC61B3">
                <w:t xml:space="preserve">MOD </w:t>
              </w:r>
            </w:ins>
            <w:r w:rsidRPr="00DC61B3">
              <w:rPr>
                <w:rStyle w:val="Artref"/>
              </w:rPr>
              <w:t>5.516A</w:t>
            </w:r>
            <w:r w:rsidRPr="00DC61B3">
              <w:t xml:space="preserve">  </w:t>
            </w:r>
            <w:r w:rsidRPr="00DC61B3">
              <w:rPr>
                <w:rStyle w:val="Artref"/>
              </w:rPr>
              <w:t>5.516B</w:t>
            </w:r>
          </w:p>
          <w:p w14:paraId="73B719ED" w14:textId="77777777" w:rsidR="007704DB" w:rsidRPr="00DC61B3" w:rsidRDefault="00273BDD" w:rsidP="00D210C4">
            <w:pPr>
              <w:pStyle w:val="TableTextS5"/>
            </w:pPr>
            <w:r w:rsidRPr="00DC61B3">
              <w:t>Radiolocalización</w:t>
            </w:r>
          </w:p>
        </w:tc>
        <w:tc>
          <w:tcPr>
            <w:tcW w:w="3101" w:type="dxa"/>
            <w:tcBorders>
              <w:top w:val="single" w:sz="6" w:space="0" w:color="auto"/>
              <w:left w:val="single" w:sz="6" w:space="0" w:color="auto"/>
              <w:right w:val="single" w:sz="6" w:space="0" w:color="auto"/>
            </w:tcBorders>
          </w:tcPr>
          <w:p w14:paraId="526A7E40" w14:textId="77777777" w:rsidR="007704DB" w:rsidRPr="00DC61B3" w:rsidRDefault="00273BDD" w:rsidP="00D210C4">
            <w:pPr>
              <w:pStyle w:val="TableTextS5"/>
            </w:pPr>
            <w:r w:rsidRPr="00DC61B3">
              <w:rPr>
                <w:rStyle w:val="Tablefreq"/>
              </w:rPr>
              <w:t>17,3-17,7</w:t>
            </w:r>
          </w:p>
          <w:p w14:paraId="5A7A4DB7" w14:textId="77777777" w:rsidR="007704DB" w:rsidRPr="00DC61B3" w:rsidRDefault="00273BDD" w:rsidP="00D210C4">
            <w:pPr>
              <w:pStyle w:val="TableTextS5"/>
            </w:pPr>
            <w:r w:rsidRPr="00DC61B3">
              <w:t>FIJO POR SATÉLITE</w:t>
            </w:r>
            <w:r w:rsidRPr="00DC61B3">
              <w:br/>
              <w:t xml:space="preserve">(Tierra-espacio)  </w:t>
            </w:r>
            <w:r w:rsidRPr="00DC61B3">
              <w:rPr>
                <w:rStyle w:val="Artref"/>
              </w:rPr>
              <w:t>5.516</w:t>
            </w:r>
            <w:ins w:id="10" w:author="Spanish83" w:date="2023-04-28T15:19:00Z">
              <w:r w:rsidRPr="00DC61B3">
                <w:rPr>
                  <w:rStyle w:val="Artref"/>
                  <w:color w:val="000000"/>
                </w:rPr>
                <w:br/>
              </w:r>
            </w:ins>
            <w:ins w:id="11" w:author="Spanish83" w:date="2022-12-09T12:01:00Z">
              <w:r w:rsidRPr="00DC61B3">
                <w:t>(espacio</w:t>
              </w:r>
              <w:r w:rsidRPr="00DC61B3">
                <w:noBreakHyphen/>
                <w:t>Tierra)  MOD</w:t>
              </w:r>
              <w:r w:rsidRPr="00DC61B3">
                <w:rPr>
                  <w:rStyle w:val="Artref"/>
                </w:rPr>
                <w:t xml:space="preserve"> 5.484A</w:t>
              </w:r>
              <w:r w:rsidRPr="00DC61B3">
                <w:rPr>
                  <w:rStyle w:val="Artref"/>
                  <w:color w:val="000000"/>
                </w:rPr>
                <w:t xml:space="preserve"> </w:t>
              </w:r>
            </w:ins>
            <w:ins w:id="12" w:author="Spanish83" w:date="2022-12-09T12:02:00Z">
              <w:r w:rsidRPr="00DC61B3">
                <w:rPr>
                  <w:rStyle w:val="Artref"/>
                  <w:color w:val="000000"/>
                </w:rPr>
                <w:t xml:space="preserve"> </w:t>
              </w:r>
            </w:ins>
            <w:ins w:id="13" w:author="Spanish83" w:date="2022-12-09T12:01:00Z">
              <w:r w:rsidRPr="00DC61B3">
                <w:t xml:space="preserve">MOD </w:t>
              </w:r>
              <w:r w:rsidRPr="00DC61B3">
                <w:rPr>
                  <w:rStyle w:val="Artref"/>
                </w:rPr>
                <w:t>5.516A</w:t>
              </w:r>
              <w:r w:rsidRPr="00DC61B3">
                <w:t xml:space="preserve">  MOD </w:t>
              </w:r>
              <w:r w:rsidRPr="00DC61B3">
                <w:rPr>
                  <w:rStyle w:val="Artref"/>
                </w:rPr>
                <w:t>5.517</w:t>
              </w:r>
            </w:ins>
          </w:p>
          <w:p w14:paraId="210457F9" w14:textId="77777777" w:rsidR="007704DB" w:rsidRPr="00DC61B3" w:rsidRDefault="00273BDD" w:rsidP="00D210C4">
            <w:pPr>
              <w:pStyle w:val="TableTextS5"/>
            </w:pPr>
            <w:r w:rsidRPr="00DC61B3">
              <w:t>RADIODIFUSIÓN POR SATÉLITE</w:t>
            </w:r>
          </w:p>
          <w:p w14:paraId="3EAFB3EA" w14:textId="77777777" w:rsidR="007704DB" w:rsidRPr="00DC61B3" w:rsidRDefault="00273BDD" w:rsidP="00D210C4">
            <w:pPr>
              <w:pStyle w:val="TableTextS5"/>
            </w:pPr>
            <w:r w:rsidRPr="00DC61B3">
              <w:t>Radiolocalización</w:t>
            </w:r>
          </w:p>
        </w:tc>
        <w:tc>
          <w:tcPr>
            <w:tcW w:w="3101" w:type="dxa"/>
            <w:tcBorders>
              <w:top w:val="single" w:sz="6" w:space="0" w:color="auto"/>
              <w:left w:val="single" w:sz="6" w:space="0" w:color="auto"/>
              <w:right w:val="single" w:sz="6" w:space="0" w:color="auto"/>
            </w:tcBorders>
          </w:tcPr>
          <w:p w14:paraId="7595E448" w14:textId="77777777" w:rsidR="007704DB" w:rsidRPr="00DC61B3" w:rsidRDefault="00273BDD" w:rsidP="00D210C4">
            <w:pPr>
              <w:pStyle w:val="TableTextS5"/>
            </w:pPr>
            <w:r w:rsidRPr="00DC61B3">
              <w:rPr>
                <w:rStyle w:val="Tablefreq"/>
              </w:rPr>
              <w:t>17,3-17,7</w:t>
            </w:r>
          </w:p>
          <w:p w14:paraId="12639AEA" w14:textId="77777777" w:rsidR="007704DB" w:rsidRPr="00DC61B3" w:rsidRDefault="00273BDD" w:rsidP="00D210C4">
            <w:pPr>
              <w:pStyle w:val="TableTextS5"/>
            </w:pPr>
            <w:r w:rsidRPr="00DC61B3">
              <w:t>FIJO POR SATÉLITE</w:t>
            </w:r>
            <w:r w:rsidRPr="00DC61B3">
              <w:br/>
              <w:t xml:space="preserve">(Tierra-espacio)  </w:t>
            </w:r>
            <w:r w:rsidRPr="00DC61B3">
              <w:rPr>
                <w:rStyle w:val="Artref"/>
              </w:rPr>
              <w:t>5.516</w:t>
            </w:r>
          </w:p>
          <w:p w14:paraId="123AC71F" w14:textId="77777777" w:rsidR="007704DB" w:rsidRPr="00DC61B3" w:rsidRDefault="00273BDD" w:rsidP="00D210C4">
            <w:pPr>
              <w:pStyle w:val="TableTextS5"/>
            </w:pPr>
            <w:r w:rsidRPr="00DC61B3">
              <w:t>Radiolocalización</w:t>
            </w:r>
          </w:p>
        </w:tc>
      </w:tr>
      <w:tr w:rsidR="007704DB" w:rsidRPr="00DC61B3" w14:paraId="16F664ED" w14:textId="77777777" w:rsidTr="00D210C4">
        <w:trPr>
          <w:cantSplit/>
        </w:trPr>
        <w:tc>
          <w:tcPr>
            <w:tcW w:w="3101" w:type="dxa"/>
            <w:tcBorders>
              <w:left w:val="single" w:sz="6" w:space="0" w:color="auto"/>
              <w:bottom w:val="single" w:sz="6" w:space="0" w:color="auto"/>
              <w:right w:val="single" w:sz="6" w:space="0" w:color="auto"/>
            </w:tcBorders>
          </w:tcPr>
          <w:p w14:paraId="323B33F6" w14:textId="77777777" w:rsidR="007704DB" w:rsidRPr="00DC61B3" w:rsidRDefault="00273BDD" w:rsidP="00D210C4">
            <w:pPr>
              <w:pStyle w:val="TableTextS5"/>
              <w:rPr>
                <w:rStyle w:val="Artref"/>
              </w:rPr>
            </w:pPr>
            <w:r w:rsidRPr="00DC61B3">
              <w:rPr>
                <w:rStyle w:val="Artref"/>
              </w:rPr>
              <w:t>5.514</w:t>
            </w:r>
          </w:p>
        </w:tc>
        <w:tc>
          <w:tcPr>
            <w:tcW w:w="3101" w:type="dxa"/>
            <w:tcBorders>
              <w:left w:val="single" w:sz="6" w:space="0" w:color="auto"/>
              <w:bottom w:val="single" w:sz="6" w:space="0" w:color="auto"/>
              <w:right w:val="single" w:sz="6" w:space="0" w:color="auto"/>
            </w:tcBorders>
          </w:tcPr>
          <w:p w14:paraId="2445391D" w14:textId="77777777" w:rsidR="007704DB" w:rsidRPr="00DC61B3" w:rsidRDefault="00273BDD" w:rsidP="00780EE8">
            <w:pPr>
              <w:pStyle w:val="TableTextS5"/>
              <w:rPr>
                <w:color w:val="000000"/>
              </w:rPr>
            </w:pPr>
            <w:r w:rsidRPr="00DC61B3">
              <w:rPr>
                <w:rStyle w:val="Artref"/>
              </w:rPr>
              <w:t>5.514</w:t>
            </w:r>
            <w:r w:rsidRPr="00DC61B3">
              <w:rPr>
                <w:color w:val="000000"/>
              </w:rPr>
              <w:t xml:space="preserve">  </w:t>
            </w:r>
            <w:r w:rsidRPr="00DC61B3">
              <w:rPr>
                <w:rStyle w:val="Artref"/>
              </w:rPr>
              <w:t>5.515</w:t>
            </w:r>
          </w:p>
        </w:tc>
        <w:tc>
          <w:tcPr>
            <w:tcW w:w="3101" w:type="dxa"/>
            <w:tcBorders>
              <w:left w:val="single" w:sz="6" w:space="0" w:color="auto"/>
              <w:bottom w:val="single" w:sz="6" w:space="0" w:color="auto"/>
              <w:right w:val="single" w:sz="6" w:space="0" w:color="auto"/>
            </w:tcBorders>
          </w:tcPr>
          <w:p w14:paraId="0EACD1B9" w14:textId="77777777" w:rsidR="007704DB" w:rsidRPr="00DC61B3" w:rsidRDefault="00273BDD" w:rsidP="00D210C4">
            <w:pPr>
              <w:pStyle w:val="TableTextS5"/>
              <w:rPr>
                <w:rStyle w:val="Artref"/>
              </w:rPr>
            </w:pPr>
            <w:r w:rsidRPr="00DC61B3">
              <w:rPr>
                <w:rStyle w:val="Artref"/>
              </w:rPr>
              <w:t>5.514</w:t>
            </w:r>
          </w:p>
        </w:tc>
      </w:tr>
    </w:tbl>
    <w:p w14:paraId="2F4A35E1" w14:textId="53DA79C2" w:rsidR="00B47676" w:rsidRPr="00DC61B3" w:rsidRDefault="00273BDD">
      <w:pPr>
        <w:pStyle w:val="Reasons"/>
      </w:pPr>
      <w:r w:rsidRPr="00DC61B3">
        <w:rPr>
          <w:b/>
        </w:rPr>
        <w:t>Motivos:</w:t>
      </w:r>
      <w:r w:rsidRPr="00DC61B3">
        <w:tab/>
      </w:r>
      <w:r w:rsidR="002E37CF" w:rsidRPr="00DC61B3">
        <w:t xml:space="preserve">Efectuar una atribución al SFS (espacio-Tierra) en la banda de frecuencias 17,3-17,7 GHz en la Región 2 y aplicar los </w:t>
      </w:r>
      <w:r w:rsidR="006B623F">
        <w:t>números</w:t>
      </w:r>
      <w:r w:rsidR="002E37CF" w:rsidRPr="00DC61B3">
        <w:t xml:space="preserve"> 5.516A y 5.517 </w:t>
      </w:r>
      <w:r w:rsidR="006B623F">
        <w:t xml:space="preserve">del RR </w:t>
      </w:r>
      <w:r w:rsidR="002E37CF" w:rsidRPr="00DC61B3">
        <w:t xml:space="preserve">modificados </w:t>
      </w:r>
      <w:r w:rsidR="006B623F">
        <w:t>para</w:t>
      </w:r>
      <w:r w:rsidR="002E37CF" w:rsidRPr="00DC61B3">
        <w:t xml:space="preserve"> esta nueva atribución. Asimismo, se modifica el número 5.484A del RR para ampliar el uso de la banda de frecuencias 17,3-17,7 GHz (espacio-Tierra) en la Región 2, para aplicar las disposiciones del número 9.12 del RR a los sistemas de satélite no OSG.</w:t>
      </w:r>
    </w:p>
    <w:p w14:paraId="4D01B26F" w14:textId="77777777" w:rsidR="00B47676" w:rsidRPr="00DC61B3" w:rsidRDefault="00273BDD">
      <w:pPr>
        <w:pStyle w:val="Proposal"/>
      </w:pPr>
      <w:r w:rsidRPr="00DC61B3">
        <w:t>MOD</w:t>
      </w:r>
      <w:r w:rsidRPr="00DC61B3">
        <w:tab/>
        <w:t>EUR/65A19/2</w:t>
      </w:r>
      <w:r w:rsidRPr="00DC61B3">
        <w:rPr>
          <w:vanish/>
          <w:color w:val="7F7F7F" w:themeColor="text1" w:themeTint="80"/>
          <w:vertAlign w:val="superscript"/>
        </w:rPr>
        <w:t>#1924</w:t>
      </w:r>
    </w:p>
    <w:p w14:paraId="552720EB" w14:textId="49CB3A77" w:rsidR="007704DB" w:rsidRPr="00DC61B3" w:rsidRDefault="00273BDD" w:rsidP="00B660E4">
      <w:pPr>
        <w:pStyle w:val="Note"/>
        <w:keepNext/>
        <w:keepLines/>
      </w:pPr>
      <w:r w:rsidRPr="00DC61B3">
        <w:rPr>
          <w:rStyle w:val="Artdef"/>
        </w:rPr>
        <w:t>5.484A</w:t>
      </w:r>
      <w:r w:rsidRPr="00DC61B3">
        <w:tab/>
        <w:t xml:space="preserve">La utilización de las bandas </w:t>
      </w:r>
      <w:ins w:id="14" w:author="Spanish" w:date="2023-11-08T20:20:00Z">
        <w:r w:rsidR="002E37CF" w:rsidRPr="00DC61B3">
          <w:t xml:space="preserve">de frecuencias </w:t>
        </w:r>
      </w:ins>
      <w:r w:rsidRPr="00DC61B3">
        <w:t>10,95-11,2 GHz (espacio-Tierra), 11,45-11,7 GHz (espacio</w:t>
      </w:r>
      <w:r w:rsidRPr="00DC61B3">
        <w:noBreakHyphen/>
        <w:t>Tierra), 11,7</w:t>
      </w:r>
      <w:r w:rsidRPr="00DC61B3">
        <w:noBreakHyphen/>
        <w:t>12,2 GHz (espacio-Tierra) en la Región 2, 12,2-12,75 GHz (espacio-Tierra) en la Región 3, 12,5-12,75 GHz (espacio-Tierra) en la Región 1, 13,75-14,5 GHz (Tierra</w:t>
      </w:r>
      <w:r w:rsidRPr="00DC61B3">
        <w:noBreakHyphen/>
        <w:t xml:space="preserve">espacio), </w:t>
      </w:r>
      <w:ins w:id="15" w:author="Spanish" w:date="2023-11-08T20:21:00Z">
        <w:r w:rsidR="002E37CF" w:rsidRPr="00DC61B3">
          <w:t xml:space="preserve">17,3-17,7 GHz (espacio-Tierra) en las Regiones 1 y 2, </w:t>
        </w:r>
      </w:ins>
      <w:r w:rsidRPr="00DC61B3">
        <w:t>17,8</w:t>
      </w:r>
      <w:r w:rsidRPr="00DC61B3">
        <w:noBreakHyphen/>
        <w:t>18,6 GHz (espacio-Tierra), 19,7-20,2 GHz (espacio-Tierra), 27,5</w:t>
      </w:r>
      <w:r w:rsidRPr="00DC61B3">
        <w:noBreakHyphen/>
        <w:t>28,6 GHz (Tierra-espacio) y 29,5</w:t>
      </w:r>
      <w:r w:rsidRPr="00DC61B3">
        <w:noBreakHyphen/>
        <w:t>30 GHz (Tierra-espacio) por un sistema de satélites no geoestacionarios del servicio fijo por satélite está sujeta a la aplicación de las disposiciones del número </w:t>
      </w:r>
      <w:r w:rsidRPr="00DC61B3">
        <w:rPr>
          <w:rStyle w:val="Artref"/>
          <w:b/>
          <w:bCs/>
        </w:rPr>
        <w:t>9.12</w:t>
      </w:r>
      <w:r w:rsidRPr="00DC61B3">
        <w:t xml:space="preserve"> para la coordinación con otros sistemas de satélites no geoestacionarios del servicio fijo por satélite. Los sistemas de satélites no geoestacionarios del servicio fijo por satélite no reclamarán protección con relación a las redes de satélites geoestacionarios del servicio fijo por satélite que funcionen de conformidad con el Reglamento de Radiocomunicaciones, sea cual sea la fecha en que la Oficina reciba la información completa de coordinación o de notificación, según proceda, de los sistemas de satélites no geoestacionarios del servicio fijo por satélite y la información completa de coordinación o de notificación, según proceda, de las redes de satélites geoestacionarios. El número </w:t>
      </w:r>
      <w:r w:rsidRPr="00DC61B3">
        <w:rPr>
          <w:rStyle w:val="Artref"/>
          <w:b/>
          <w:bCs/>
        </w:rPr>
        <w:t>5.43A</w:t>
      </w:r>
      <w:r w:rsidRPr="00DC61B3">
        <w:t xml:space="preserve"> no se aplica. Los sistemas de satélites no geoestacionarios del servicio fijo por satélite se explotarán en las bandas precitadas de forma que cualquier interferencia inaceptable que pueda producirse durante su explotación se elimine rápidamente.</w:t>
      </w:r>
      <w:r w:rsidRPr="00DC61B3">
        <w:rPr>
          <w:sz w:val="16"/>
          <w:szCs w:val="16"/>
        </w:rPr>
        <w:t>     (CMR</w:t>
      </w:r>
      <w:r w:rsidRPr="00DC61B3">
        <w:rPr>
          <w:sz w:val="16"/>
          <w:szCs w:val="16"/>
        </w:rPr>
        <w:noBreakHyphen/>
      </w:r>
      <w:del w:id="16" w:author="Spanish83" w:date="2022-12-09T11:06:00Z">
        <w:r w:rsidRPr="00DC61B3" w:rsidDel="00926164">
          <w:rPr>
            <w:sz w:val="16"/>
            <w:szCs w:val="16"/>
          </w:rPr>
          <w:delText>2000</w:delText>
        </w:r>
      </w:del>
      <w:ins w:id="17" w:author="Spanish83" w:date="2022-12-09T11:06:00Z">
        <w:r w:rsidRPr="00DC61B3">
          <w:rPr>
            <w:sz w:val="16"/>
            <w:szCs w:val="16"/>
          </w:rPr>
          <w:t>23</w:t>
        </w:r>
      </w:ins>
      <w:r w:rsidRPr="00DC61B3">
        <w:rPr>
          <w:sz w:val="16"/>
          <w:szCs w:val="16"/>
        </w:rPr>
        <w:t>)</w:t>
      </w:r>
    </w:p>
    <w:p w14:paraId="5926B3FB" w14:textId="53BCA4CB" w:rsidR="00B47676" w:rsidRPr="00DC61B3" w:rsidRDefault="00273BDD">
      <w:pPr>
        <w:pStyle w:val="Reasons"/>
      </w:pPr>
      <w:r w:rsidRPr="00DC61B3">
        <w:rPr>
          <w:b/>
        </w:rPr>
        <w:t>Motivos:</w:t>
      </w:r>
      <w:r w:rsidRPr="00DC61B3">
        <w:tab/>
      </w:r>
      <w:r w:rsidR="006B623F" w:rsidRPr="006B623F">
        <w:t xml:space="preserve">Se modifica el </w:t>
      </w:r>
      <w:r w:rsidR="006B623F">
        <w:t>número</w:t>
      </w:r>
      <w:r w:rsidR="006B623F" w:rsidRPr="006B623F">
        <w:t xml:space="preserve"> </w:t>
      </w:r>
      <w:r w:rsidR="006B623F" w:rsidRPr="002505F3">
        <w:rPr>
          <w:b/>
          <w:bCs/>
        </w:rPr>
        <w:t>5.484A</w:t>
      </w:r>
      <w:r w:rsidR="006B623F" w:rsidRPr="006B623F">
        <w:t xml:space="preserve"> </w:t>
      </w:r>
      <w:r w:rsidR="006B623F">
        <w:t xml:space="preserve">del RR con el fin de </w:t>
      </w:r>
      <w:r w:rsidR="006B623F" w:rsidRPr="006B623F">
        <w:t>ampliar la utilización de la banda de frecuencias 17,3-17,7</w:t>
      </w:r>
      <w:r w:rsidR="00EB29BC">
        <w:t> </w:t>
      </w:r>
      <w:r w:rsidR="006B623F" w:rsidRPr="006B623F">
        <w:t xml:space="preserve">GHz (espacio-Tierra) en las Regiones 1 y 2, para la aplicación de las disposiciones del número </w:t>
      </w:r>
      <w:r w:rsidR="006B623F" w:rsidRPr="006B623F">
        <w:rPr>
          <w:b/>
          <w:bCs/>
        </w:rPr>
        <w:t>9.12</w:t>
      </w:r>
      <w:r w:rsidR="006B623F" w:rsidRPr="006B623F">
        <w:t xml:space="preserve"> del RR a los sistemas de satélite no OSG con el fin de introducir la </w:t>
      </w:r>
      <w:r w:rsidR="006B623F" w:rsidRPr="006B623F">
        <w:lastRenderedPageBreak/>
        <w:t xml:space="preserve">coordinación entre los sistemas no OSG </w:t>
      </w:r>
      <w:r w:rsidR="006B623F">
        <w:t xml:space="preserve">del </w:t>
      </w:r>
      <w:r w:rsidR="006B623F" w:rsidRPr="006B623F">
        <w:t xml:space="preserve">SFS con arreglo al número </w:t>
      </w:r>
      <w:r w:rsidR="006B623F" w:rsidRPr="006B623F">
        <w:rPr>
          <w:b/>
          <w:bCs/>
        </w:rPr>
        <w:t>9.12</w:t>
      </w:r>
      <w:r w:rsidR="006B623F" w:rsidRPr="006B623F">
        <w:t xml:space="preserve"> del RR en la banda de frecuencias 17,3-17,7</w:t>
      </w:r>
      <w:r w:rsidR="00EB29BC">
        <w:t> </w:t>
      </w:r>
      <w:r w:rsidR="006B623F" w:rsidRPr="006B623F">
        <w:t xml:space="preserve">GHz. En la Región 1, los sistemas no OSG están sujetos a la coordinación en virtud del número </w:t>
      </w:r>
      <w:r w:rsidR="006B623F" w:rsidRPr="006B623F">
        <w:rPr>
          <w:b/>
          <w:bCs/>
        </w:rPr>
        <w:t>9.12</w:t>
      </w:r>
      <w:r w:rsidR="006B623F" w:rsidRPr="006B623F">
        <w:t xml:space="preserve"> del RR según la R</w:t>
      </w:r>
      <w:r w:rsidR="006B623F">
        <w:t>d</w:t>
      </w:r>
      <w:r w:rsidR="006B623F" w:rsidRPr="006B623F">
        <w:t xml:space="preserve">P </w:t>
      </w:r>
      <w:r w:rsidR="006B623F">
        <w:t>relativa a</w:t>
      </w:r>
      <w:r w:rsidR="006B623F" w:rsidRPr="006B623F">
        <w:t xml:space="preserve">l número </w:t>
      </w:r>
      <w:r w:rsidR="006B623F" w:rsidRPr="006B623F">
        <w:rPr>
          <w:b/>
          <w:bCs/>
        </w:rPr>
        <w:t>9.11A</w:t>
      </w:r>
      <w:r w:rsidR="006B623F" w:rsidRPr="006B623F">
        <w:t xml:space="preserve"> del RR, Cuadro </w:t>
      </w:r>
      <w:r w:rsidR="006B623F" w:rsidRPr="006B623F">
        <w:rPr>
          <w:b/>
          <w:bCs/>
        </w:rPr>
        <w:t>9.11A-1</w:t>
      </w:r>
      <w:r w:rsidR="006B623F" w:rsidRPr="006B623F">
        <w:t xml:space="preserve">. </w:t>
      </w:r>
      <w:proofErr w:type="gramStart"/>
      <w:r w:rsidR="006B623F">
        <w:t>D</w:t>
      </w:r>
      <w:r w:rsidR="006B623F" w:rsidRPr="006B623F">
        <w:t>espués</w:t>
      </w:r>
      <w:proofErr w:type="gramEnd"/>
      <w:r w:rsidR="006B623F" w:rsidRPr="006B623F">
        <w:t xml:space="preserve"> de la CMR-23</w:t>
      </w:r>
      <w:r w:rsidR="006B623F">
        <w:t>,</w:t>
      </w:r>
      <w:r w:rsidR="006B623F" w:rsidRPr="006B623F">
        <w:t xml:space="preserve"> </w:t>
      </w:r>
      <w:r w:rsidR="002505F3">
        <w:t>l</w:t>
      </w:r>
      <w:r w:rsidR="006B623F" w:rsidRPr="006B623F">
        <w:t>a Junta del Reglamento de Radiocomunicaciones debería actualizar la R</w:t>
      </w:r>
      <w:r w:rsidR="006B623F">
        <w:t>d</w:t>
      </w:r>
      <w:r w:rsidR="006B623F" w:rsidRPr="006B623F">
        <w:t xml:space="preserve">P </w:t>
      </w:r>
      <w:r w:rsidR="006B623F">
        <w:t>relativa al</w:t>
      </w:r>
      <w:r w:rsidR="006B623F" w:rsidRPr="006B623F">
        <w:t xml:space="preserve"> número </w:t>
      </w:r>
      <w:r w:rsidR="006B623F" w:rsidRPr="006B623F">
        <w:rPr>
          <w:b/>
          <w:bCs/>
        </w:rPr>
        <w:t>9.11A</w:t>
      </w:r>
      <w:r w:rsidR="006B623F" w:rsidRPr="006B623F">
        <w:t xml:space="preserve"> para incluir las bandas de frecuencias consideradas en el número </w:t>
      </w:r>
      <w:r w:rsidR="006B623F" w:rsidRPr="006B623F">
        <w:rPr>
          <w:b/>
          <w:bCs/>
        </w:rPr>
        <w:t>5.484A</w:t>
      </w:r>
      <w:r w:rsidR="006B623F" w:rsidRPr="006B623F">
        <w:t xml:space="preserve"> revisado del RR, </w:t>
      </w:r>
      <w:r w:rsidR="002505F3">
        <w:t>de</w:t>
      </w:r>
      <w:r w:rsidR="006B623F" w:rsidRPr="006B623F">
        <w:t xml:space="preserve"> que el número </w:t>
      </w:r>
      <w:r w:rsidR="006B623F" w:rsidRPr="006B623F">
        <w:rPr>
          <w:b/>
          <w:bCs/>
        </w:rPr>
        <w:t>9.12</w:t>
      </w:r>
      <w:r w:rsidR="006B623F" w:rsidRPr="006B623F">
        <w:t xml:space="preserve"> del RR se </w:t>
      </w:r>
      <w:r w:rsidR="002505F3">
        <w:t>aplique</w:t>
      </w:r>
      <w:r w:rsidR="006B623F" w:rsidRPr="006B623F">
        <w:t xml:space="preserve"> por defecto en ambos sentidos.</w:t>
      </w:r>
    </w:p>
    <w:p w14:paraId="3CD39181" w14:textId="77777777" w:rsidR="00B47676" w:rsidRPr="00DC61B3" w:rsidRDefault="00273BDD">
      <w:pPr>
        <w:pStyle w:val="Proposal"/>
      </w:pPr>
      <w:r w:rsidRPr="00DC61B3">
        <w:t>MOD</w:t>
      </w:r>
      <w:r w:rsidRPr="00DC61B3">
        <w:tab/>
        <w:t>EUR/65A19/3</w:t>
      </w:r>
      <w:r w:rsidRPr="00DC61B3">
        <w:rPr>
          <w:vanish/>
          <w:color w:val="7F7F7F" w:themeColor="text1" w:themeTint="80"/>
          <w:vertAlign w:val="superscript"/>
        </w:rPr>
        <w:t>#1922</w:t>
      </w:r>
    </w:p>
    <w:p w14:paraId="1B81DC3B" w14:textId="77777777" w:rsidR="007704DB" w:rsidRPr="00DC61B3" w:rsidRDefault="00273BDD" w:rsidP="00D210C4">
      <w:pPr>
        <w:pStyle w:val="Note"/>
      </w:pPr>
      <w:r w:rsidRPr="00DC61B3">
        <w:rPr>
          <w:rStyle w:val="Artdef"/>
        </w:rPr>
        <w:t>5.516A</w:t>
      </w:r>
      <w:r w:rsidRPr="00DC61B3">
        <w:rPr>
          <w:b/>
          <w:bCs/>
        </w:rPr>
        <w:tab/>
      </w:r>
      <w:r w:rsidRPr="00DC61B3">
        <w:t>En la banda 17,3-17,7 GHz, las estaciones terrenas del servicio fijo por satélite (espacio</w:t>
      </w:r>
      <w:r w:rsidRPr="00DC61B3">
        <w:noBreakHyphen/>
        <w:t>Tierra) en la</w:t>
      </w:r>
      <w:ins w:id="18" w:author="Spanish83" w:date="2022-12-09T11:00:00Z">
        <w:r w:rsidRPr="00DC61B3">
          <w:t>s</w:t>
        </w:r>
      </w:ins>
      <w:r w:rsidRPr="00DC61B3">
        <w:t xml:space="preserve"> Regi</w:t>
      </w:r>
      <w:del w:id="19" w:author="Spanish83" w:date="2022-12-09T11:00:00Z">
        <w:r w:rsidRPr="00DC61B3" w:rsidDel="00E417A8">
          <w:delText>ón</w:delText>
        </w:r>
      </w:del>
      <w:ins w:id="20" w:author="Spanish83" w:date="2022-12-09T11:00:00Z">
        <w:r w:rsidRPr="00DC61B3">
          <w:t>ones</w:t>
        </w:r>
      </w:ins>
      <w:r w:rsidRPr="00DC61B3">
        <w:t> 1</w:t>
      </w:r>
      <w:ins w:id="21" w:author="Spanish83" w:date="2022-12-09T11:00:00Z">
        <w:r w:rsidRPr="00DC61B3">
          <w:t xml:space="preserve"> y 2</w:t>
        </w:r>
      </w:ins>
      <w:r w:rsidRPr="00DC61B3">
        <w:t xml:space="preserve"> no solicitarán protección contra la interferencia que puedan ocasionar las estaciones terrenas de enlace de conexión del servicio de radiodifusión por satélite que funcionan con arreglo al Apéndice </w:t>
      </w:r>
      <w:r w:rsidRPr="00DC61B3">
        <w:rPr>
          <w:rStyle w:val="Appref"/>
          <w:b/>
          <w:bCs/>
        </w:rPr>
        <w:t>30A</w:t>
      </w:r>
      <w:r w:rsidRPr="00DC61B3">
        <w:t xml:space="preserve"> ni impondrán limitación y/o restricción alguna a la ubicación de las estaciones terrenas de enlace de conexión del servicio de radiodifusión por satélite dentro de la zona de servicio del enlace de conexión.</w:t>
      </w:r>
      <w:r w:rsidRPr="00DC61B3">
        <w:rPr>
          <w:sz w:val="16"/>
          <w:szCs w:val="16"/>
        </w:rPr>
        <w:t>     (CMR</w:t>
      </w:r>
      <w:r w:rsidRPr="00DC61B3">
        <w:rPr>
          <w:sz w:val="16"/>
          <w:szCs w:val="16"/>
        </w:rPr>
        <w:noBreakHyphen/>
      </w:r>
      <w:del w:id="22" w:author="Spanish83" w:date="2023-04-21T13:53:00Z">
        <w:r w:rsidRPr="00DC61B3" w:rsidDel="004248CC">
          <w:rPr>
            <w:sz w:val="16"/>
            <w:szCs w:val="16"/>
          </w:rPr>
          <w:delText>03</w:delText>
        </w:r>
      </w:del>
      <w:ins w:id="23" w:author="Spanish83" w:date="2022-12-09T11:00:00Z">
        <w:r w:rsidRPr="00DC61B3">
          <w:rPr>
            <w:sz w:val="16"/>
            <w:szCs w:val="16"/>
          </w:rPr>
          <w:t>23</w:t>
        </w:r>
      </w:ins>
      <w:r w:rsidRPr="00DC61B3">
        <w:rPr>
          <w:sz w:val="16"/>
          <w:szCs w:val="16"/>
        </w:rPr>
        <w:t>)</w:t>
      </w:r>
    </w:p>
    <w:p w14:paraId="5FEA7928" w14:textId="4F632D3C" w:rsidR="00B47676" w:rsidRPr="00DC61B3" w:rsidRDefault="00273BDD">
      <w:pPr>
        <w:pStyle w:val="Reasons"/>
      </w:pPr>
      <w:r w:rsidRPr="00DC61B3">
        <w:rPr>
          <w:b/>
        </w:rPr>
        <w:t>Motivos:</w:t>
      </w:r>
      <w:r w:rsidRPr="00DC61B3">
        <w:tab/>
      </w:r>
      <w:r w:rsidR="006B623F">
        <w:t>Aplicar la aplicabilidad de esta nota a la Región 2.</w:t>
      </w:r>
    </w:p>
    <w:p w14:paraId="4136D670" w14:textId="77777777" w:rsidR="00B47676" w:rsidRPr="00DC61B3" w:rsidRDefault="00273BDD">
      <w:pPr>
        <w:pStyle w:val="Proposal"/>
      </w:pPr>
      <w:r w:rsidRPr="00DC61B3">
        <w:t>MOD</w:t>
      </w:r>
      <w:r w:rsidRPr="00DC61B3">
        <w:tab/>
        <w:t>EUR/65A19/4</w:t>
      </w:r>
      <w:r w:rsidRPr="00DC61B3">
        <w:rPr>
          <w:vanish/>
          <w:color w:val="7F7F7F" w:themeColor="text1" w:themeTint="80"/>
          <w:vertAlign w:val="superscript"/>
        </w:rPr>
        <w:t>#1925</w:t>
      </w:r>
    </w:p>
    <w:p w14:paraId="6FCD5788" w14:textId="77777777" w:rsidR="007704DB" w:rsidRPr="00DC61B3" w:rsidRDefault="00273BDD" w:rsidP="00D210C4">
      <w:pPr>
        <w:pStyle w:val="Note"/>
      </w:pPr>
      <w:r w:rsidRPr="00DC61B3">
        <w:rPr>
          <w:rStyle w:val="Artdef"/>
        </w:rPr>
        <w:t>5.517</w:t>
      </w:r>
      <w:r w:rsidRPr="00DC61B3">
        <w:rPr>
          <w:rStyle w:val="Artdef"/>
          <w:szCs w:val="24"/>
        </w:rPr>
        <w:tab/>
      </w:r>
      <w:r w:rsidRPr="00DC61B3">
        <w:t>En la Región 2 el servicio fijo por satélite (espacio-Tierra) en la banda 17,</w:t>
      </w:r>
      <w:del w:id="24" w:author="Spanish83" w:date="2022-12-09T11:08:00Z">
        <w:r w:rsidRPr="00DC61B3" w:rsidDel="00966B59">
          <w:delText>7</w:delText>
        </w:r>
      </w:del>
      <w:ins w:id="25" w:author="Spanish83" w:date="2022-12-09T11:08:00Z">
        <w:r w:rsidRPr="00DC61B3">
          <w:t>3</w:t>
        </w:r>
      </w:ins>
      <w:r w:rsidRPr="00DC61B3">
        <w:t>-17,8 GHz no deberá causar interferencia perjudicial ni reclamar protección contra las asignaciones del servicio de radiodifusión por satélite que funciona de conformidad con el Reglamento de Radiocomunicaciones.</w:t>
      </w:r>
      <w:r w:rsidRPr="00DC61B3">
        <w:rPr>
          <w:sz w:val="16"/>
          <w:szCs w:val="16"/>
        </w:rPr>
        <w:t>     (CMR-</w:t>
      </w:r>
      <w:del w:id="26" w:author="Spanish83" w:date="2022-12-09T11:07:00Z">
        <w:r w:rsidRPr="00DC61B3" w:rsidDel="00966B59">
          <w:rPr>
            <w:sz w:val="16"/>
            <w:szCs w:val="16"/>
          </w:rPr>
          <w:delText>07</w:delText>
        </w:r>
      </w:del>
      <w:ins w:id="27" w:author="Spanish83" w:date="2022-12-09T11:07:00Z">
        <w:r w:rsidRPr="00DC61B3">
          <w:rPr>
            <w:sz w:val="16"/>
            <w:szCs w:val="16"/>
          </w:rPr>
          <w:t>23</w:t>
        </w:r>
      </w:ins>
      <w:r w:rsidRPr="00DC61B3">
        <w:rPr>
          <w:sz w:val="16"/>
          <w:szCs w:val="16"/>
        </w:rPr>
        <w:t>)</w:t>
      </w:r>
    </w:p>
    <w:p w14:paraId="55952244" w14:textId="1C61DC47" w:rsidR="006B623F" w:rsidRPr="00DC61B3" w:rsidRDefault="00273BDD">
      <w:pPr>
        <w:pStyle w:val="Reasons"/>
      </w:pPr>
      <w:r w:rsidRPr="00DC61B3">
        <w:rPr>
          <w:b/>
        </w:rPr>
        <w:t>Motivos:</w:t>
      </w:r>
      <w:r w:rsidRPr="00DC61B3">
        <w:tab/>
      </w:r>
      <w:r w:rsidR="006B623F">
        <w:t xml:space="preserve">Ampliar la aplicabilidad de esta nota a la banda de frecuencias </w:t>
      </w:r>
      <w:r w:rsidR="006B623F" w:rsidRPr="00DC61B3">
        <w:t>17,3-17,7 GHz</w:t>
      </w:r>
      <w:r w:rsidR="006B623F">
        <w:t xml:space="preserve"> en la Región 2.</w:t>
      </w:r>
    </w:p>
    <w:p w14:paraId="35105F24" w14:textId="77777777" w:rsidR="006537F1" w:rsidRPr="00DC61B3" w:rsidRDefault="00273BDD" w:rsidP="006B623F">
      <w:pPr>
        <w:pStyle w:val="ArtNo"/>
      </w:pPr>
      <w:bookmarkStart w:id="28" w:name="_Toc48141342"/>
      <w:r w:rsidRPr="006B623F">
        <w:t>ARTÍCULO</w:t>
      </w:r>
      <w:r w:rsidRPr="00DC61B3">
        <w:t xml:space="preserve"> </w:t>
      </w:r>
      <w:r w:rsidRPr="00DC61B3">
        <w:rPr>
          <w:rStyle w:val="href"/>
        </w:rPr>
        <w:t>22</w:t>
      </w:r>
      <w:bookmarkEnd w:id="28"/>
    </w:p>
    <w:p w14:paraId="501EBDA5" w14:textId="77777777" w:rsidR="006537F1" w:rsidRPr="00DC61B3" w:rsidRDefault="00273BDD" w:rsidP="006537F1">
      <w:pPr>
        <w:pStyle w:val="Arttitle"/>
        <w:rPr>
          <w:position w:val="6"/>
          <w:sz w:val="18"/>
        </w:rPr>
      </w:pPr>
      <w:bookmarkStart w:id="29" w:name="_Toc48141343"/>
      <w:r w:rsidRPr="00DC61B3">
        <w:t>Servicios espaciales</w:t>
      </w:r>
      <w:r w:rsidRPr="00DC61B3">
        <w:rPr>
          <w:rStyle w:val="FootnoteReference"/>
          <w:b w:val="0"/>
        </w:rPr>
        <w:t>1</w:t>
      </w:r>
      <w:bookmarkEnd w:id="29"/>
    </w:p>
    <w:p w14:paraId="465E4D6A" w14:textId="77777777" w:rsidR="00C03CB4" w:rsidRPr="00DC61B3" w:rsidRDefault="00273BDD" w:rsidP="00C03CB4">
      <w:pPr>
        <w:pStyle w:val="Section1"/>
      </w:pPr>
      <w:r w:rsidRPr="00DC61B3">
        <w:t>Sección II – Medidas contra las interferencias causadas</w:t>
      </w:r>
      <w:r w:rsidRPr="00DC61B3">
        <w:br/>
        <w:t>a los sistemas de satélites geoestacionarios</w:t>
      </w:r>
    </w:p>
    <w:p w14:paraId="2ACCB99F" w14:textId="77777777" w:rsidR="00B47676" w:rsidRPr="00DC61B3" w:rsidRDefault="00273BDD">
      <w:pPr>
        <w:pStyle w:val="Proposal"/>
      </w:pPr>
      <w:r w:rsidRPr="00DC61B3">
        <w:lastRenderedPageBreak/>
        <w:t>MOD</w:t>
      </w:r>
      <w:r w:rsidRPr="00DC61B3">
        <w:tab/>
        <w:t>EUR/65A19/5</w:t>
      </w:r>
      <w:r w:rsidRPr="00DC61B3">
        <w:rPr>
          <w:vanish/>
          <w:color w:val="7F7F7F" w:themeColor="text1" w:themeTint="80"/>
          <w:vertAlign w:val="superscript"/>
        </w:rPr>
        <w:t>#1928</w:t>
      </w:r>
    </w:p>
    <w:p w14:paraId="0AF9C1A3" w14:textId="77777777" w:rsidR="007704DB" w:rsidRPr="00DC61B3" w:rsidRDefault="00273BDD" w:rsidP="00D210C4">
      <w:pPr>
        <w:pStyle w:val="TableNo"/>
      </w:pPr>
      <w:r w:rsidRPr="00DC61B3">
        <w:t xml:space="preserve">CUADRO  </w:t>
      </w:r>
      <w:r w:rsidRPr="00DC61B3">
        <w:rPr>
          <w:b/>
          <w:bCs/>
        </w:rPr>
        <w:t>22-1B</w:t>
      </w:r>
      <w:r w:rsidRPr="00DC61B3">
        <w:rPr>
          <w:sz w:val="16"/>
          <w:szCs w:val="16"/>
        </w:rPr>
        <w:t>     (CMR</w:t>
      </w:r>
      <w:r w:rsidRPr="00DC61B3">
        <w:rPr>
          <w:sz w:val="16"/>
          <w:szCs w:val="16"/>
        </w:rPr>
        <w:noBreakHyphen/>
      </w:r>
      <w:del w:id="30" w:author="Spanish83" w:date="2023-04-21T13:40:00Z">
        <w:r w:rsidRPr="00DC61B3" w:rsidDel="0072039C">
          <w:rPr>
            <w:sz w:val="16"/>
            <w:szCs w:val="16"/>
          </w:rPr>
          <w:delText>03</w:delText>
        </w:r>
      </w:del>
      <w:ins w:id="31" w:author="Spanish" w:date="2023-03-31T22:44:00Z">
        <w:r w:rsidRPr="00DC61B3">
          <w:rPr>
            <w:sz w:val="16"/>
            <w:szCs w:val="16"/>
          </w:rPr>
          <w:t>23</w:t>
        </w:r>
      </w:ins>
      <w:r w:rsidRPr="00DC61B3">
        <w:rPr>
          <w:sz w:val="16"/>
          <w:szCs w:val="16"/>
        </w:rPr>
        <w:t>)</w:t>
      </w:r>
    </w:p>
    <w:p w14:paraId="2A863886" w14:textId="77777777" w:rsidR="007704DB" w:rsidRPr="00DC61B3" w:rsidRDefault="00273BDD" w:rsidP="00D210C4">
      <w:pPr>
        <w:pStyle w:val="Tabletitle"/>
      </w:pPr>
      <w:r w:rsidRPr="00DC61B3">
        <w:t>Límites de la dfpe</w:t>
      </w:r>
      <w:r w:rsidRPr="00DC61B3">
        <w:rPr>
          <w:bCs/>
          <w:position w:val="-4"/>
          <w:sz w:val="16"/>
        </w:rPr>
        <w:sym w:font="Symbol" w:char="F0AF"/>
      </w:r>
      <w:r w:rsidRPr="00DC61B3">
        <w:t xml:space="preserve"> radiada por los sistemas de satélites no geoestacionarios </w:t>
      </w:r>
      <w:r w:rsidRPr="00DC61B3">
        <w:br/>
        <w:t>del servicio fijo por satélite en algunas bandas de frecuencias</w:t>
      </w:r>
      <w:r w:rsidRPr="00DC61B3">
        <w:rPr>
          <w:rStyle w:val="FootnoteReference"/>
          <w:rFonts w:ascii="Times New Roman" w:hAnsi="Times New Roman"/>
          <w:b w:val="0"/>
          <w:szCs w:val="18"/>
        </w:rPr>
        <w:t>3, 6, 8</w:t>
      </w:r>
      <w:ins w:id="32" w:author="Spanish83" w:date="2023-04-21T13:41:00Z">
        <w:r w:rsidRPr="00DC61B3">
          <w:rPr>
            <w:rStyle w:val="FootnoteReference"/>
            <w:b w:val="0"/>
            <w:bCs/>
          </w:rPr>
          <w:t>,</w:t>
        </w:r>
        <w:r w:rsidRPr="00DC61B3">
          <w:rPr>
            <w:rStyle w:val="FootnoteReference"/>
          </w:rPr>
          <w:t xml:space="preserve"> </w:t>
        </w:r>
      </w:ins>
      <w:ins w:id="33" w:author="Spanish" w:date="2023-03-31T22:44:00Z">
        <w:r w:rsidRPr="00DC61B3">
          <w:rPr>
            <w:rStyle w:val="FootnoteReference"/>
            <w:rFonts w:ascii="Times New Roman" w:hAnsi="Times New Roman"/>
            <w:b w:val="0"/>
            <w:szCs w:val="18"/>
          </w:rPr>
          <w:t>X</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7704DB" w:rsidRPr="00DC61B3" w14:paraId="516C13DF" w14:textId="77777777" w:rsidTr="00D210C4">
        <w:trPr>
          <w:tblHeader/>
          <w:jc w:val="center"/>
        </w:trPr>
        <w:tc>
          <w:tcPr>
            <w:tcW w:w="1475" w:type="dxa"/>
            <w:tcBorders>
              <w:top w:val="single" w:sz="4" w:space="0" w:color="auto"/>
              <w:left w:val="single" w:sz="6" w:space="0" w:color="auto"/>
              <w:right w:val="single" w:sz="6" w:space="0" w:color="auto"/>
            </w:tcBorders>
            <w:vAlign w:val="center"/>
          </w:tcPr>
          <w:p w14:paraId="7A3329E5" w14:textId="77777777" w:rsidR="007704DB" w:rsidRPr="00DC61B3" w:rsidRDefault="00273BDD" w:rsidP="00D210C4">
            <w:pPr>
              <w:pStyle w:val="Tablehead"/>
            </w:pPr>
            <w:r w:rsidRPr="00DC61B3">
              <w:t>Banda de</w:t>
            </w:r>
            <w:r w:rsidRPr="00DC61B3">
              <w:br/>
              <w:t>frecuencias</w:t>
            </w:r>
            <w:r w:rsidRPr="00DC61B3">
              <w:br/>
              <w:t>(GHz)</w:t>
            </w:r>
          </w:p>
        </w:tc>
        <w:tc>
          <w:tcPr>
            <w:tcW w:w="1508" w:type="dxa"/>
            <w:tcBorders>
              <w:top w:val="single" w:sz="4" w:space="0" w:color="auto"/>
              <w:left w:val="single" w:sz="6" w:space="0" w:color="auto"/>
              <w:bottom w:val="single" w:sz="6" w:space="0" w:color="auto"/>
              <w:right w:val="single" w:sz="6" w:space="0" w:color="auto"/>
            </w:tcBorders>
            <w:vAlign w:val="center"/>
          </w:tcPr>
          <w:p w14:paraId="17DB1F65" w14:textId="77777777" w:rsidR="007704DB" w:rsidRPr="00DC61B3" w:rsidRDefault="00273BDD" w:rsidP="00D210C4">
            <w:pPr>
              <w:pStyle w:val="Tablehead"/>
            </w:pPr>
            <w:r w:rsidRPr="00DC61B3">
              <w:t>dfpe</w:t>
            </w:r>
            <w:r w:rsidRPr="00DC61B3">
              <w:rPr>
                <w:sz w:val="16"/>
                <w:szCs w:val="16"/>
              </w:rPr>
              <w:sym w:font="Symbol" w:char="F0AF"/>
            </w:r>
            <w:r w:rsidRPr="00DC61B3">
              <w:rPr>
                <w:position w:val="-4"/>
              </w:rPr>
              <w:br/>
            </w:r>
            <w:r w:rsidRPr="00DC61B3">
              <w:t>(dB(W/m</w:t>
            </w:r>
            <w:r w:rsidRPr="00DC61B3">
              <w:rPr>
                <w:vertAlign w:val="superscript"/>
              </w:rPr>
              <w:t>2</w:t>
            </w:r>
            <w:r w:rsidRPr="00DC61B3">
              <w:t>))</w:t>
            </w:r>
          </w:p>
        </w:tc>
        <w:tc>
          <w:tcPr>
            <w:tcW w:w="2767" w:type="dxa"/>
            <w:tcBorders>
              <w:top w:val="single" w:sz="4" w:space="0" w:color="auto"/>
              <w:left w:val="single" w:sz="6" w:space="0" w:color="auto"/>
              <w:bottom w:val="single" w:sz="6" w:space="0" w:color="auto"/>
              <w:right w:val="single" w:sz="6" w:space="0" w:color="auto"/>
            </w:tcBorders>
            <w:vAlign w:val="center"/>
          </w:tcPr>
          <w:p w14:paraId="4C501A11" w14:textId="77777777" w:rsidR="007704DB" w:rsidRPr="00DC61B3" w:rsidRDefault="00273BDD" w:rsidP="00D210C4">
            <w:pPr>
              <w:pStyle w:val="Tablehead"/>
            </w:pPr>
            <w:r w:rsidRPr="00DC61B3">
              <w:t>Porcentaje de tiempo durante</w:t>
            </w:r>
            <w:r w:rsidRPr="00DC61B3">
              <w:br/>
              <w:t>el cual la dfpe</w:t>
            </w:r>
            <w:r w:rsidRPr="00DC61B3">
              <w:rPr>
                <w:sz w:val="16"/>
                <w:szCs w:val="16"/>
              </w:rPr>
              <w:sym w:font="Symbol" w:char="F0AF"/>
            </w:r>
            <w:r w:rsidRPr="00DC61B3">
              <w:t xml:space="preserve"> no debe rebasarse</w:t>
            </w:r>
          </w:p>
        </w:tc>
        <w:tc>
          <w:tcPr>
            <w:tcW w:w="1519" w:type="dxa"/>
            <w:tcBorders>
              <w:top w:val="single" w:sz="4" w:space="0" w:color="auto"/>
              <w:left w:val="single" w:sz="6" w:space="0" w:color="auto"/>
              <w:bottom w:val="single" w:sz="6" w:space="0" w:color="auto"/>
              <w:right w:val="single" w:sz="6" w:space="0" w:color="auto"/>
            </w:tcBorders>
            <w:vAlign w:val="center"/>
          </w:tcPr>
          <w:p w14:paraId="3804D6BE" w14:textId="77777777" w:rsidR="007704DB" w:rsidRPr="00DC61B3" w:rsidRDefault="00273BDD" w:rsidP="00D210C4">
            <w:pPr>
              <w:pStyle w:val="Tablehead"/>
            </w:pPr>
            <w:r w:rsidRPr="00DC61B3">
              <w:t>Anchura de banda de referencia</w:t>
            </w:r>
            <w:r w:rsidRPr="00DC61B3">
              <w:br/>
              <w:t>(kHz)</w:t>
            </w:r>
          </w:p>
        </w:tc>
        <w:tc>
          <w:tcPr>
            <w:tcW w:w="2370" w:type="dxa"/>
            <w:tcBorders>
              <w:top w:val="single" w:sz="4" w:space="0" w:color="auto"/>
              <w:left w:val="single" w:sz="6" w:space="0" w:color="auto"/>
              <w:right w:val="single" w:sz="6" w:space="0" w:color="auto"/>
            </w:tcBorders>
            <w:vAlign w:val="center"/>
          </w:tcPr>
          <w:p w14:paraId="2CAF0553" w14:textId="77777777" w:rsidR="007704DB" w:rsidRPr="00DC61B3" w:rsidRDefault="00273BDD" w:rsidP="00D210C4">
            <w:pPr>
              <w:pStyle w:val="Tablehead"/>
              <w:spacing w:before="0" w:after="0" w:line="220" w:lineRule="exact"/>
              <w:rPr>
                <w:color w:val="000000"/>
              </w:rPr>
            </w:pPr>
            <w:r w:rsidRPr="00DC61B3">
              <w:rPr>
                <w:color w:val="000000"/>
              </w:rPr>
              <w:t>Diámetro de la antena de referencia y diagrama de radiación de referencia</w:t>
            </w:r>
            <w:r w:rsidRPr="00DC61B3">
              <w:rPr>
                <w:rStyle w:val="FootnoteReference"/>
                <w:szCs w:val="18"/>
              </w:rPr>
              <w:t>7</w:t>
            </w:r>
          </w:p>
        </w:tc>
      </w:tr>
      <w:tr w:rsidR="007704DB" w:rsidRPr="00DC61B3" w14:paraId="541B0518" w14:textId="77777777" w:rsidTr="00D210C4">
        <w:trPr>
          <w:jc w:val="center"/>
        </w:trPr>
        <w:tc>
          <w:tcPr>
            <w:tcW w:w="1475" w:type="dxa"/>
            <w:vMerge w:val="restart"/>
            <w:tcBorders>
              <w:top w:val="single" w:sz="4" w:space="0" w:color="auto"/>
              <w:left w:val="single" w:sz="6" w:space="0" w:color="auto"/>
              <w:right w:val="single" w:sz="6" w:space="0" w:color="auto"/>
            </w:tcBorders>
          </w:tcPr>
          <w:p w14:paraId="1862014F" w14:textId="77777777" w:rsidR="002E37CF" w:rsidRPr="00DC61B3" w:rsidRDefault="002E37CF" w:rsidP="00D210C4">
            <w:pPr>
              <w:pStyle w:val="Tabletext"/>
              <w:keepNext/>
              <w:rPr>
                <w:ins w:id="34" w:author="Spanish" w:date="2023-11-08T20:22:00Z"/>
              </w:rPr>
            </w:pPr>
            <w:ins w:id="35" w:author="Spanish" w:date="2023-11-08T20:22:00Z">
              <w:r w:rsidRPr="00DC61B3">
                <w:rPr>
                  <w:lang w:eastAsia="zh-CN"/>
                </w:rPr>
                <w:t xml:space="preserve">17,3-17,7 </w:t>
              </w:r>
              <w:r w:rsidRPr="00DC61B3">
                <w:rPr>
                  <w:lang w:eastAsia="zh-CN"/>
                </w:rPr>
                <w:br/>
              </w:r>
              <w:r w:rsidRPr="00DC61B3">
                <w:t>en las Regiones 1 y 2;</w:t>
              </w:r>
            </w:ins>
          </w:p>
          <w:p w14:paraId="3A43403B" w14:textId="33CA6810" w:rsidR="007704DB" w:rsidRPr="00DC61B3" w:rsidRDefault="00273BDD" w:rsidP="00D210C4">
            <w:pPr>
              <w:pStyle w:val="Tabletext"/>
              <w:keepNext/>
              <w:rPr>
                <w:ins w:id="36" w:author="Spanish" w:date="2023-03-31T22:46:00Z"/>
                <w:lang w:eastAsia="zh-CN"/>
              </w:rPr>
            </w:pPr>
            <w:r w:rsidRPr="00DC61B3">
              <w:t>17,8-18,6</w:t>
            </w:r>
          </w:p>
          <w:p w14:paraId="4103F8B1" w14:textId="48F750FB" w:rsidR="007704DB" w:rsidRPr="00DC61B3" w:rsidRDefault="004E3073" w:rsidP="00D210C4">
            <w:pPr>
              <w:pStyle w:val="Tabletext"/>
            </w:pPr>
          </w:p>
        </w:tc>
        <w:tc>
          <w:tcPr>
            <w:tcW w:w="1508" w:type="dxa"/>
            <w:tcBorders>
              <w:top w:val="single" w:sz="4" w:space="0" w:color="auto"/>
              <w:left w:val="single" w:sz="6" w:space="0" w:color="auto"/>
              <w:bottom w:val="single" w:sz="6" w:space="0" w:color="auto"/>
              <w:right w:val="single" w:sz="6" w:space="0" w:color="auto"/>
            </w:tcBorders>
          </w:tcPr>
          <w:p w14:paraId="50686F4C"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DC61B3">
              <w:tab/>
              <w:t>–175,4</w:t>
            </w:r>
          </w:p>
          <w:p w14:paraId="51829E02"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–175,4</w:t>
            </w:r>
          </w:p>
          <w:p w14:paraId="1AF4A60B" w14:textId="77777777" w:rsidR="007704DB" w:rsidRPr="00DC61B3" w:rsidRDefault="00273BDD" w:rsidP="00D210C4">
            <w:pPr>
              <w:pStyle w:val="Tabletext"/>
            </w:pPr>
            <w:r w:rsidRPr="00DC61B3">
              <w:tab/>
              <w:t>–172,5</w:t>
            </w:r>
          </w:p>
          <w:p w14:paraId="3692BC61"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–167</w:t>
            </w:r>
          </w:p>
          <w:p w14:paraId="36519A8C"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–164</w:t>
            </w:r>
          </w:p>
          <w:p w14:paraId="73A2C75F"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DC61B3">
              <w:tab/>
              <w:t>–164</w:t>
            </w:r>
          </w:p>
        </w:tc>
        <w:tc>
          <w:tcPr>
            <w:tcW w:w="2767" w:type="dxa"/>
            <w:tcBorders>
              <w:top w:val="single" w:sz="4" w:space="0" w:color="auto"/>
              <w:left w:val="single" w:sz="6" w:space="0" w:color="auto"/>
              <w:bottom w:val="single" w:sz="6" w:space="0" w:color="auto"/>
              <w:right w:val="single" w:sz="6" w:space="0" w:color="auto"/>
            </w:tcBorders>
          </w:tcPr>
          <w:p w14:paraId="46C77189"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DC61B3">
              <w:tab/>
              <w:t>0</w:t>
            </w:r>
          </w:p>
          <w:p w14:paraId="6C5B6F81"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90</w:t>
            </w:r>
          </w:p>
          <w:p w14:paraId="0AD1A6CC"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w:t>
            </w:r>
          </w:p>
          <w:p w14:paraId="27F88833"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99,714</w:t>
            </w:r>
          </w:p>
          <w:p w14:paraId="048DC6D3"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99,971</w:t>
            </w:r>
          </w:p>
          <w:p w14:paraId="4E114C44"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DC61B3">
              <w:tab/>
              <w:t>100</w:t>
            </w:r>
          </w:p>
        </w:tc>
        <w:tc>
          <w:tcPr>
            <w:tcW w:w="1519" w:type="dxa"/>
            <w:tcBorders>
              <w:top w:val="single" w:sz="4" w:space="0" w:color="auto"/>
              <w:left w:val="single" w:sz="6" w:space="0" w:color="auto"/>
              <w:bottom w:val="single" w:sz="6" w:space="0" w:color="auto"/>
              <w:right w:val="single" w:sz="6" w:space="0" w:color="auto"/>
            </w:tcBorders>
          </w:tcPr>
          <w:p w14:paraId="08A7AEB7" w14:textId="77777777" w:rsidR="007704DB" w:rsidRPr="00DC61B3" w:rsidRDefault="00273BDD" w:rsidP="00D210C4">
            <w:pPr>
              <w:pStyle w:val="Tabletext"/>
              <w:ind w:right="567"/>
              <w:jc w:val="right"/>
            </w:pPr>
            <w:r w:rsidRPr="00DC61B3">
              <w:t>40</w:t>
            </w:r>
          </w:p>
        </w:tc>
        <w:tc>
          <w:tcPr>
            <w:tcW w:w="2370" w:type="dxa"/>
            <w:vMerge w:val="restart"/>
            <w:tcBorders>
              <w:top w:val="single" w:sz="4" w:space="0" w:color="auto"/>
              <w:left w:val="single" w:sz="6" w:space="0" w:color="auto"/>
              <w:right w:val="single" w:sz="6" w:space="0" w:color="auto"/>
            </w:tcBorders>
          </w:tcPr>
          <w:p w14:paraId="23E64613" w14:textId="77777777" w:rsidR="007704DB" w:rsidRPr="00DC61B3" w:rsidRDefault="00273BDD" w:rsidP="00D210C4">
            <w:pPr>
              <w:pStyle w:val="Tabletext"/>
              <w:jc w:val="center"/>
            </w:pPr>
            <w:r w:rsidRPr="00DC61B3">
              <w:t>1 m</w:t>
            </w:r>
            <w:r w:rsidRPr="00DC61B3">
              <w:br/>
              <w:t>Recomendación</w:t>
            </w:r>
            <w:r w:rsidRPr="00DC61B3">
              <w:br/>
              <w:t>UIT-R S.1428-1</w:t>
            </w:r>
          </w:p>
        </w:tc>
      </w:tr>
      <w:tr w:rsidR="007704DB" w:rsidRPr="00DC61B3" w14:paraId="4E9E0584" w14:textId="77777777" w:rsidTr="00D210C4">
        <w:trPr>
          <w:jc w:val="center"/>
        </w:trPr>
        <w:tc>
          <w:tcPr>
            <w:tcW w:w="1475" w:type="dxa"/>
            <w:vMerge/>
            <w:tcBorders>
              <w:left w:val="single" w:sz="6" w:space="0" w:color="auto"/>
              <w:right w:val="single" w:sz="6" w:space="0" w:color="auto"/>
            </w:tcBorders>
          </w:tcPr>
          <w:p w14:paraId="2B9F3A6B" w14:textId="77777777" w:rsidR="007704DB" w:rsidRPr="00DC61B3" w:rsidRDefault="004E3073" w:rsidP="00D210C4">
            <w:pPr>
              <w:pStyle w:val="Tabletext"/>
              <w:rPr>
                <w:color w:val="000000"/>
              </w:rPr>
            </w:pPr>
          </w:p>
        </w:tc>
        <w:tc>
          <w:tcPr>
            <w:tcW w:w="1508" w:type="dxa"/>
            <w:tcBorders>
              <w:top w:val="single" w:sz="6" w:space="0" w:color="auto"/>
              <w:left w:val="single" w:sz="6" w:space="0" w:color="auto"/>
              <w:bottom w:val="single" w:sz="6" w:space="0" w:color="auto"/>
              <w:right w:val="single" w:sz="6" w:space="0" w:color="auto"/>
            </w:tcBorders>
          </w:tcPr>
          <w:p w14:paraId="1690E667"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DC61B3">
              <w:tab/>
              <w:t>–161,4</w:t>
            </w:r>
          </w:p>
          <w:p w14:paraId="4FE3B47D"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–161,4</w:t>
            </w:r>
          </w:p>
          <w:p w14:paraId="6D900CA7"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–158,5</w:t>
            </w:r>
          </w:p>
          <w:p w14:paraId="4A425C6D"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–153</w:t>
            </w:r>
          </w:p>
          <w:p w14:paraId="6EE0A1E1"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–150</w:t>
            </w:r>
          </w:p>
          <w:p w14:paraId="3AAF1E3D"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DC61B3">
              <w:tab/>
              <w:t>–150</w:t>
            </w:r>
          </w:p>
        </w:tc>
        <w:tc>
          <w:tcPr>
            <w:tcW w:w="2767" w:type="dxa"/>
            <w:tcBorders>
              <w:top w:val="single" w:sz="6" w:space="0" w:color="auto"/>
              <w:left w:val="single" w:sz="6" w:space="0" w:color="auto"/>
              <w:bottom w:val="single" w:sz="6" w:space="0" w:color="auto"/>
              <w:right w:val="single" w:sz="6" w:space="0" w:color="auto"/>
            </w:tcBorders>
          </w:tcPr>
          <w:p w14:paraId="6B27DA68"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DC61B3">
              <w:tab/>
              <w:t>0</w:t>
            </w:r>
          </w:p>
          <w:p w14:paraId="72F2B639"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90</w:t>
            </w:r>
          </w:p>
          <w:p w14:paraId="64459F04"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w:t>
            </w:r>
          </w:p>
          <w:p w14:paraId="5DF25576"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99,714</w:t>
            </w:r>
          </w:p>
          <w:p w14:paraId="34C5771F"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99,971</w:t>
            </w:r>
          </w:p>
          <w:p w14:paraId="16779F47"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DC61B3">
              <w:tab/>
              <w:t>100</w:t>
            </w:r>
          </w:p>
        </w:tc>
        <w:tc>
          <w:tcPr>
            <w:tcW w:w="1519" w:type="dxa"/>
            <w:tcBorders>
              <w:top w:val="single" w:sz="6" w:space="0" w:color="auto"/>
              <w:left w:val="single" w:sz="6" w:space="0" w:color="auto"/>
              <w:bottom w:val="single" w:sz="6" w:space="0" w:color="auto"/>
              <w:right w:val="single" w:sz="6" w:space="0" w:color="auto"/>
            </w:tcBorders>
          </w:tcPr>
          <w:p w14:paraId="0626376B" w14:textId="77777777" w:rsidR="007704DB" w:rsidRPr="00DC61B3" w:rsidRDefault="00273BDD" w:rsidP="00D210C4">
            <w:pPr>
              <w:pStyle w:val="Tabletext"/>
              <w:ind w:right="567"/>
              <w:jc w:val="right"/>
              <w:rPr>
                <w:color w:val="000000"/>
              </w:rPr>
            </w:pPr>
            <w:r w:rsidRPr="00DC61B3">
              <w:t>1 000</w:t>
            </w:r>
          </w:p>
        </w:tc>
        <w:tc>
          <w:tcPr>
            <w:tcW w:w="2370" w:type="dxa"/>
            <w:vMerge/>
            <w:tcBorders>
              <w:left w:val="single" w:sz="6" w:space="0" w:color="auto"/>
              <w:bottom w:val="single" w:sz="4" w:space="0" w:color="auto"/>
              <w:right w:val="single" w:sz="6" w:space="0" w:color="auto"/>
            </w:tcBorders>
          </w:tcPr>
          <w:p w14:paraId="0328C86F" w14:textId="77777777" w:rsidR="007704DB" w:rsidRPr="00DC61B3" w:rsidRDefault="004E3073" w:rsidP="00D210C4">
            <w:pPr>
              <w:pStyle w:val="Tabletext"/>
              <w:jc w:val="center"/>
              <w:rPr>
                <w:color w:val="000000"/>
              </w:rPr>
            </w:pPr>
          </w:p>
        </w:tc>
      </w:tr>
      <w:tr w:rsidR="007704DB" w:rsidRPr="00DC61B3" w14:paraId="52EB69C5" w14:textId="77777777" w:rsidTr="00D210C4">
        <w:trPr>
          <w:jc w:val="center"/>
        </w:trPr>
        <w:tc>
          <w:tcPr>
            <w:tcW w:w="1475" w:type="dxa"/>
            <w:vMerge/>
            <w:tcBorders>
              <w:left w:val="single" w:sz="6" w:space="0" w:color="auto"/>
              <w:right w:val="single" w:sz="6" w:space="0" w:color="auto"/>
            </w:tcBorders>
          </w:tcPr>
          <w:p w14:paraId="1F4685D4" w14:textId="77777777" w:rsidR="007704DB" w:rsidRPr="00DC61B3" w:rsidRDefault="004E3073" w:rsidP="00D210C4">
            <w:pPr>
              <w:pStyle w:val="Tabletext"/>
              <w:rPr>
                <w:color w:val="000000"/>
              </w:rPr>
            </w:pPr>
          </w:p>
        </w:tc>
        <w:tc>
          <w:tcPr>
            <w:tcW w:w="1508" w:type="dxa"/>
            <w:tcBorders>
              <w:top w:val="single" w:sz="6" w:space="0" w:color="auto"/>
              <w:left w:val="single" w:sz="6" w:space="0" w:color="auto"/>
              <w:bottom w:val="single" w:sz="6" w:space="0" w:color="auto"/>
              <w:right w:val="single" w:sz="6" w:space="0" w:color="auto"/>
            </w:tcBorders>
          </w:tcPr>
          <w:p w14:paraId="6F88DD92"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DC61B3">
              <w:tab/>
              <w:t>–178,4</w:t>
            </w:r>
          </w:p>
          <w:p w14:paraId="70A915C9"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–178,4</w:t>
            </w:r>
          </w:p>
          <w:p w14:paraId="21B5A1A7"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–171,4</w:t>
            </w:r>
          </w:p>
          <w:p w14:paraId="50075138"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–170,5</w:t>
            </w:r>
          </w:p>
          <w:p w14:paraId="43C3AB1C"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–166</w:t>
            </w:r>
          </w:p>
          <w:p w14:paraId="44881BE0"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–164</w:t>
            </w:r>
          </w:p>
          <w:p w14:paraId="34A23DE3"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DC61B3">
              <w:tab/>
              <w:t>–164</w:t>
            </w:r>
          </w:p>
        </w:tc>
        <w:tc>
          <w:tcPr>
            <w:tcW w:w="2767" w:type="dxa"/>
            <w:tcBorders>
              <w:top w:val="single" w:sz="6" w:space="0" w:color="auto"/>
              <w:left w:val="single" w:sz="6" w:space="0" w:color="auto"/>
              <w:bottom w:val="single" w:sz="6" w:space="0" w:color="auto"/>
              <w:right w:val="single" w:sz="6" w:space="0" w:color="auto"/>
            </w:tcBorders>
          </w:tcPr>
          <w:p w14:paraId="4F2CFB51"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DC61B3">
              <w:tab/>
              <w:t>0</w:t>
            </w:r>
          </w:p>
          <w:p w14:paraId="0BB221B4"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99,4</w:t>
            </w:r>
          </w:p>
          <w:p w14:paraId="4BC3B09C"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w:t>
            </w:r>
          </w:p>
          <w:p w14:paraId="2D5B2FAF"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99,913</w:t>
            </w:r>
          </w:p>
          <w:p w14:paraId="1E410C57"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99,971</w:t>
            </w:r>
          </w:p>
          <w:p w14:paraId="40832F2F"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99,977</w:t>
            </w:r>
          </w:p>
          <w:p w14:paraId="03B60627"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DC61B3">
              <w:tab/>
              <w:t>100</w:t>
            </w:r>
          </w:p>
        </w:tc>
        <w:tc>
          <w:tcPr>
            <w:tcW w:w="1519" w:type="dxa"/>
            <w:tcBorders>
              <w:top w:val="single" w:sz="6" w:space="0" w:color="auto"/>
              <w:left w:val="single" w:sz="6" w:space="0" w:color="auto"/>
              <w:bottom w:val="single" w:sz="6" w:space="0" w:color="auto"/>
              <w:right w:val="single" w:sz="6" w:space="0" w:color="auto"/>
            </w:tcBorders>
          </w:tcPr>
          <w:p w14:paraId="7916C51B" w14:textId="77777777" w:rsidR="007704DB" w:rsidRPr="00DC61B3" w:rsidRDefault="00273BDD" w:rsidP="00D210C4">
            <w:pPr>
              <w:pStyle w:val="Tabletext"/>
              <w:ind w:right="567"/>
              <w:jc w:val="right"/>
            </w:pPr>
            <w:r w:rsidRPr="00DC61B3">
              <w:t>40</w:t>
            </w:r>
          </w:p>
        </w:tc>
        <w:tc>
          <w:tcPr>
            <w:tcW w:w="2370" w:type="dxa"/>
            <w:vMerge w:val="restart"/>
            <w:tcBorders>
              <w:left w:val="single" w:sz="6" w:space="0" w:color="auto"/>
              <w:right w:val="single" w:sz="6" w:space="0" w:color="auto"/>
            </w:tcBorders>
          </w:tcPr>
          <w:p w14:paraId="79948CD3" w14:textId="77777777" w:rsidR="007704DB" w:rsidRPr="00DC61B3" w:rsidRDefault="00273BDD" w:rsidP="00D210C4">
            <w:pPr>
              <w:pStyle w:val="Tabletext"/>
              <w:jc w:val="center"/>
            </w:pPr>
            <w:r w:rsidRPr="00DC61B3">
              <w:t>2 m</w:t>
            </w:r>
            <w:r w:rsidRPr="00DC61B3">
              <w:br/>
              <w:t>Recomendación</w:t>
            </w:r>
            <w:r w:rsidRPr="00DC61B3">
              <w:br/>
              <w:t>UIT-R S.1428-1</w:t>
            </w:r>
          </w:p>
        </w:tc>
      </w:tr>
      <w:tr w:rsidR="007704DB" w:rsidRPr="00DC61B3" w14:paraId="4D7C01BA" w14:textId="77777777" w:rsidTr="00D210C4">
        <w:trPr>
          <w:jc w:val="center"/>
        </w:trPr>
        <w:tc>
          <w:tcPr>
            <w:tcW w:w="1475" w:type="dxa"/>
            <w:vMerge/>
            <w:tcBorders>
              <w:left w:val="single" w:sz="6" w:space="0" w:color="auto"/>
              <w:right w:val="single" w:sz="6" w:space="0" w:color="auto"/>
            </w:tcBorders>
          </w:tcPr>
          <w:p w14:paraId="2C4592CB" w14:textId="77777777" w:rsidR="007704DB" w:rsidRPr="00DC61B3" w:rsidRDefault="004E3073" w:rsidP="00D210C4">
            <w:pPr>
              <w:pStyle w:val="Tabletext"/>
              <w:rPr>
                <w:color w:val="000000"/>
              </w:rPr>
            </w:pPr>
          </w:p>
        </w:tc>
        <w:tc>
          <w:tcPr>
            <w:tcW w:w="1508" w:type="dxa"/>
            <w:tcBorders>
              <w:top w:val="single" w:sz="6" w:space="0" w:color="auto"/>
              <w:left w:val="single" w:sz="6" w:space="0" w:color="auto"/>
              <w:bottom w:val="single" w:sz="6" w:space="0" w:color="auto"/>
              <w:right w:val="single" w:sz="6" w:space="0" w:color="auto"/>
            </w:tcBorders>
          </w:tcPr>
          <w:p w14:paraId="041D42A0"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DC61B3">
              <w:tab/>
              <w:t>–164,4</w:t>
            </w:r>
          </w:p>
          <w:p w14:paraId="7191B589"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–164,4</w:t>
            </w:r>
          </w:p>
          <w:p w14:paraId="7DEE388F"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–157,4</w:t>
            </w:r>
          </w:p>
          <w:p w14:paraId="36FCC674"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–156,5</w:t>
            </w:r>
          </w:p>
          <w:p w14:paraId="1A561766"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–152</w:t>
            </w:r>
          </w:p>
          <w:p w14:paraId="73CC73ED"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–150</w:t>
            </w:r>
          </w:p>
          <w:p w14:paraId="05883D11"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DC61B3">
              <w:tab/>
              <w:t>–150</w:t>
            </w:r>
          </w:p>
        </w:tc>
        <w:tc>
          <w:tcPr>
            <w:tcW w:w="2767" w:type="dxa"/>
            <w:tcBorders>
              <w:top w:val="single" w:sz="6" w:space="0" w:color="auto"/>
              <w:left w:val="single" w:sz="6" w:space="0" w:color="auto"/>
              <w:bottom w:val="single" w:sz="6" w:space="0" w:color="auto"/>
              <w:right w:val="single" w:sz="6" w:space="0" w:color="auto"/>
            </w:tcBorders>
          </w:tcPr>
          <w:p w14:paraId="569B734A"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DC61B3">
              <w:tab/>
              <w:t>0</w:t>
            </w:r>
          </w:p>
          <w:p w14:paraId="24A2CDFA"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99,4</w:t>
            </w:r>
          </w:p>
          <w:p w14:paraId="14C4BF79"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w:t>
            </w:r>
          </w:p>
          <w:p w14:paraId="5AF23BA7"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99,913</w:t>
            </w:r>
          </w:p>
          <w:p w14:paraId="19E76670"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99,971</w:t>
            </w:r>
          </w:p>
          <w:p w14:paraId="5D519853"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99,977</w:t>
            </w:r>
          </w:p>
          <w:p w14:paraId="1E4D867D"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 w:val="left" w:pos="1077"/>
              </w:tabs>
              <w:spacing w:before="0"/>
            </w:pPr>
            <w:r w:rsidRPr="00DC61B3">
              <w:tab/>
              <w:t>100</w:t>
            </w:r>
          </w:p>
        </w:tc>
        <w:tc>
          <w:tcPr>
            <w:tcW w:w="1519" w:type="dxa"/>
            <w:tcBorders>
              <w:top w:val="single" w:sz="6" w:space="0" w:color="auto"/>
              <w:left w:val="single" w:sz="6" w:space="0" w:color="auto"/>
              <w:bottom w:val="single" w:sz="6" w:space="0" w:color="auto"/>
              <w:right w:val="single" w:sz="6" w:space="0" w:color="auto"/>
            </w:tcBorders>
          </w:tcPr>
          <w:p w14:paraId="1F2D3730" w14:textId="77777777" w:rsidR="007704DB" w:rsidRPr="00DC61B3" w:rsidRDefault="00273BDD" w:rsidP="00D210C4">
            <w:pPr>
              <w:pStyle w:val="Tabletext"/>
              <w:ind w:right="567"/>
              <w:jc w:val="right"/>
            </w:pPr>
            <w:r w:rsidRPr="00DC61B3">
              <w:t>1 000</w:t>
            </w:r>
          </w:p>
        </w:tc>
        <w:tc>
          <w:tcPr>
            <w:tcW w:w="2370" w:type="dxa"/>
            <w:vMerge/>
            <w:tcBorders>
              <w:left w:val="single" w:sz="6" w:space="0" w:color="auto"/>
              <w:right w:val="single" w:sz="6" w:space="0" w:color="auto"/>
            </w:tcBorders>
          </w:tcPr>
          <w:p w14:paraId="24AAF4BF" w14:textId="77777777" w:rsidR="007704DB" w:rsidRPr="00DC61B3" w:rsidRDefault="004E3073" w:rsidP="00D210C4">
            <w:pPr>
              <w:pStyle w:val="Tabletext"/>
              <w:jc w:val="center"/>
              <w:rPr>
                <w:color w:val="000000"/>
              </w:rPr>
            </w:pPr>
          </w:p>
        </w:tc>
      </w:tr>
      <w:tr w:rsidR="007704DB" w:rsidRPr="00DC61B3" w14:paraId="5ECB99B6" w14:textId="77777777" w:rsidTr="00D210C4">
        <w:trPr>
          <w:jc w:val="center"/>
        </w:trPr>
        <w:tc>
          <w:tcPr>
            <w:tcW w:w="1475" w:type="dxa"/>
            <w:vMerge/>
            <w:tcBorders>
              <w:left w:val="single" w:sz="6" w:space="0" w:color="auto"/>
              <w:right w:val="single" w:sz="6" w:space="0" w:color="auto"/>
            </w:tcBorders>
          </w:tcPr>
          <w:p w14:paraId="295B1B35" w14:textId="77777777" w:rsidR="007704DB" w:rsidRPr="00DC61B3" w:rsidRDefault="004E3073" w:rsidP="00D210C4">
            <w:pPr>
              <w:pStyle w:val="Tabletext"/>
              <w:rPr>
                <w:color w:val="000000"/>
              </w:rPr>
            </w:pPr>
          </w:p>
        </w:tc>
        <w:tc>
          <w:tcPr>
            <w:tcW w:w="1508" w:type="dxa"/>
            <w:tcBorders>
              <w:top w:val="single" w:sz="6" w:space="0" w:color="auto"/>
              <w:left w:val="single" w:sz="6" w:space="0" w:color="auto"/>
              <w:bottom w:val="single" w:sz="6" w:space="0" w:color="auto"/>
              <w:right w:val="single" w:sz="6" w:space="0" w:color="auto"/>
            </w:tcBorders>
          </w:tcPr>
          <w:p w14:paraId="272F838B"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DC61B3">
              <w:tab/>
              <w:t>–185,4</w:t>
            </w:r>
          </w:p>
          <w:p w14:paraId="64D62351"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–185,4</w:t>
            </w:r>
          </w:p>
          <w:p w14:paraId="0615C0A2"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–180</w:t>
            </w:r>
          </w:p>
          <w:p w14:paraId="0B8BB10A"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–180</w:t>
            </w:r>
          </w:p>
          <w:p w14:paraId="09138A3A"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–172</w:t>
            </w:r>
          </w:p>
          <w:p w14:paraId="4DAA9262"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–164</w:t>
            </w:r>
          </w:p>
          <w:p w14:paraId="23BEA61A"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DC61B3">
              <w:tab/>
              <w:t>–164</w:t>
            </w:r>
          </w:p>
        </w:tc>
        <w:tc>
          <w:tcPr>
            <w:tcW w:w="2767" w:type="dxa"/>
            <w:tcBorders>
              <w:top w:val="single" w:sz="6" w:space="0" w:color="auto"/>
              <w:left w:val="single" w:sz="6" w:space="0" w:color="auto"/>
              <w:bottom w:val="single" w:sz="6" w:space="0" w:color="auto"/>
              <w:right w:val="single" w:sz="6" w:space="0" w:color="auto"/>
            </w:tcBorders>
          </w:tcPr>
          <w:p w14:paraId="63F6E785"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DC61B3">
              <w:tab/>
              <w:t>0</w:t>
            </w:r>
          </w:p>
          <w:p w14:paraId="121CBC60"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99,8</w:t>
            </w:r>
          </w:p>
          <w:p w14:paraId="7373674B"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99,8</w:t>
            </w:r>
          </w:p>
          <w:p w14:paraId="2D4E9FD5"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99,943</w:t>
            </w:r>
          </w:p>
          <w:p w14:paraId="3C568452"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99,943</w:t>
            </w:r>
          </w:p>
          <w:p w14:paraId="5E1F24BD"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99,998</w:t>
            </w:r>
          </w:p>
          <w:p w14:paraId="6BD15687"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DC61B3">
              <w:tab/>
              <w:t>100</w:t>
            </w:r>
          </w:p>
        </w:tc>
        <w:tc>
          <w:tcPr>
            <w:tcW w:w="1519" w:type="dxa"/>
            <w:tcBorders>
              <w:top w:val="single" w:sz="6" w:space="0" w:color="auto"/>
              <w:left w:val="single" w:sz="6" w:space="0" w:color="auto"/>
              <w:bottom w:val="single" w:sz="6" w:space="0" w:color="auto"/>
              <w:right w:val="single" w:sz="6" w:space="0" w:color="auto"/>
            </w:tcBorders>
          </w:tcPr>
          <w:p w14:paraId="58F15A26" w14:textId="77777777" w:rsidR="007704DB" w:rsidRPr="00DC61B3" w:rsidRDefault="00273BDD" w:rsidP="00D210C4">
            <w:pPr>
              <w:pStyle w:val="Tabletext"/>
              <w:ind w:right="567"/>
              <w:jc w:val="right"/>
            </w:pPr>
            <w:r w:rsidRPr="00DC61B3">
              <w:t>40</w:t>
            </w:r>
          </w:p>
        </w:tc>
        <w:tc>
          <w:tcPr>
            <w:tcW w:w="2370" w:type="dxa"/>
            <w:vMerge w:val="restart"/>
            <w:tcBorders>
              <w:left w:val="single" w:sz="6" w:space="0" w:color="auto"/>
              <w:right w:val="single" w:sz="6" w:space="0" w:color="auto"/>
            </w:tcBorders>
          </w:tcPr>
          <w:p w14:paraId="3E1C4D3B" w14:textId="77777777" w:rsidR="007704DB" w:rsidRPr="00DC61B3" w:rsidRDefault="00273BDD" w:rsidP="00D210C4">
            <w:pPr>
              <w:pStyle w:val="Tabletext"/>
              <w:jc w:val="center"/>
            </w:pPr>
            <w:r w:rsidRPr="00DC61B3">
              <w:t>5 m</w:t>
            </w:r>
            <w:r w:rsidRPr="00DC61B3">
              <w:br/>
              <w:t>Recomendación</w:t>
            </w:r>
            <w:r w:rsidRPr="00DC61B3">
              <w:br/>
              <w:t>UIT-R S.1428-1</w:t>
            </w:r>
          </w:p>
        </w:tc>
      </w:tr>
      <w:tr w:rsidR="007704DB" w:rsidRPr="00DC61B3" w14:paraId="6B76C8D6" w14:textId="77777777" w:rsidTr="00D210C4">
        <w:trPr>
          <w:jc w:val="center"/>
        </w:trPr>
        <w:tc>
          <w:tcPr>
            <w:tcW w:w="1475" w:type="dxa"/>
            <w:vMerge/>
            <w:tcBorders>
              <w:left w:val="single" w:sz="6" w:space="0" w:color="auto"/>
              <w:right w:val="single" w:sz="6" w:space="0" w:color="auto"/>
            </w:tcBorders>
          </w:tcPr>
          <w:p w14:paraId="43D4CDAF" w14:textId="77777777" w:rsidR="007704DB" w:rsidRPr="00DC61B3" w:rsidRDefault="004E3073" w:rsidP="00D210C4">
            <w:pPr>
              <w:pStyle w:val="Tabletext"/>
              <w:rPr>
                <w:color w:val="000000"/>
              </w:rPr>
            </w:pPr>
          </w:p>
        </w:tc>
        <w:tc>
          <w:tcPr>
            <w:tcW w:w="1508" w:type="dxa"/>
            <w:tcBorders>
              <w:top w:val="single" w:sz="6" w:space="0" w:color="auto"/>
              <w:left w:val="single" w:sz="6" w:space="0" w:color="auto"/>
              <w:bottom w:val="single" w:sz="4" w:space="0" w:color="auto"/>
              <w:right w:val="single" w:sz="6" w:space="0" w:color="auto"/>
            </w:tcBorders>
          </w:tcPr>
          <w:p w14:paraId="55E381FF"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after="0"/>
            </w:pPr>
            <w:r w:rsidRPr="00DC61B3">
              <w:tab/>
              <w:t>–171,4</w:t>
            </w:r>
          </w:p>
          <w:p w14:paraId="13FF0229"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–171,4</w:t>
            </w:r>
          </w:p>
          <w:p w14:paraId="39028F4D"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–166</w:t>
            </w:r>
          </w:p>
          <w:p w14:paraId="32403D7D"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–166</w:t>
            </w:r>
          </w:p>
          <w:p w14:paraId="6583A6F2"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–158</w:t>
            </w:r>
          </w:p>
          <w:p w14:paraId="06A87725"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after="0"/>
            </w:pPr>
            <w:r w:rsidRPr="00DC61B3">
              <w:tab/>
              <w:t>–150</w:t>
            </w:r>
          </w:p>
          <w:p w14:paraId="07EF8922"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369"/>
              </w:tabs>
              <w:spacing w:before="0"/>
            </w:pPr>
            <w:r w:rsidRPr="00DC61B3">
              <w:tab/>
              <w:t>–150</w:t>
            </w:r>
          </w:p>
        </w:tc>
        <w:tc>
          <w:tcPr>
            <w:tcW w:w="2767" w:type="dxa"/>
            <w:tcBorders>
              <w:top w:val="single" w:sz="6" w:space="0" w:color="auto"/>
              <w:left w:val="single" w:sz="6" w:space="0" w:color="auto"/>
              <w:bottom w:val="single" w:sz="4" w:space="0" w:color="auto"/>
              <w:right w:val="single" w:sz="6" w:space="0" w:color="auto"/>
            </w:tcBorders>
          </w:tcPr>
          <w:p w14:paraId="0B6C83CB"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191"/>
              </w:tabs>
              <w:spacing w:after="0"/>
            </w:pPr>
            <w:r w:rsidRPr="00DC61B3">
              <w:tab/>
              <w:t>0</w:t>
            </w:r>
          </w:p>
          <w:p w14:paraId="5D08BD30"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99,8</w:t>
            </w:r>
          </w:p>
          <w:p w14:paraId="334ECE5A"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99,8</w:t>
            </w:r>
          </w:p>
          <w:p w14:paraId="714F2C75"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99,943</w:t>
            </w:r>
          </w:p>
          <w:p w14:paraId="05697593"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99,943</w:t>
            </w:r>
          </w:p>
          <w:p w14:paraId="39D03FA0"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077"/>
              </w:tabs>
              <w:spacing w:before="0" w:after="0"/>
            </w:pPr>
            <w:r w:rsidRPr="00DC61B3">
              <w:tab/>
              <w:t>99,998</w:t>
            </w:r>
          </w:p>
          <w:p w14:paraId="0525B1F3" w14:textId="77777777" w:rsidR="007704DB" w:rsidRPr="00DC61B3" w:rsidRDefault="00273BDD" w:rsidP="00D210C4">
            <w:pPr>
              <w:pStyle w:val="Tabletext"/>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964"/>
              </w:tabs>
              <w:spacing w:before="0"/>
            </w:pPr>
            <w:r w:rsidRPr="00DC61B3">
              <w:tab/>
              <w:t>100</w:t>
            </w:r>
          </w:p>
        </w:tc>
        <w:tc>
          <w:tcPr>
            <w:tcW w:w="1519" w:type="dxa"/>
            <w:tcBorders>
              <w:top w:val="single" w:sz="6" w:space="0" w:color="auto"/>
              <w:left w:val="single" w:sz="6" w:space="0" w:color="auto"/>
              <w:bottom w:val="single" w:sz="4" w:space="0" w:color="auto"/>
              <w:right w:val="single" w:sz="6" w:space="0" w:color="auto"/>
            </w:tcBorders>
          </w:tcPr>
          <w:p w14:paraId="12285C12" w14:textId="77777777" w:rsidR="007704DB" w:rsidRPr="00DC61B3" w:rsidRDefault="00273BDD" w:rsidP="00D210C4">
            <w:pPr>
              <w:pStyle w:val="Tabletext"/>
              <w:ind w:right="567"/>
              <w:jc w:val="right"/>
            </w:pPr>
            <w:r w:rsidRPr="00DC61B3">
              <w:t>1 000</w:t>
            </w:r>
          </w:p>
        </w:tc>
        <w:tc>
          <w:tcPr>
            <w:tcW w:w="2370" w:type="dxa"/>
            <w:vMerge/>
            <w:tcBorders>
              <w:left w:val="single" w:sz="6" w:space="0" w:color="auto"/>
              <w:bottom w:val="single" w:sz="4" w:space="0" w:color="auto"/>
              <w:right w:val="single" w:sz="6" w:space="0" w:color="auto"/>
            </w:tcBorders>
          </w:tcPr>
          <w:p w14:paraId="3160D922" w14:textId="77777777" w:rsidR="007704DB" w:rsidRPr="00DC61B3" w:rsidRDefault="004E3073" w:rsidP="00D210C4">
            <w:pPr>
              <w:pStyle w:val="Tabletext"/>
              <w:rPr>
                <w:color w:val="000000"/>
              </w:rPr>
            </w:pPr>
          </w:p>
        </w:tc>
      </w:tr>
    </w:tbl>
    <w:p w14:paraId="4703B1A1" w14:textId="77777777" w:rsidR="00B47676" w:rsidRPr="00DC61B3" w:rsidRDefault="00B47676"/>
    <w:p w14:paraId="73C238F0" w14:textId="2117910D" w:rsidR="00B47676" w:rsidRPr="00DC61B3" w:rsidRDefault="00273BDD">
      <w:pPr>
        <w:pStyle w:val="Reasons"/>
      </w:pPr>
      <w:r w:rsidRPr="00DC61B3">
        <w:rPr>
          <w:b/>
        </w:rPr>
        <w:lastRenderedPageBreak/>
        <w:t>Motivos:</w:t>
      </w:r>
      <w:r w:rsidRPr="00DC61B3">
        <w:tab/>
      </w:r>
      <w:r w:rsidR="002E37CF" w:rsidRPr="00DC61B3">
        <w:t xml:space="preserve">Ampliar la aplicabilidad en las Regiones 1 y 2 de los límites de dfpe del Cuadro 22-1B del RR a la banda de frecuencias 17,3-17,7 GHz a los sistemas no OSG para proteger el enlace descendente (espacio-Tierra) </w:t>
      </w:r>
      <w:r w:rsidR="00B0548C" w:rsidRPr="00DC61B3">
        <w:t xml:space="preserve">de las redes de satélites OSG </w:t>
      </w:r>
      <w:r w:rsidR="002E37CF" w:rsidRPr="00DC61B3">
        <w:t>del servicio fijo por satélite (SFS).</w:t>
      </w:r>
    </w:p>
    <w:p w14:paraId="7D0F4C04" w14:textId="77777777" w:rsidR="00B47676" w:rsidRPr="00DC61B3" w:rsidRDefault="00273BDD">
      <w:pPr>
        <w:pStyle w:val="Proposal"/>
      </w:pPr>
      <w:r w:rsidRPr="00DC61B3">
        <w:t>ADD</w:t>
      </w:r>
      <w:r w:rsidRPr="00DC61B3">
        <w:tab/>
        <w:t>EUR/65A19/6</w:t>
      </w:r>
      <w:r w:rsidRPr="00DC61B3">
        <w:rPr>
          <w:vanish/>
          <w:color w:val="7F7F7F" w:themeColor="text1" w:themeTint="80"/>
          <w:vertAlign w:val="superscript"/>
        </w:rPr>
        <w:t>#1927</w:t>
      </w:r>
    </w:p>
    <w:p w14:paraId="4EE426F8" w14:textId="77777777" w:rsidR="007704DB" w:rsidRPr="00DC61B3" w:rsidRDefault="00273BDD" w:rsidP="00D210C4">
      <w:r w:rsidRPr="00DC61B3">
        <w:t>_______________</w:t>
      </w:r>
    </w:p>
    <w:p w14:paraId="21B7D921" w14:textId="0BBD4D75" w:rsidR="007704DB" w:rsidRPr="00DC61B3" w:rsidRDefault="00273BDD" w:rsidP="00D210C4">
      <w:pPr>
        <w:pStyle w:val="FootnoteText"/>
      </w:pPr>
      <w:r w:rsidRPr="00DC61B3">
        <w:rPr>
          <w:rStyle w:val="FootnoteReference"/>
        </w:rPr>
        <w:t>X</w:t>
      </w:r>
      <w:r w:rsidRPr="00DC61B3">
        <w:tab/>
      </w:r>
      <w:bookmarkStart w:id="37" w:name="_Hlk114098103"/>
      <w:r w:rsidRPr="00DC61B3">
        <w:rPr>
          <w:rStyle w:val="Artdef"/>
        </w:rPr>
        <w:t>22.5C.X</w:t>
      </w:r>
      <w:r w:rsidRPr="00DC61B3">
        <w:tab/>
        <w:t xml:space="preserve">En la Región 2, </w:t>
      </w:r>
      <w:r w:rsidR="00B0548C">
        <w:t>los</w:t>
      </w:r>
      <w:r w:rsidRPr="00DC61B3">
        <w:t xml:space="preserve"> sistema</w:t>
      </w:r>
      <w:r w:rsidR="00B0548C">
        <w:t>s</w:t>
      </w:r>
      <w:r w:rsidRPr="00DC61B3">
        <w:t xml:space="preserve"> de satélites no geoestacionarios del servicio fijo por satélite deberá</w:t>
      </w:r>
      <w:r w:rsidR="00B0548C">
        <w:t>n</w:t>
      </w:r>
      <w:r w:rsidRPr="00DC61B3">
        <w:t xml:space="preserve"> satisfacer los límites de este </w:t>
      </w:r>
      <w:r w:rsidR="00B0548C">
        <w:t>C</w:t>
      </w:r>
      <w:r w:rsidRPr="00DC61B3">
        <w:t>uadro para la banda de frecuencias 17,3-17,7 GHz con respecto a los sistemas de satélites geoestacionarios del servicio de radiodifusión por satélite y</w:t>
      </w:r>
      <w:r w:rsidR="00B0548C">
        <w:t xml:space="preserve"> deberán utilizarse</w:t>
      </w:r>
      <w:r w:rsidRPr="00DC61B3">
        <w:t xml:space="preserve"> los patrones de referencia de la Recomendación UIT</w:t>
      </w:r>
      <w:r w:rsidRPr="00DC61B3">
        <w:noBreakHyphen/>
        <w:t>R BO.1443</w:t>
      </w:r>
      <w:r w:rsidRPr="00DC61B3">
        <w:noBreakHyphen/>
        <w:t>3</w:t>
      </w:r>
      <w:r w:rsidR="00B0548C">
        <w:t xml:space="preserve"> cuando se calcule la densidad de flujo de potencia equivalente</w:t>
      </w:r>
      <w:r w:rsidRPr="00DC61B3">
        <w:t>.</w:t>
      </w:r>
      <w:r w:rsidRPr="00DC61B3">
        <w:rPr>
          <w:sz w:val="16"/>
          <w:szCs w:val="16"/>
        </w:rPr>
        <w:t>     (CMR-23)</w:t>
      </w:r>
      <w:bookmarkEnd w:id="37"/>
    </w:p>
    <w:p w14:paraId="25118315" w14:textId="754A8F3C" w:rsidR="00B47676" w:rsidRPr="00DC61B3" w:rsidRDefault="00273BDD">
      <w:pPr>
        <w:pStyle w:val="Reasons"/>
      </w:pPr>
      <w:r w:rsidRPr="00DC61B3">
        <w:rPr>
          <w:b/>
        </w:rPr>
        <w:t>Motivos:</w:t>
      </w:r>
      <w:r w:rsidRPr="00DC61B3">
        <w:tab/>
      </w:r>
      <w:r w:rsidR="002E37CF" w:rsidRPr="00DC61B3">
        <w:t>Para los sistemas no OSG que funcionan en la Región 2, ampliar la aplicabilidad de los límites de dfpe del Cuadro 22 1B del RR a la banda de frecuencias 17,3-17,7</w:t>
      </w:r>
      <w:r w:rsidR="00EB29BC">
        <w:t> </w:t>
      </w:r>
      <w:r w:rsidR="002E37CF" w:rsidRPr="00DC61B3">
        <w:t xml:space="preserve">GHz </w:t>
      </w:r>
      <w:r w:rsidR="00B0548C">
        <w:t>con el fin de</w:t>
      </w:r>
      <w:r w:rsidR="002E37CF" w:rsidRPr="00DC61B3">
        <w:t xml:space="preserve"> proteger el servicio de radiodifusión por satélite. La nota hace obligatoria la aplicación de la Recomendación UIT-R BO.1443-3.</w:t>
      </w:r>
    </w:p>
    <w:p w14:paraId="2BDE8A08" w14:textId="77777777" w:rsidR="00B47676" w:rsidRPr="00DC61B3" w:rsidRDefault="00273BDD">
      <w:pPr>
        <w:pStyle w:val="Proposal"/>
      </w:pPr>
      <w:r w:rsidRPr="00DC61B3">
        <w:t>MOD</w:t>
      </w:r>
      <w:r w:rsidRPr="00DC61B3">
        <w:tab/>
        <w:t>EUR/65A19/7</w:t>
      </w:r>
    </w:p>
    <w:p w14:paraId="136220BD" w14:textId="69068F7C" w:rsidR="00CA6B05" w:rsidRPr="00DC61B3" w:rsidRDefault="00273BDD" w:rsidP="00CA6B05">
      <w:pPr>
        <w:pStyle w:val="TableNo"/>
        <w:keepNext w:val="0"/>
        <w:spacing w:before="360"/>
        <w:rPr>
          <w:b/>
          <w:color w:val="000000"/>
        </w:rPr>
      </w:pPr>
      <w:r w:rsidRPr="00DC61B3">
        <w:rPr>
          <w:color w:val="000000"/>
        </w:rPr>
        <w:t xml:space="preserve">CUADRO  </w:t>
      </w:r>
      <w:r w:rsidRPr="00DC61B3">
        <w:rPr>
          <w:b/>
          <w:bCs/>
          <w:color w:val="000000"/>
        </w:rPr>
        <w:t>22-3</w:t>
      </w:r>
      <w:r w:rsidRPr="00DC61B3">
        <w:rPr>
          <w:color w:val="000000"/>
          <w:sz w:val="16"/>
          <w:szCs w:val="16"/>
        </w:rPr>
        <w:t>     </w:t>
      </w:r>
      <w:r w:rsidRPr="00DC61B3">
        <w:rPr>
          <w:color w:val="000000"/>
          <w:sz w:val="16"/>
        </w:rPr>
        <w:t>(CMR</w:t>
      </w:r>
      <w:r w:rsidRPr="00DC61B3">
        <w:rPr>
          <w:color w:val="000000"/>
          <w:sz w:val="16"/>
        </w:rPr>
        <w:noBreakHyphen/>
      </w:r>
      <w:del w:id="38" w:author="Spanish" w:date="2023-11-08T20:28:00Z">
        <w:r w:rsidRPr="00DC61B3" w:rsidDel="005A02C1">
          <w:rPr>
            <w:color w:val="000000"/>
            <w:sz w:val="16"/>
          </w:rPr>
          <w:delText>2000</w:delText>
        </w:r>
      </w:del>
      <w:ins w:id="39" w:author="Spanish" w:date="2023-11-08T20:28:00Z">
        <w:r w:rsidR="005A02C1" w:rsidRPr="00DC61B3">
          <w:rPr>
            <w:color w:val="000000"/>
            <w:sz w:val="16"/>
          </w:rPr>
          <w:t>23</w:t>
        </w:r>
      </w:ins>
      <w:r w:rsidRPr="00DC61B3">
        <w:rPr>
          <w:color w:val="000000"/>
          <w:sz w:val="16"/>
        </w:rPr>
        <w:t>)</w:t>
      </w:r>
    </w:p>
    <w:p w14:paraId="368E9F3E" w14:textId="77777777" w:rsidR="00CA6B05" w:rsidRPr="00DC61B3" w:rsidRDefault="00273BDD" w:rsidP="00CA6B05">
      <w:pPr>
        <w:pStyle w:val="Tabletitle"/>
        <w:rPr>
          <w:rStyle w:val="FootnoteReference"/>
          <w:rFonts w:ascii="Times New Roman" w:hAnsi="Times New Roman"/>
          <w:bCs/>
          <w:szCs w:val="18"/>
        </w:rPr>
      </w:pPr>
      <w:r w:rsidRPr="00DC61B3">
        <w:t>Límites de la dfpe</w:t>
      </w:r>
      <w:r w:rsidRPr="00DC61B3">
        <w:rPr>
          <w:vertAlign w:val="subscript"/>
        </w:rPr>
        <w:t>is</w:t>
      </w:r>
      <w:r w:rsidRPr="00DC61B3">
        <w:t xml:space="preserve"> radiada por los sistemas de satélites no geoestacionarios</w:t>
      </w:r>
      <w:r w:rsidRPr="00DC61B3">
        <w:br/>
        <w:t>del servicio fijo por satélite en algunas bandas de frecuencia</w:t>
      </w:r>
      <w:r w:rsidRPr="00DC61B3">
        <w:rPr>
          <w:rStyle w:val="FootnoteReference"/>
          <w:rFonts w:ascii="Times New Roman" w:hAnsi="Times New Roman"/>
          <w:b w:val="0"/>
          <w:bCs/>
        </w:rPr>
        <w:t>19</w:t>
      </w:r>
    </w:p>
    <w:tbl>
      <w:tblPr>
        <w:tblpPr w:leftFromText="180" w:rightFromText="180" w:vertAnchor="text" w:tblpXSpec="center" w:tblpY="1"/>
        <w:tblOverlap w:val="never"/>
        <w:tblW w:w="9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3"/>
        <w:gridCol w:w="1446"/>
        <w:gridCol w:w="2552"/>
        <w:gridCol w:w="1474"/>
        <w:gridCol w:w="2721"/>
      </w:tblGrid>
      <w:tr w:rsidR="00CA6B05" w:rsidRPr="00DC61B3" w14:paraId="5F77A374" w14:textId="77777777" w:rsidTr="00CA6B05">
        <w:trPr>
          <w:trHeight w:val="20"/>
        </w:trPr>
        <w:tc>
          <w:tcPr>
            <w:tcW w:w="1473" w:type="dxa"/>
            <w:tcBorders>
              <w:top w:val="single" w:sz="6" w:space="0" w:color="auto"/>
              <w:left w:val="single" w:sz="6" w:space="0" w:color="auto"/>
              <w:bottom w:val="single" w:sz="6" w:space="0" w:color="auto"/>
              <w:right w:val="single" w:sz="6" w:space="0" w:color="auto"/>
            </w:tcBorders>
            <w:vAlign w:val="center"/>
          </w:tcPr>
          <w:p w14:paraId="187FEA4A" w14:textId="77777777" w:rsidR="00CA6B05" w:rsidRPr="00DC61B3" w:rsidRDefault="00273BDD" w:rsidP="00CA6B05">
            <w:pPr>
              <w:pStyle w:val="Tablehead"/>
              <w:rPr>
                <w:color w:val="000000"/>
              </w:rPr>
            </w:pPr>
            <w:r w:rsidRPr="00DC61B3">
              <w:rPr>
                <w:color w:val="000000"/>
              </w:rPr>
              <w:t>Banda de frecuencias</w:t>
            </w:r>
            <w:r w:rsidRPr="00DC61B3">
              <w:rPr>
                <w:color w:val="000000"/>
              </w:rPr>
              <w:br/>
              <w:t>(GHz)</w:t>
            </w:r>
          </w:p>
        </w:tc>
        <w:tc>
          <w:tcPr>
            <w:tcW w:w="1446" w:type="dxa"/>
            <w:tcBorders>
              <w:top w:val="single" w:sz="6" w:space="0" w:color="auto"/>
              <w:left w:val="single" w:sz="6" w:space="0" w:color="auto"/>
              <w:bottom w:val="single" w:sz="6" w:space="0" w:color="auto"/>
              <w:right w:val="single" w:sz="6" w:space="0" w:color="auto"/>
            </w:tcBorders>
            <w:vAlign w:val="center"/>
          </w:tcPr>
          <w:p w14:paraId="7E4BC769" w14:textId="77777777" w:rsidR="00CA6B05" w:rsidRPr="00DC61B3" w:rsidRDefault="00273BDD" w:rsidP="00CA6B05">
            <w:pPr>
              <w:pStyle w:val="Tablehead"/>
              <w:rPr>
                <w:color w:val="000000"/>
              </w:rPr>
            </w:pPr>
            <w:r w:rsidRPr="00DC61B3">
              <w:rPr>
                <w:color w:val="000000"/>
              </w:rPr>
              <w:t>dfpe</w:t>
            </w:r>
            <w:r w:rsidRPr="00DC61B3">
              <w:rPr>
                <w:color w:val="000000"/>
                <w:position w:val="-4"/>
                <w:sz w:val="16"/>
              </w:rPr>
              <w:t>is</w:t>
            </w:r>
            <w:r w:rsidRPr="00DC61B3">
              <w:rPr>
                <w:color w:val="000000"/>
              </w:rPr>
              <w:br/>
              <w:t>(dB(W/m</w:t>
            </w:r>
            <w:r w:rsidRPr="00DC61B3">
              <w:rPr>
                <w:color w:val="000000"/>
                <w:position w:val="6"/>
                <w:sz w:val="16"/>
              </w:rPr>
              <w:t>2</w:t>
            </w:r>
            <w:r w:rsidRPr="00DC61B3">
              <w:rPr>
                <w:color w:val="000000"/>
              </w:rPr>
              <w:t>))</w:t>
            </w:r>
          </w:p>
        </w:tc>
        <w:tc>
          <w:tcPr>
            <w:tcW w:w="2552" w:type="dxa"/>
            <w:tcBorders>
              <w:top w:val="single" w:sz="6" w:space="0" w:color="auto"/>
              <w:left w:val="single" w:sz="6" w:space="0" w:color="auto"/>
              <w:bottom w:val="single" w:sz="6" w:space="0" w:color="auto"/>
              <w:right w:val="single" w:sz="6" w:space="0" w:color="auto"/>
            </w:tcBorders>
            <w:vAlign w:val="center"/>
          </w:tcPr>
          <w:p w14:paraId="3C2DFFA1" w14:textId="77777777" w:rsidR="00CA6B05" w:rsidRPr="00DC61B3" w:rsidRDefault="00273BDD" w:rsidP="00CA6B05">
            <w:pPr>
              <w:pStyle w:val="Tablehead"/>
              <w:rPr>
                <w:color w:val="000000"/>
              </w:rPr>
            </w:pPr>
            <w:r w:rsidRPr="00DC61B3">
              <w:rPr>
                <w:color w:val="000000"/>
              </w:rPr>
              <w:t>Porcentaje de tiempo durante el cual la dfpe</w:t>
            </w:r>
            <w:r w:rsidRPr="00DC61B3">
              <w:rPr>
                <w:color w:val="000000"/>
                <w:position w:val="-4"/>
                <w:sz w:val="16"/>
              </w:rPr>
              <w:t>is</w:t>
            </w:r>
            <w:r w:rsidRPr="00DC61B3">
              <w:rPr>
                <w:color w:val="000000"/>
              </w:rPr>
              <w:br/>
              <w:t>no debe rebasarse</w:t>
            </w:r>
          </w:p>
        </w:tc>
        <w:tc>
          <w:tcPr>
            <w:tcW w:w="1474" w:type="dxa"/>
            <w:tcBorders>
              <w:top w:val="single" w:sz="6" w:space="0" w:color="auto"/>
              <w:left w:val="single" w:sz="6" w:space="0" w:color="auto"/>
              <w:bottom w:val="single" w:sz="6" w:space="0" w:color="auto"/>
              <w:right w:val="single" w:sz="6" w:space="0" w:color="auto"/>
            </w:tcBorders>
            <w:vAlign w:val="center"/>
          </w:tcPr>
          <w:p w14:paraId="4BB4A053" w14:textId="77777777" w:rsidR="00CA6B05" w:rsidRPr="00DC61B3" w:rsidRDefault="00273BDD" w:rsidP="00CA6B05">
            <w:pPr>
              <w:pStyle w:val="Tablehead"/>
              <w:rPr>
                <w:color w:val="000000"/>
              </w:rPr>
            </w:pPr>
            <w:r w:rsidRPr="00DC61B3">
              <w:rPr>
                <w:color w:val="000000"/>
              </w:rPr>
              <w:t>Anchura de banda de</w:t>
            </w:r>
            <w:r w:rsidRPr="00DC61B3">
              <w:rPr>
                <w:color w:val="000000"/>
              </w:rPr>
              <w:br/>
              <w:t>referencia</w:t>
            </w:r>
            <w:r w:rsidRPr="00DC61B3">
              <w:rPr>
                <w:color w:val="000000"/>
              </w:rPr>
              <w:br/>
              <w:t>(kHz)</w:t>
            </w:r>
          </w:p>
        </w:tc>
        <w:tc>
          <w:tcPr>
            <w:tcW w:w="2721" w:type="dxa"/>
            <w:tcBorders>
              <w:top w:val="single" w:sz="6" w:space="0" w:color="auto"/>
              <w:left w:val="single" w:sz="6" w:space="0" w:color="auto"/>
              <w:bottom w:val="single" w:sz="6" w:space="0" w:color="auto"/>
              <w:right w:val="single" w:sz="6" w:space="0" w:color="auto"/>
            </w:tcBorders>
            <w:vAlign w:val="center"/>
          </w:tcPr>
          <w:p w14:paraId="6B776C03" w14:textId="77777777" w:rsidR="00CA6B05" w:rsidRPr="00DC61B3" w:rsidRDefault="00273BDD" w:rsidP="00CA6B05">
            <w:pPr>
              <w:pStyle w:val="Tablehead"/>
              <w:rPr>
                <w:color w:val="000000"/>
              </w:rPr>
            </w:pPr>
            <w:r w:rsidRPr="00DC61B3">
              <w:rPr>
                <w:color w:val="000000"/>
              </w:rPr>
              <w:t>Anchura de haz de la antena de referencia y diagrama de radiación de referencia</w:t>
            </w:r>
            <w:r w:rsidRPr="00DC61B3">
              <w:rPr>
                <w:rStyle w:val="FootnoteReference"/>
                <w:b w:val="0"/>
                <w:bCs/>
                <w:color w:val="000000"/>
              </w:rPr>
              <w:t>20</w:t>
            </w:r>
          </w:p>
        </w:tc>
      </w:tr>
      <w:tr w:rsidR="00CA6B05" w:rsidRPr="00DC61B3" w14:paraId="3C042376" w14:textId="77777777" w:rsidTr="00CA6B05">
        <w:tc>
          <w:tcPr>
            <w:tcW w:w="1473" w:type="dxa"/>
            <w:tcBorders>
              <w:top w:val="single" w:sz="6" w:space="0" w:color="auto"/>
              <w:left w:val="single" w:sz="6" w:space="0" w:color="auto"/>
              <w:bottom w:val="single" w:sz="6" w:space="0" w:color="auto"/>
              <w:right w:val="single" w:sz="6" w:space="0" w:color="auto"/>
            </w:tcBorders>
          </w:tcPr>
          <w:p w14:paraId="0BC6766E" w14:textId="77777777" w:rsidR="00CA6B05" w:rsidRPr="00DC61B3" w:rsidRDefault="00273BDD" w:rsidP="00CA6B05">
            <w:pPr>
              <w:pStyle w:val="Tabletext"/>
              <w:ind w:left="77"/>
            </w:pPr>
            <w:r w:rsidRPr="00DC61B3">
              <w:t xml:space="preserve">10,7-11,7 </w:t>
            </w:r>
            <w:r w:rsidRPr="00DC61B3">
              <w:br/>
              <w:t>(Región 1)</w:t>
            </w:r>
          </w:p>
          <w:p w14:paraId="57BA12E8" w14:textId="77777777" w:rsidR="00CA6B05" w:rsidRPr="00DC61B3" w:rsidRDefault="00273BDD" w:rsidP="00CA6B05">
            <w:pPr>
              <w:pStyle w:val="Tabletext"/>
              <w:ind w:left="77"/>
            </w:pPr>
            <w:r w:rsidRPr="00DC61B3">
              <w:t xml:space="preserve">12,5-12,75 </w:t>
            </w:r>
            <w:r w:rsidRPr="00DC61B3">
              <w:br/>
              <w:t>(Región 1)</w:t>
            </w:r>
          </w:p>
          <w:p w14:paraId="187429EC" w14:textId="77777777" w:rsidR="00CA6B05" w:rsidRPr="00DC61B3" w:rsidRDefault="00273BDD" w:rsidP="00CA6B05">
            <w:pPr>
              <w:pStyle w:val="Tabletext"/>
              <w:ind w:left="79"/>
            </w:pPr>
            <w:r w:rsidRPr="00DC61B3">
              <w:t xml:space="preserve">12,7-12,75 </w:t>
            </w:r>
            <w:r w:rsidRPr="00DC61B3">
              <w:br/>
              <w:t>(Región 2)</w:t>
            </w:r>
          </w:p>
        </w:tc>
        <w:tc>
          <w:tcPr>
            <w:tcW w:w="1446" w:type="dxa"/>
            <w:tcBorders>
              <w:top w:val="single" w:sz="6" w:space="0" w:color="auto"/>
              <w:left w:val="single" w:sz="6" w:space="0" w:color="auto"/>
              <w:bottom w:val="single" w:sz="6" w:space="0" w:color="auto"/>
              <w:right w:val="single" w:sz="6" w:space="0" w:color="auto"/>
            </w:tcBorders>
          </w:tcPr>
          <w:p w14:paraId="3B78FBD5" w14:textId="77777777" w:rsidR="00CA6B05" w:rsidRPr="00DC61B3" w:rsidRDefault="00273BDD" w:rsidP="00CA6B05">
            <w:pPr>
              <w:pStyle w:val="Tabletext"/>
              <w:jc w:val="center"/>
              <w:rPr>
                <w:color w:val="000000"/>
              </w:rPr>
            </w:pPr>
            <w:r w:rsidRPr="00DC61B3">
              <w:rPr>
                <w:color w:val="000000"/>
              </w:rPr>
              <w:t>–160</w:t>
            </w:r>
          </w:p>
        </w:tc>
        <w:tc>
          <w:tcPr>
            <w:tcW w:w="2552" w:type="dxa"/>
            <w:tcBorders>
              <w:top w:val="single" w:sz="6" w:space="0" w:color="auto"/>
              <w:left w:val="single" w:sz="6" w:space="0" w:color="auto"/>
              <w:bottom w:val="single" w:sz="6" w:space="0" w:color="auto"/>
              <w:right w:val="single" w:sz="6" w:space="0" w:color="auto"/>
            </w:tcBorders>
          </w:tcPr>
          <w:p w14:paraId="2B61DD97" w14:textId="77777777" w:rsidR="00CA6B05" w:rsidRPr="00DC61B3" w:rsidRDefault="00273BDD" w:rsidP="00CA6B05">
            <w:pPr>
              <w:pStyle w:val="Tabletext"/>
              <w:jc w:val="center"/>
              <w:rPr>
                <w:color w:val="000000"/>
              </w:rPr>
            </w:pPr>
            <w:r w:rsidRPr="00DC61B3">
              <w:rPr>
                <w:color w:val="000000"/>
              </w:rPr>
              <w:t>100</w:t>
            </w:r>
          </w:p>
        </w:tc>
        <w:tc>
          <w:tcPr>
            <w:tcW w:w="1474" w:type="dxa"/>
            <w:tcBorders>
              <w:top w:val="single" w:sz="6" w:space="0" w:color="auto"/>
              <w:left w:val="single" w:sz="6" w:space="0" w:color="auto"/>
              <w:bottom w:val="single" w:sz="6" w:space="0" w:color="auto"/>
              <w:right w:val="single" w:sz="6" w:space="0" w:color="auto"/>
            </w:tcBorders>
          </w:tcPr>
          <w:p w14:paraId="647EC112" w14:textId="77777777" w:rsidR="00CA6B05" w:rsidRPr="00DC61B3" w:rsidRDefault="00273BDD" w:rsidP="00CA6B05">
            <w:pPr>
              <w:pStyle w:val="Tabletext"/>
              <w:jc w:val="center"/>
              <w:rPr>
                <w:color w:val="000000"/>
              </w:rPr>
            </w:pPr>
            <w:r w:rsidRPr="00DC61B3">
              <w:rPr>
                <w:color w:val="000000"/>
              </w:rPr>
              <w:t>40</w:t>
            </w:r>
          </w:p>
        </w:tc>
        <w:tc>
          <w:tcPr>
            <w:tcW w:w="2721" w:type="dxa"/>
            <w:tcBorders>
              <w:top w:val="single" w:sz="6" w:space="0" w:color="auto"/>
              <w:left w:val="single" w:sz="6" w:space="0" w:color="auto"/>
              <w:bottom w:val="single" w:sz="6" w:space="0" w:color="auto"/>
              <w:right w:val="single" w:sz="6" w:space="0" w:color="auto"/>
            </w:tcBorders>
          </w:tcPr>
          <w:p w14:paraId="6DC1B9DC" w14:textId="77777777" w:rsidR="00CA6B05" w:rsidRPr="00DC61B3" w:rsidRDefault="00273BDD" w:rsidP="00CA6B05">
            <w:pPr>
              <w:pStyle w:val="Tabletext"/>
              <w:jc w:val="center"/>
              <w:rPr>
                <w:color w:val="000000"/>
              </w:rPr>
            </w:pPr>
            <w:r w:rsidRPr="00DC61B3">
              <w:rPr>
                <w:color w:val="000000"/>
              </w:rPr>
              <w:t>4°</w:t>
            </w:r>
            <w:r w:rsidRPr="00DC61B3">
              <w:rPr>
                <w:color w:val="000000"/>
              </w:rPr>
              <w:br/>
              <w:t>Recomendación</w:t>
            </w:r>
            <w:r w:rsidRPr="00DC61B3">
              <w:rPr>
                <w:color w:val="000000"/>
              </w:rPr>
              <w:br/>
              <w:t xml:space="preserve">UIT-R S.672-4, </w:t>
            </w:r>
            <w:r w:rsidRPr="00DC61B3">
              <w:rPr>
                <w:color w:val="000000"/>
              </w:rPr>
              <w:br/>
            </w:r>
            <w:r w:rsidRPr="00DC61B3">
              <w:rPr>
                <w:i/>
                <w:iCs/>
                <w:color w:val="000000"/>
              </w:rPr>
              <w:t>Ls</w:t>
            </w:r>
            <w:r w:rsidRPr="00DC61B3">
              <w:rPr>
                <w:color w:val="000000"/>
              </w:rPr>
              <w:t> = –20</w:t>
            </w:r>
          </w:p>
        </w:tc>
      </w:tr>
      <w:tr w:rsidR="00CA6B05" w:rsidRPr="00DC61B3" w14:paraId="69DD2242" w14:textId="77777777" w:rsidTr="00CA6B05">
        <w:tc>
          <w:tcPr>
            <w:tcW w:w="1473" w:type="dxa"/>
            <w:tcBorders>
              <w:top w:val="single" w:sz="6" w:space="0" w:color="auto"/>
              <w:left w:val="single" w:sz="6" w:space="0" w:color="auto"/>
              <w:bottom w:val="single" w:sz="6" w:space="0" w:color="auto"/>
              <w:right w:val="single" w:sz="6" w:space="0" w:color="auto"/>
            </w:tcBorders>
          </w:tcPr>
          <w:p w14:paraId="58DA8B21" w14:textId="11A08FC8" w:rsidR="005A02C1" w:rsidRPr="005A02C1" w:rsidRDefault="005A02C1" w:rsidP="005A02C1">
            <w:pPr>
              <w:pStyle w:val="Tabletext"/>
              <w:ind w:left="77"/>
              <w:rPr>
                <w:ins w:id="40" w:author="Spanish" w:date="2023-11-08T20:28:00Z"/>
              </w:rPr>
            </w:pPr>
            <w:ins w:id="41" w:author="Spanish" w:date="2023-11-08T20:28:00Z">
              <w:r w:rsidRPr="005A02C1">
                <w:t>17</w:t>
              </w:r>
              <w:r w:rsidRPr="00DC61B3">
                <w:t>,</w:t>
              </w:r>
              <w:r w:rsidRPr="005A02C1">
                <w:t>3-17</w:t>
              </w:r>
              <w:r w:rsidRPr="00DC61B3">
                <w:t>,</w:t>
              </w:r>
              <w:r w:rsidRPr="005A02C1">
                <w:t>7</w:t>
              </w:r>
            </w:ins>
          </w:p>
          <w:p w14:paraId="05D12722" w14:textId="77777777" w:rsidR="00CA6B05" w:rsidRPr="00DC61B3" w:rsidRDefault="00273BDD" w:rsidP="00CA6B05">
            <w:pPr>
              <w:pStyle w:val="Tabletext"/>
              <w:ind w:left="77"/>
            </w:pPr>
            <w:r w:rsidRPr="00DC61B3">
              <w:t>17,8-18,4</w:t>
            </w:r>
          </w:p>
        </w:tc>
        <w:tc>
          <w:tcPr>
            <w:tcW w:w="1446" w:type="dxa"/>
            <w:tcBorders>
              <w:top w:val="single" w:sz="6" w:space="0" w:color="auto"/>
              <w:left w:val="single" w:sz="6" w:space="0" w:color="auto"/>
              <w:bottom w:val="single" w:sz="6" w:space="0" w:color="auto"/>
              <w:right w:val="single" w:sz="6" w:space="0" w:color="auto"/>
            </w:tcBorders>
          </w:tcPr>
          <w:p w14:paraId="43D6FED8" w14:textId="77777777" w:rsidR="00CA6B05" w:rsidRPr="00DC61B3" w:rsidRDefault="00273BDD" w:rsidP="00CA6B05">
            <w:pPr>
              <w:pStyle w:val="Tabletext"/>
              <w:jc w:val="center"/>
              <w:rPr>
                <w:color w:val="000000"/>
              </w:rPr>
            </w:pPr>
            <w:r w:rsidRPr="00DC61B3">
              <w:rPr>
                <w:color w:val="000000"/>
              </w:rPr>
              <w:t>–160</w:t>
            </w:r>
          </w:p>
        </w:tc>
        <w:tc>
          <w:tcPr>
            <w:tcW w:w="2552" w:type="dxa"/>
            <w:tcBorders>
              <w:top w:val="single" w:sz="6" w:space="0" w:color="auto"/>
              <w:left w:val="single" w:sz="6" w:space="0" w:color="auto"/>
              <w:bottom w:val="single" w:sz="6" w:space="0" w:color="auto"/>
              <w:right w:val="single" w:sz="6" w:space="0" w:color="auto"/>
            </w:tcBorders>
          </w:tcPr>
          <w:p w14:paraId="29FB86DA" w14:textId="77777777" w:rsidR="00CA6B05" w:rsidRPr="00DC61B3" w:rsidRDefault="00273BDD" w:rsidP="00CA6B05">
            <w:pPr>
              <w:pStyle w:val="Tabletext"/>
              <w:jc w:val="center"/>
              <w:rPr>
                <w:color w:val="000000"/>
              </w:rPr>
            </w:pPr>
            <w:r w:rsidRPr="00DC61B3">
              <w:rPr>
                <w:color w:val="000000"/>
              </w:rPr>
              <w:t>100</w:t>
            </w:r>
          </w:p>
        </w:tc>
        <w:tc>
          <w:tcPr>
            <w:tcW w:w="1474" w:type="dxa"/>
            <w:tcBorders>
              <w:top w:val="single" w:sz="6" w:space="0" w:color="auto"/>
              <w:left w:val="single" w:sz="6" w:space="0" w:color="auto"/>
              <w:bottom w:val="single" w:sz="6" w:space="0" w:color="auto"/>
              <w:right w:val="single" w:sz="6" w:space="0" w:color="auto"/>
            </w:tcBorders>
          </w:tcPr>
          <w:p w14:paraId="31711FA1" w14:textId="77777777" w:rsidR="00CA6B05" w:rsidRPr="00DC61B3" w:rsidRDefault="00273BDD" w:rsidP="00CA6B05">
            <w:pPr>
              <w:pStyle w:val="Tabletext"/>
              <w:jc w:val="center"/>
              <w:rPr>
                <w:color w:val="000000"/>
              </w:rPr>
            </w:pPr>
            <w:r w:rsidRPr="00DC61B3">
              <w:rPr>
                <w:color w:val="000000"/>
              </w:rPr>
              <w:t>40</w:t>
            </w:r>
          </w:p>
        </w:tc>
        <w:tc>
          <w:tcPr>
            <w:tcW w:w="2721" w:type="dxa"/>
            <w:tcBorders>
              <w:top w:val="single" w:sz="6" w:space="0" w:color="auto"/>
              <w:left w:val="single" w:sz="6" w:space="0" w:color="auto"/>
              <w:bottom w:val="single" w:sz="6" w:space="0" w:color="auto"/>
              <w:right w:val="single" w:sz="6" w:space="0" w:color="auto"/>
            </w:tcBorders>
          </w:tcPr>
          <w:p w14:paraId="5BD7336F" w14:textId="77777777" w:rsidR="00CA6B05" w:rsidRPr="00DC61B3" w:rsidRDefault="00273BDD" w:rsidP="00CA6B05">
            <w:pPr>
              <w:pStyle w:val="Tabletext"/>
              <w:jc w:val="center"/>
              <w:rPr>
                <w:color w:val="000000"/>
              </w:rPr>
            </w:pPr>
            <w:r w:rsidRPr="00DC61B3">
              <w:rPr>
                <w:color w:val="000000"/>
              </w:rPr>
              <w:t>4°</w:t>
            </w:r>
            <w:r w:rsidRPr="00DC61B3">
              <w:rPr>
                <w:color w:val="000000"/>
              </w:rPr>
              <w:br/>
              <w:t>Recomendación</w:t>
            </w:r>
            <w:r w:rsidRPr="00DC61B3">
              <w:rPr>
                <w:color w:val="000000"/>
              </w:rPr>
              <w:br/>
              <w:t xml:space="preserve">UIT-R S.672-4, </w:t>
            </w:r>
            <w:r w:rsidRPr="00DC61B3">
              <w:rPr>
                <w:color w:val="000000"/>
              </w:rPr>
              <w:br/>
            </w:r>
            <w:r w:rsidRPr="00DC61B3">
              <w:rPr>
                <w:i/>
                <w:iCs/>
                <w:color w:val="000000"/>
              </w:rPr>
              <w:t>Ls</w:t>
            </w:r>
            <w:r w:rsidRPr="00DC61B3">
              <w:rPr>
                <w:color w:val="000000"/>
              </w:rPr>
              <w:t> = –20</w:t>
            </w:r>
          </w:p>
        </w:tc>
      </w:tr>
    </w:tbl>
    <w:p w14:paraId="63781E42" w14:textId="440A023E" w:rsidR="00B47676" w:rsidRPr="00DC61B3" w:rsidRDefault="00273BDD">
      <w:pPr>
        <w:pStyle w:val="Reasons"/>
      </w:pPr>
      <w:r w:rsidRPr="00DC61B3">
        <w:rPr>
          <w:b/>
        </w:rPr>
        <w:t>Motivos:</w:t>
      </w:r>
      <w:r w:rsidRPr="00DC61B3">
        <w:tab/>
      </w:r>
      <w:r w:rsidR="005A02C1" w:rsidRPr="00DC61B3">
        <w:t xml:space="preserve">Ampliar la aplicabilidad de los límites de dfpe del Cuadro </w:t>
      </w:r>
      <w:r w:rsidR="005A02C1" w:rsidRPr="00EB29BC">
        <w:rPr>
          <w:b/>
          <w:bCs/>
        </w:rPr>
        <w:t>22-3</w:t>
      </w:r>
      <w:r w:rsidR="005A02C1" w:rsidRPr="00DC61B3">
        <w:t xml:space="preserve"> del RR para garantizar la protección de las asignaciones de los sistemas receptores de satélites geoestacionarios con arreglo al Apéndice </w:t>
      </w:r>
      <w:r w:rsidR="005A02C1" w:rsidRPr="00EB29BC">
        <w:rPr>
          <w:b/>
          <w:bCs/>
        </w:rPr>
        <w:t>30A</w:t>
      </w:r>
      <w:r w:rsidR="005A02C1" w:rsidRPr="00DC61B3">
        <w:t xml:space="preserve"> del RR contra la interferencia causada por los sistemas de satélites no geoestacionarios del servicio fijo por satélite.</w:t>
      </w:r>
    </w:p>
    <w:p w14:paraId="122DB37B" w14:textId="77777777" w:rsidR="00B47676" w:rsidRPr="00DC61B3" w:rsidRDefault="00273BDD">
      <w:pPr>
        <w:pStyle w:val="Proposal"/>
      </w:pPr>
      <w:r w:rsidRPr="00DC61B3">
        <w:t>ADD</w:t>
      </w:r>
      <w:r w:rsidRPr="00DC61B3">
        <w:tab/>
        <w:t>EUR/65A19/8</w:t>
      </w:r>
    </w:p>
    <w:p w14:paraId="7E4B1F91" w14:textId="308DC67F" w:rsidR="00B47676" w:rsidRPr="00DC61B3" w:rsidRDefault="00273BDD">
      <w:r w:rsidRPr="00DC61B3">
        <w:rPr>
          <w:rStyle w:val="Artdef"/>
        </w:rPr>
        <w:t>22.5IA</w:t>
      </w:r>
      <w:r w:rsidRPr="00DC61B3">
        <w:tab/>
      </w:r>
      <w:r w:rsidR="005A02C1" w:rsidRPr="00DC61B3">
        <w:t>Se considerará que una administración que explote un sistema de satélites no geoestacionarios del servicio fijo por satélite</w:t>
      </w:r>
      <w:r w:rsidR="00DC61B3">
        <w:t xml:space="preserve"> en la banda de frecuencias </w:t>
      </w:r>
      <w:r w:rsidR="00DC61B3" w:rsidRPr="0000090A">
        <w:rPr>
          <w:lang w:val="es-ES"/>
        </w:rPr>
        <w:t>17</w:t>
      </w:r>
      <w:r w:rsidR="00972446" w:rsidRPr="0000090A">
        <w:rPr>
          <w:lang w:val="es-ES"/>
        </w:rPr>
        <w:t>,</w:t>
      </w:r>
      <w:r w:rsidR="00DC61B3" w:rsidRPr="0000090A">
        <w:rPr>
          <w:lang w:val="es-ES"/>
        </w:rPr>
        <w:t>3-17</w:t>
      </w:r>
      <w:r w:rsidR="00972446" w:rsidRPr="0000090A">
        <w:rPr>
          <w:lang w:val="es-ES"/>
        </w:rPr>
        <w:t>,</w:t>
      </w:r>
      <w:r w:rsidR="00DC61B3" w:rsidRPr="0000090A">
        <w:rPr>
          <w:lang w:val="es-ES"/>
        </w:rPr>
        <w:t xml:space="preserve">7 GHz utilizada en las Regiones 1 y 2 </w:t>
      </w:r>
      <w:r w:rsidR="005A02C1" w:rsidRPr="00DC61B3">
        <w:t xml:space="preserve">conforme a los límites indicados en los números </w:t>
      </w:r>
      <w:r w:rsidR="005A02C1" w:rsidRPr="002505F3">
        <w:rPr>
          <w:b/>
          <w:bCs/>
        </w:rPr>
        <w:t>22.5C</w:t>
      </w:r>
      <w:r w:rsidR="00DC61B3">
        <w:t xml:space="preserve"> </w:t>
      </w:r>
      <w:r w:rsidR="005A02C1" w:rsidRPr="00DC61B3">
        <w:t xml:space="preserve">y </w:t>
      </w:r>
      <w:r w:rsidR="005A02C1" w:rsidRPr="002505F3">
        <w:rPr>
          <w:b/>
          <w:bCs/>
        </w:rPr>
        <w:t>22.5F</w:t>
      </w:r>
      <w:r w:rsidR="005A02C1" w:rsidRPr="00DC61B3">
        <w:t xml:space="preserve"> ha cumplido sus obligaciones en virtud de</w:t>
      </w:r>
      <w:r w:rsidR="00DC61B3">
        <w:t xml:space="preserve"> </w:t>
      </w:r>
      <w:r w:rsidR="005A02C1" w:rsidRPr="00DC61B3">
        <w:t>l</w:t>
      </w:r>
      <w:r w:rsidR="00DC61B3">
        <w:t>os</w:t>
      </w:r>
      <w:r w:rsidR="005A02C1" w:rsidRPr="00DC61B3">
        <w:t xml:space="preserve"> número</w:t>
      </w:r>
      <w:r w:rsidR="00DC61B3">
        <w:t>s</w:t>
      </w:r>
      <w:r w:rsidR="005A02C1" w:rsidRPr="00DC61B3">
        <w:t xml:space="preserve"> </w:t>
      </w:r>
      <w:r w:rsidR="005A02C1" w:rsidRPr="002505F3">
        <w:rPr>
          <w:b/>
          <w:bCs/>
        </w:rPr>
        <w:t>22.2</w:t>
      </w:r>
      <w:r w:rsidR="005A02C1" w:rsidRPr="00DC61B3">
        <w:t xml:space="preserve"> </w:t>
      </w:r>
      <w:r w:rsidR="00DC61B3">
        <w:t xml:space="preserve">y </w:t>
      </w:r>
      <w:r w:rsidR="00DC61B3" w:rsidRPr="00DC61B3">
        <w:rPr>
          <w:b/>
          <w:bCs/>
        </w:rPr>
        <w:t>5.517</w:t>
      </w:r>
      <w:r w:rsidR="00DC61B3">
        <w:t xml:space="preserve"> </w:t>
      </w:r>
      <w:r w:rsidR="005A02C1" w:rsidRPr="00DC61B3">
        <w:t>con respecto de cualquier red de satélites geoestacionarios</w:t>
      </w:r>
      <w:r w:rsidR="00DC61B3">
        <w:t xml:space="preserve"> del servicio de radiodifusión por satélite</w:t>
      </w:r>
      <w:r w:rsidR="005A02C1" w:rsidRPr="00DC61B3">
        <w:t>,</w:t>
      </w:r>
      <w:r w:rsidR="00DC61B3">
        <w:t xml:space="preserve"> o cualquier estación espacial receptora del servicio fijo por satélite del Apéndice </w:t>
      </w:r>
      <w:r w:rsidR="00DC61B3" w:rsidRPr="002505F3">
        <w:rPr>
          <w:b/>
          <w:bCs/>
        </w:rPr>
        <w:t>30</w:t>
      </w:r>
      <w:r w:rsidR="002505F3" w:rsidRPr="002505F3">
        <w:rPr>
          <w:b/>
          <w:bCs/>
        </w:rPr>
        <w:t>A</w:t>
      </w:r>
      <w:r w:rsidR="00DC61B3">
        <w:t>, según proceda,</w:t>
      </w:r>
      <w:r w:rsidR="005A02C1" w:rsidRPr="00DC61B3">
        <w:t xml:space="preserve"> independientemente de las fechas en que la Oficina reciba la información de notificación o coordinación completa, según proceda, </w:t>
      </w:r>
      <w:r w:rsidR="005A02C1" w:rsidRPr="00DC61B3">
        <w:lastRenderedPageBreak/>
        <w:t xml:space="preserve">relativa al sistema de satélites no geoestacionarios y la red de satélites geoestacionarios, siempre que la dfpe↓ radiada por el sistema de satélites no geoestacionarios del servicio fijo por satélite en cualquier estación terrena </w:t>
      </w:r>
      <w:r w:rsidR="00DC61B3" w:rsidRPr="00DC61B3">
        <w:t>geoestacionari</w:t>
      </w:r>
      <w:r w:rsidR="00DC61B3">
        <w:t>a</w:t>
      </w:r>
      <w:r w:rsidR="00DC61B3" w:rsidRPr="00DC61B3">
        <w:t xml:space="preserve"> </w:t>
      </w:r>
      <w:r w:rsidR="005A02C1" w:rsidRPr="00DC61B3">
        <w:t xml:space="preserve">del servicio </w:t>
      </w:r>
      <w:r w:rsidR="00DC61B3">
        <w:t>de radiodifusión</w:t>
      </w:r>
      <w:r w:rsidR="005A02C1" w:rsidRPr="00DC61B3">
        <w:t xml:space="preserve"> por satélite en funcionamiento no rebase los límites </w:t>
      </w:r>
      <w:r w:rsidR="00972446">
        <w:t>operativos</w:t>
      </w:r>
      <w:r w:rsidR="005A02C1" w:rsidRPr="00DC61B3">
        <w:t xml:space="preserve"> indicados en </w:t>
      </w:r>
      <w:r w:rsidR="00972446">
        <w:t xml:space="preserve">el </w:t>
      </w:r>
      <w:r w:rsidR="005A02C1" w:rsidRPr="00DC61B3">
        <w:t xml:space="preserve">Cuadros </w:t>
      </w:r>
      <w:r w:rsidR="005A02C1" w:rsidRPr="00814E24">
        <w:rPr>
          <w:b/>
          <w:bCs/>
        </w:rPr>
        <w:t>22-4B</w:t>
      </w:r>
      <w:r w:rsidR="005A02C1" w:rsidRPr="00DC61B3">
        <w:t xml:space="preserve">, cuando la ganancia de la estación terrena </w:t>
      </w:r>
      <w:r w:rsidR="00972446">
        <w:t>sea</w:t>
      </w:r>
      <w:r w:rsidR="005A02C1" w:rsidRPr="00DC61B3">
        <w:t xml:space="preserve"> igual o superior a los valores del Cuadro </w:t>
      </w:r>
      <w:r w:rsidR="005A02C1" w:rsidRPr="00814E24">
        <w:rPr>
          <w:b/>
          <w:bCs/>
        </w:rPr>
        <w:t>22-4B</w:t>
      </w:r>
      <w:r w:rsidR="005A02C1" w:rsidRPr="00DC61B3">
        <w:t xml:space="preserve"> para la inclinación orbital correspondiente del satélite del servicio fijo por satélite geoestacionario.</w:t>
      </w:r>
      <w:r w:rsidR="00DC61B3" w:rsidRPr="00DC61B3">
        <w:t xml:space="preserve"> A menos que se acuerde otra cosa entre las administraciones concernidas, se considerará que una administración que explote un sistema de satélites no geoestacionarios del servicio fijo por satélite </w:t>
      </w:r>
      <w:r w:rsidR="00972446">
        <w:t xml:space="preserve">en la banda de frecuencias </w:t>
      </w:r>
      <w:r w:rsidR="00972446" w:rsidRPr="0000090A">
        <w:rPr>
          <w:lang w:val="es-ES"/>
        </w:rPr>
        <w:t>17,3-17,7</w:t>
      </w:r>
      <w:r w:rsidR="00814E24">
        <w:rPr>
          <w:lang w:val="es-ES"/>
        </w:rPr>
        <w:t> </w:t>
      </w:r>
      <w:r w:rsidR="00972446" w:rsidRPr="0000090A">
        <w:rPr>
          <w:lang w:val="es-ES"/>
        </w:rPr>
        <w:t xml:space="preserve">GHz utilizada en las Regiones 1 y 2 </w:t>
      </w:r>
      <w:r w:rsidR="00DC61B3" w:rsidRPr="00DC61B3">
        <w:t xml:space="preserve">conforme a los límites indicados en los números </w:t>
      </w:r>
      <w:r w:rsidR="00DC61B3" w:rsidRPr="00814E24">
        <w:rPr>
          <w:b/>
          <w:bCs/>
        </w:rPr>
        <w:t xml:space="preserve">22.5C </w:t>
      </w:r>
      <w:r w:rsidR="00DC61B3" w:rsidRPr="00DC61B3">
        <w:t xml:space="preserve">y </w:t>
      </w:r>
      <w:r w:rsidR="00DC61B3" w:rsidRPr="00814E24">
        <w:rPr>
          <w:b/>
          <w:bCs/>
        </w:rPr>
        <w:t>22.5F</w:t>
      </w:r>
      <w:r w:rsidR="00DC61B3" w:rsidRPr="00DC61B3">
        <w:t xml:space="preserve"> </w:t>
      </w:r>
      <w:r w:rsidR="00DB44C6">
        <w:t xml:space="preserve">y </w:t>
      </w:r>
      <w:r w:rsidR="00DC61B3" w:rsidRPr="00DC61B3">
        <w:t xml:space="preserve">que radia </w:t>
      </w:r>
      <w:r w:rsidR="00DB44C6">
        <w:t xml:space="preserve">con </w:t>
      </w:r>
      <w:r w:rsidR="00DC61B3" w:rsidRPr="00DC61B3">
        <w:t xml:space="preserve">una dfpe↓ </w:t>
      </w:r>
      <w:r w:rsidR="00DB44C6">
        <w:t>a</w:t>
      </w:r>
      <w:r w:rsidR="00DC61B3" w:rsidRPr="00DC61B3">
        <w:t xml:space="preserve"> una estación terrena </w:t>
      </w:r>
      <w:r w:rsidR="00972446" w:rsidRPr="00DC61B3">
        <w:t>geoestacionari</w:t>
      </w:r>
      <w:r w:rsidR="00972446">
        <w:t>a</w:t>
      </w:r>
      <w:r w:rsidR="00972446" w:rsidRPr="00DC61B3">
        <w:t xml:space="preserve"> </w:t>
      </w:r>
      <w:r w:rsidR="00DC61B3" w:rsidRPr="00DC61B3">
        <w:t xml:space="preserve">del servicio </w:t>
      </w:r>
      <w:r w:rsidR="00972446">
        <w:t>de radiodifusión</w:t>
      </w:r>
      <w:r w:rsidR="00DC61B3" w:rsidRPr="00DC61B3">
        <w:t xml:space="preserve"> por satélite en </w:t>
      </w:r>
      <w:r w:rsidR="00972446">
        <w:t>funcionamiento</w:t>
      </w:r>
      <w:r w:rsidR="00DC61B3" w:rsidRPr="00DC61B3">
        <w:t xml:space="preserve"> a niveles que rebasan los límites </w:t>
      </w:r>
      <w:r w:rsidR="00972446">
        <w:t>operativos</w:t>
      </w:r>
      <w:r w:rsidR="00DC61B3" w:rsidRPr="00DC61B3">
        <w:t xml:space="preserve"> del Cuadros </w:t>
      </w:r>
      <w:r w:rsidR="00DC61B3" w:rsidRPr="00814E24">
        <w:rPr>
          <w:b/>
          <w:bCs/>
        </w:rPr>
        <w:t>22-4B</w:t>
      </w:r>
      <w:r w:rsidR="00DC61B3" w:rsidRPr="00DC61B3">
        <w:t>, ha quebrantado sus obligaciones en virtud de</w:t>
      </w:r>
      <w:r w:rsidR="00972446">
        <w:t xml:space="preserve"> </w:t>
      </w:r>
      <w:r w:rsidR="00DC61B3" w:rsidRPr="00DC61B3">
        <w:t>l</w:t>
      </w:r>
      <w:r w:rsidR="00972446">
        <w:t>os</w:t>
      </w:r>
      <w:r w:rsidR="00DC61B3" w:rsidRPr="00DC61B3">
        <w:t xml:space="preserve"> número</w:t>
      </w:r>
      <w:r w:rsidR="00972446">
        <w:t>s</w:t>
      </w:r>
      <w:r w:rsidR="00DC61B3" w:rsidRPr="00DC61B3">
        <w:t xml:space="preserve"> </w:t>
      </w:r>
      <w:r w:rsidR="00DC61B3" w:rsidRPr="00DB44C6">
        <w:rPr>
          <w:b/>
          <w:bCs/>
        </w:rPr>
        <w:t>22.2</w:t>
      </w:r>
      <w:r w:rsidR="00972446">
        <w:t xml:space="preserve"> y </w:t>
      </w:r>
      <w:r w:rsidR="00972446" w:rsidRPr="00972446">
        <w:rPr>
          <w:b/>
          <w:bCs/>
        </w:rPr>
        <w:t>5.517</w:t>
      </w:r>
      <w:r w:rsidR="00DC61B3" w:rsidRPr="00DC61B3">
        <w:t xml:space="preserve">, cuando la ganancia de la estación terrena </w:t>
      </w:r>
      <w:r w:rsidR="00972446">
        <w:t>sea</w:t>
      </w:r>
      <w:r w:rsidR="00DC61B3" w:rsidRPr="00DC61B3">
        <w:t xml:space="preserve"> igual o superior a los valores indicados en el Cuadro </w:t>
      </w:r>
      <w:r w:rsidR="00DC61B3" w:rsidRPr="00DB44C6">
        <w:rPr>
          <w:b/>
          <w:bCs/>
        </w:rPr>
        <w:t>22-4B</w:t>
      </w:r>
      <w:r w:rsidR="00DC61B3" w:rsidRPr="00DC61B3">
        <w:t xml:space="preserve"> para la inclinación orbital correspondiente del satélite </w:t>
      </w:r>
      <w:r w:rsidR="00972446" w:rsidRPr="00DC61B3">
        <w:t xml:space="preserve">geoestacionario </w:t>
      </w:r>
      <w:r w:rsidR="00DC61B3" w:rsidRPr="00DC61B3">
        <w:t xml:space="preserve">del servicio </w:t>
      </w:r>
      <w:r w:rsidR="00972446">
        <w:t>de radiodifusión</w:t>
      </w:r>
      <w:r w:rsidR="00DC61B3" w:rsidRPr="00DC61B3">
        <w:t xml:space="preserve"> por satélite, y se aplicarán las disposiciones del Artículo </w:t>
      </w:r>
      <w:r w:rsidR="00DC61B3" w:rsidRPr="00814E24">
        <w:rPr>
          <w:b/>
          <w:bCs/>
        </w:rPr>
        <w:t>15</w:t>
      </w:r>
      <w:r w:rsidR="00DC61B3" w:rsidRPr="00DC61B3">
        <w:t xml:space="preserve"> (Sección V).</w:t>
      </w:r>
      <w:r w:rsidR="00DB44C6">
        <w:t xml:space="preserve"> </w:t>
      </w:r>
      <w:r w:rsidR="00DB44C6" w:rsidRPr="00DB44C6">
        <w:t>Asimismo, se alienta a las administraciones a utilizar las Recomendaciones UIT-R pertinentes para determinar si se ha incurrido en tal infracción</w:t>
      </w:r>
      <w:r w:rsidR="00DB44C6" w:rsidRPr="008C002E">
        <w:rPr>
          <w:rFonts w:ascii="TimesNewRomanPSMT" w:hAnsi="TimesNewRomanPSMT" w:cs="TimesNewRomanPSMT"/>
          <w:szCs w:val="24"/>
          <w:lang w:eastAsia="zh-CN"/>
        </w:rPr>
        <w:t>.</w:t>
      </w:r>
      <w:r w:rsidR="00DB44C6" w:rsidRPr="00590171">
        <w:rPr>
          <w:sz w:val="16"/>
          <w:szCs w:val="14"/>
        </w:rPr>
        <w:t>     </w:t>
      </w:r>
      <w:r w:rsidR="00DB44C6" w:rsidRPr="008C002E">
        <w:rPr>
          <w:sz w:val="16"/>
          <w:szCs w:val="14"/>
        </w:rPr>
        <w:t>(C</w:t>
      </w:r>
      <w:r w:rsidR="00DB44C6">
        <w:rPr>
          <w:sz w:val="16"/>
          <w:szCs w:val="14"/>
        </w:rPr>
        <w:t>MR</w:t>
      </w:r>
      <w:r w:rsidR="00DB44C6" w:rsidRPr="008C002E">
        <w:rPr>
          <w:sz w:val="16"/>
          <w:szCs w:val="14"/>
        </w:rPr>
        <w:t>-23)</w:t>
      </w:r>
      <w:r w:rsidR="005A02C1" w:rsidRPr="00DC61B3">
        <w:tab/>
      </w:r>
    </w:p>
    <w:p w14:paraId="2306EC1F" w14:textId="5CEEE947" w:rsidR="00B47676" w:rsidRPr="00DC61B3" w:rsidRDefault="00273BDD">
      <w:pPr>
        <w:pStyle w:val="Reasons"/>
      </w:pPr>
      <w:r w:rsidRPr="00DC61B3">
        <w:rPr>
          <w:b/>
        </w:rPr>
        <w:t>Motivos:</w:t>
      </w:r>
      <w:r w:rsidRPr="00DC61B3">
        <w:tab/>
      </w:r>
      <w:r w:rsidR="005A02C1" w:rsidRPr="00DC61B3">
        <w:t xml:space="preserve">Ampliar la aplicabilidad del número </w:t>
      </w:r>
      <w:r w:rsidR="005A02C1" w:rsidRPr="00814E24">
        <w:rPr>
          <w:b/>
          <w:bCs/>
        </w:rPr>
        <w:t>22.5I</w:t>
      </w:r>
      <w:r w:rsidR="005A02C1" w:rsidRPr="00DC61B3">
        <w:t xml:space="preserve"> del RR a los sistemas de satélites no geoestacionarios del servicio fijo por satélite en la banda de frecuencias 17,3-17,7 GHz utilizada en las Regiones 1 y 2 y evitar la aplicación de los números </w:t>
      </w:r>
      <w:r w:rsidR="005A02C1" w:rsidRPr="00814E24">
        <w:rPr>
          <w:b/>
          <w:bCs/>
        </w:rPr>
        <w:t>22.2</w:t>
      </w:r>
      <w:r w:rsidR="005A02C1" w:rsidRPr="00DC61B3">
        <w:t xml:space="preserve"> y </w:t>
      </w:r>
      <w:r w:rsidR="005A02C1" w:rsidRPr="00814E24">
        <w:rPr>
          <w:b/>
          <w:bCs/>
        </w:rPr>
        <w:t>5.517</w:t>
      </w:r>
      <w:r w:rsidR="005A02C1" w:rsidRPr="00DC61B3">
        <w:t xml:space="preserve"> del RR, además del cumplimiento de los límites de </w:t>
      </w:r>
      <w:r w:rsidR="00972446">
        <w:t xml:space="preserve">la </w:t>
      </w:r>
      <w:r w:rsidR="005A02C1" w:rsidRPr="00DC61B3">
        <w:t>dfpe.</w:t>
      </w:r>
    </w:p>
    <w:p w14:paraId="5B9D3135" w14:textId="77777777" w:rsidR="00B47676" w:rsidRPr="00DC61B3" w:rsidRDefault="00273BDD">
      <w:pPr>
        <w:pStyle w:val="Proposal"/>
      </w:pPr>
      <w:r w:rsidRPr="00DC61B3">
        <w:t>MOD</w:t>
      </w:r>
      <w:r w:rsidRPr="00DC61B3">
        <w:tab/>
        <w:t>EUR/65A19/9</w:t>
      </w:r>
      <w:r w:rsidRPr="00DC61B3">
        <w:rPr>
          <w:vanish/>
          <w:color w:val="7F7F7F" w:themeColor="text1" w:themeTint="80"/>
          <w:vertAlign w:val="superscript"/>
        </w:rPr>
        <w:t>#1933</w:t>
      </w:r>
    </w:p>
    <w:p w14:paraId="3875B730" w14:textId="77777777" w:rsidR="007704DB" w:rsidRPr="00DC61B3" w:rsidRDefault="00273BDD" w:rsidP="00D210C4">
      <w:pPr>
        <w:pStyle w:val="TableNo"/>
      </w:pPr>
      <w:r w:rsidRPr="00DC61B3">
        <w:t xml:space="preserve">CUADRO  </w:t>
      </w:r>
      <w:r w:rsidRPr="00DC61B3">
        <w:rPr>
          <w:b/>
          <w:bCs/>
        </w:rPr>
        <w:t>22-4B</w:t>
      </w:r>
      <w:r w:rsidRPr="00DC61B3">
        <w:t>     </w:t>
      </w:r>
      <w:r w:rsidRPr="00DC61B3">
        <w:rPr>
          <w:sz w:val="16"/>
          <w:szCs w:val="16"/>
        </w:rPr>
        <w:t>(CMR</w:t>
      </w:r>
      <w:r w:rsidRPr="00DC61B3">
        <w:rPr>
          <w:sz w:val="16"/>
          <w:szCs w:val="16"/>
        </w:rPr>
        <w:noBreakHyphen/>
      </w:r>
      <w:r w:rsidRPr="00DC61B3">
        <w:rPr>
          <w:caps w:val="0"/>
          <w:sz w:val="16"/>
          <w:szCs w:val="16"/>
        </w:rPr>
        <w:t>20</w:t>
      </w:r>
      <w:del w:id="42" w:author="Spanish" w:date="2023-04-05T18:46:00Z">
        <w:r w:rsidRPr="00DC61B3" w:rsidDel="00EE0DFF">
          <w:rPr>
            <w:caps w:val="0"/>
            <w:sz w:val="16"/>
            <w:szCs w:val="16"/>
          </w:rPr>
          <w:delText>00</w:delText>
        </w:r>
      </w:del>
      <w:ins w:id="43" w:author="Spanish" w:date="2023-03-31T23:02:00Z">
        <w:r w:rsidRPr="00DC61B3">
          <w:rPr>
            <w:caps w:val="0"/>
            <w:sz w:val="16"/>
            <w:szCs w:val="16"/>
          </w:rPr>
          <w:t>23</w:t>
        </w:r>
      </w:ins>
      <w:r w:rsidRPr="00DC61B3">
        <w:rPr>
          <w:sz w:val="16"/>
          <w:szCs w:val="16"/>
        </w:rPr>
        <w:t>)</w:t>
      </w:r>
    </w:p>
    <w:p w14:paraId="17018CB9" w14:textId="77777777" w:rsidR="007704DB" w:rsidRPr="00DC61B3" w:rsidRDefault="00273BDD" w:rsidP="00D210C4">
      <w:pPr>
        <w:pStyle w:val="Tabletitle"/>
        <w:keepLines w:val="0"/>
        <w:rPr>
          <w:rStyle w:val="FootnoteReference"/>
        </w:rPr>
      </w:pPr>
      <w:r w:rsidRPr="00DC61B3">
        <w:t>Límites operacionales para la dfpe</w:t>
      </w:r>
      <w:r w:rsidRPr="00DC61B3">
        <w:rPr>
          <w:b w:val="0"/>
          <w:sz w:val="18"/>
          <w:szCs w:val="18"/>
        </w:rPr>
        <w:sym w:font="Symbol" w:char="F0AF"/>
      </w:r>
      <w:r w:rsidRPr="00DC61B3">
        <w:t xml:space="preserve"> radiada por los sistemas de satélites no geoestacionarios del servicio fijo por satélite en algunas bandas de frecuencias</w:t>
      </w:r>
      <w:r w:rsidRPr="00DC61B3">
        <w:rPr>
          <w:rStyle w:val="FootnoteReference"/>
          <w:rFonts w:ascii="Times New Roman" w:hAnsi="Times New Roman"/>
          <w:b w:val="0"/>
          <w:bCs/>
        </w:rPr>
        <w:t>21,</w:t>
      </w:r>
      <w:r w:rsidRPr="00DC61B3">
        <w:rPr>
          <w:rFonts w:ascii="Times New Roman" w:hAnsi="Times New Roman"/>
          <w:b w:val="0"/>
          <w:bCs/>
          <w:vertAlign w:val="superscript"/>
        </w:rPr>
        <w:t xml:space="preserve"> </w:t>
      </w:r>
      <w:r w:rsidRPr="00DC61B3">
        <w:rPr>
          <w:rStyle w:val="FootnoteReference"/>
          <w:rFonts w:ascii="Times New Roman" w:hAnsi="Times New Roman"/>
          <w:b w:val="0"/>
          <w:bCs/>
        </w:rPr>
        <w:t>25</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83"/>
        <w:gridCol w:w="1655"/>
        <w:gridCol w:w="1065"/>
        <w:gridCol w:w="2246"/>
        <w:gridCol w:w="1597"/>
      </w:tblGrid>
      <w:tr w:rsidR="007704DB" w:rsidRPr="00DC61B3" w14:paraId="6F44319D" w14:textId="77777777" w:rsidTr="00D210C4">
        <w:trPr>
          <w:cantSplit/>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31805858" w14:textId="77777777" w:rsidR="007704DB" w:rsidRPr="00DC61B3" w:rsidRDefault="00273BDD" w:rsidP="00D210C4">
            <w:pPr>
              <w:pStyle w:val="Tablehead"/>
            </w:pPr>
            <w:r w:rsidRPr="00DC61B3">
              <w:t>Banda de frecuencias</w:t>
            </w:r>
            <w:r w:rsidRPr="00DC61B3">
              <w:br/>
              <w:t>(GHz)</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3C9F838" w14:textId="77777777" w:rsidR="007704DB" w:rsidRPr="00DC61B3" w:rsidRDefault="00273BDD" w:rsidP="00D210C4">
            <w:pPr>
              <w:pStyle w:val="Tablehead"/>
              <w:ind w:left="-57" w:right="-57"/>
            </w:pPr>
            <w:r w:rsidRPr="00DC61B3">
              <w:t>dfpe</w:t>
            </w:r>
            <w:r w:rsidRPr="00DC61B3">
              <w:rPr>
                <w:b w:val="0"/>
                <w:sz w:val="18"/>
                <w:szCs w:val="18"/>
              </w:rPr>
              <w:sym w:font="Symbol" w:char="F0AF"/>
            </w:r>
            <w:r w:rsidRPr="00DC61B3">
              <w:br/>
              <w:t>(dB(W/m</w:t>
            </w:r>
            <w:r w:rsidRPr="00DC61B3">
              <w:rPr>
                <w:vertAlign w:val="superscript"/>
              </w:rPr>
              <w:t>2</w:t>
            </w:r>
            <w:r w:rsidRPr="00DC61B3">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644446D" w14:textId="77777777" w:rsidR="007704DB" w:rsidRPr="00DC61B3" w:rsidRDefault="00273BDD" w:rsidP="00D210C4">
            <w:pPr>
              <w:pStyle w:val="Tablehead"/>
            </w:pPr>
            <w:r w:rsidRPr="00DC61B3">
              <w:t>Porcentaje de tiempo durante el cual la dfpe</w:t>
            </w:r>
            <w:r w:rsidRPr="00DC61B3">
              <w:rPr>
                <w:b w:val="0"/>
                <w:sz w:val="18"/>
                <w:szCs w:val="18"/>
              </w:rPr>
              <w:sym w:font="Symbol" w:char="F0AF"/>
            </w:r>
            <w:r w:rsidRPr="00DC61B3">
              <w:t xml:space="preserve"> no </w:t>
            </w:r>
            <w:del w:id="44" w:author="Spanish83" w:date="2023-04-21T14:25:00Z">
              <w:r w:rsidRPr="00DC61B3" w:rsidDel="00DB745B">
                <w:delText>se puede exceder</w:delText>
              </w:r>
            </w:del>
            <w:ins w:id="45" w:author="Spanish83" w:date="2023-04-21T14:25:00Z">
              <w:r w:rsidRPr="00DC61B3">
                <w:t>debe rebasarse</w:t>
              </w:r>
            </w:ins>
          </w:p>
        </w:tc>
        <w:tc>
          <w:tcPr>
            <w:tcW w:w="1065" w:type="dxa"/>
            <w:tcBorders>
              <w:top w:val="single" w:sz="4" w:space="0" w:color="auto"/>
              <w:left w:val="single" w:sz="4" w:space="0" w:color="auto"/>
              <w:bottom w:val="single" w:sz="4" w:space="0" w:color="auto"/>
              <w:right w:val="single" w:sz="4" w:space="0" w:color="auto"/>
            </w:tcBorders>
            <w:vAlign w:val="center"/>
            <w:hideMark/>
          </w:tcPr>
          <w:p w14:paraId="5401D965" w14:textId="77777777" w:rsidR="007704DB" w:rsidRPr="00DC61B3" w:rsidRDefault="00273BDD" w:rsidP="00D210C4">
            <w:pPr>
              <w:pStyle w:val="Tablehead"/>
              <w:ind w:left="-57" w:right="-57"/>
            </w:pPr>
            <w:r w:rsidRPr="00DC61B3">
              <w:t>Anch</w:t>
            </w:r>
            <w:del w:id="46" w:author="Spanish83" w:date="2023-04-21T14:25:00Z">
              <w:r w:rsidRPr="00DC61B3" w:rsidDel="00DB745B">
                <w:delText>ura</w:delText>
              </w:r>
            </w:del>
            <w:ins w:id="47" w:author="Spanish83" w:date="2023-04-21T14:25:00Z">
              <w:r w:rsidRPr="00DC61B3">
                <w:t>o</w:t>
              </w:r>
            </w:ins>
            <w:r w:rsidRPr="00DC61B3">
              <w:t xml:space="preserve"> de banda de referencia</w:t>
            </w:r>
            <w:r w:rsidRPr="00DC61B3">
              <w:br/>
              <w:t>(kHz)</w:t>
            </w:r>
          </w:p>
        </w:tc>
        <w:tc>
          <w:tcPr>
            <w:tcW w:w="2246" w:type="dxa"/>
            <w:tcBorders>
              <w:top w:val="single" w:sz="4" w:space="0" w:color="auto"/>
              <w:left w:val="single" w:sz="4" w:space="0" w:color="auto"/>
              <w:bottom w:val="single" w:sz="4" w:space="0" w:color="auto"/>
              <w:right w:val="single" w:sz="4" w:space="0" w:color="auto"/>
            </w:tcBorders>
            <w:vAlign w:val="center"/>
            <w:hideMark/>
          </w:tcPr>
          <w:p w14:paraId="65FDE2B0" w14:textId="77777777" w:rsidR="007704DB" w:rsidRPr="00DC61B3" w:rsidRDefault="00273BDD" w:rsidP="00D210C4">
            <w:pPr>
              <w:pStyle w:val="Tablehead"/>
            </w:pPr>
            <w:r w:rsidRPr="00DC61B3">
              <w:t xml:space="preserve">Ganancia de </w:t>
            </w:r>
            <w:del w:id="48" w:author="Spanish83" w:date="2023-04-21T14:24:00Z">
              <w:r w:rsidRPr="00DC61B3" w:rsidDel="001A5852">
                <w:delText xml:space="preserve">la </w:delText>
              </w:r>
            </w:del>
            <w:r w:rsidRPr="00DC61B3">
              <w:t>antena de la estación terrena receptora del sistema de satélites geoestacionarios</w:t>
            </w:r>
            <w:r w:rsidRPr="00DC61B3">
              <w:br/>
              <w:t>(dBi)</w:t>
            </w:r>
          </w:p>
        </w:tc>
        <w:tc>
          <w:tcPr>
            <w:tcW w:w="1597" w:type="dxa"/>
            <w:tcBorders>
              <w:top w:val="single" w:sz="4" w:space="0" w:color="auto"/>
              <w:left w:val="single" w:sz="4" w:space="0" w:color="auto"/>
              <w:bottom w:val="single" w:sz="4" w:space="0" w:color="auto"/>
              <w:right w:val="single" w:sz="4" w:space="0" w:color="auto"/>
            </w:tcBorders>
            <w:vAlign w:val="center"/>
            <w:hideMark/>
          </w:tcPr>
          <w:p w14:paraId="57EE6276" w14:textId="77777777" w:rsidR="007704DB" w:rsidRPr="00DC61B3" w:rsidRDefault="00273BDD" w:rsidP="00D210C4">
            <w:pPr>
              <w:pStyle w:val="Tablehead"/>
            </w:pPr>
            <w:r w:rsidRPr="00DC61B3">
              <w:t>Inclinación orbital del satélite geoestacionario</w:t>
            </w:r>
            <w:r w:rsidRPr="00DC61B3">
              <w:br/>
              <w:t>(grados)</w:t>
            </w:r>
          </w:p>
        </w:tc>
      </w:tr>
      <w:tr w:rsidR="007704DB" w:rsidRPr="00DC61B3" w14:paraId="2BDC972D" w14:textId="77777777" w:rsidTr="00D210C4">
        <w:trPr>
          <w:cantSplit/>
          <w:jc w:val="center"/>
        </w:trPr>
        <w:tc>
          <w:tcPr>
            <w:tcW w:w="1890" w:type="dxa"/>
            <w:tcBorders>
              <w:top w:val="single" w:sz="4" w:space="0" w:color="auto"/>
              <w:left w:val="single" w:sz="4" w:space="0" w:color="auto"/>
              <w:right w:val="single" w:sz="4" w:space="0" w:color="auto"/>
            </w:tcBorders>
            <w:hideMark/>
          </w:tcPr>
          <w:p w14:paraId="263051B1" w14:textId="77777777" w:rsidR="007704DB" w:rsidRPr="00DC61B3" w:rsidRDefault="00273BDD" w:rsidP="00D210C4">
            <w:pPr>
              <w:pStyle w:val="Tabletext"/>
            </w:pPr>
            <w:r w:rsidRPr="00DC61B3">
              <w:t>19,7-20,2</w:t>
            </w:r>
          </w:p>
        </w:tc>
        <w:tc>
          <w:tcPr>
            <w:tcW w:w="1183" w:type="dxa"/>
            <w:tcBorders>
              <w:top w:val="single" w:sz="4" w:space="0" w:color="auto"/>
              <w:left w:val="single" w:sz="4" w:space="0" w:color="auto"/>
              <w:right w:val="single" w:sz="4" w:space="0" w:color="auto"/>
            </w:tcBorders>
            <w:hideMark/>
          </w:tcPr>
          <w:p w14:paraId="26BABE4E" w14:textId="77777777" w:rsidR="007704DB" w:rsidRPr="00DC61B3" w:rsidRDefault="00273BDD" w:rsidP="00D210C4">
            <w:pPr>
              <w:pStyle w:val="Tabletext"/>
              <w:jc w:val="center"/>
            </w:pPr>
            <w:r w:rsidRPr="00DC61B3">
              <w:t>−157</w:t>
            </w:r>
          </w:p>
          <w:p w14:paraId="6523895B" w14:textId="77777777" w:rsidR="007704DB" w:rsidRPr="00DC61B3" w:rsidRDefault="00273BDD" w:rsidP="00D210C4">
            <w:pPr>
              <w:pStyle w:val="Tabletext"/>
              <w:jc w:val="center"/>
            </w:pPr>
            <w:r w:rsidRPr="00DC61B3">
              <w:t>−157</w:t>
            </w:r>
          </w:p>
          <w:p w14:paraId="1F594BCA" w14:textId="77777777" w:rsidR="007704DB" w:rsidRPr="00DC61B3" w:rsidRDefault="00273BDD" w:rsidP="00D210C4">
            <w:pPr>
              <w:pStyle w:val="Tabletext"/>
              <w:jc w:val="center"/>
            </w:pPr>
            <w:r w:rsidRPr="00DC61B3">
              <w:t>−155</w:t>
            </w:r>
          </w:p>
        </w:tc>
        <w:tc>
          <w:tcPr>
            <w:tcW w:w="1655" w:type="dxa"/>
            <w:tcBorders>
              <w:top w:val="single" w:sz="4" w:space="0" w:color="auto"/>
              <w:left w:val="single" w:sz="4" w:space="0" w:color="auto"/>
              <w:right w:val="single" w:sz="4" w:space="0" w:color="auto"/>
            </w:tcBorders>
            <w:hideMark/>
          </w:tcPr>
          <w:p w14:paraId="3FBD5528" w14:textId="77777777" w:rsidR="007704DB" w:rsidRPr="00DC61B3" w:rsidRDefault="00273BDD" w:rsidP="00D210C4">
            <w:pPr>
              <w:pStyle w:val="Tabletext"/>
              <w:jc w:val="center"/>
            </w:pPr>
            <w:r w:rsidRPr="00DC61B3">
              <w:t>100</w:t>
            </w:r>
          </w:p>
          <w:p w14:paraId="5D78B207" w14:textId="77777777" w:rsidR="007704DB" w:rsidRPr="00DC61B3" w:rsidRDefault="00273BDD" w:rsidP="00D210C4">
            <w:pPr>
              <w:pStyle w:val="Tabletext"/>
              <w:jc w:val="center"/>
            </w:pPr>
            <w:r w:rsidRPr="00DC61B3">
              <w:t>100</w:t>
            </w:r>
          </w:p>
          <w:p w14:paraId="7A528FDB" w14:textId="77777777" w:rsidR="007704DB" w:rsidRPr="00DC61B3" w:rsidRDefault="00273BDD" w:rsidP="00D210C4">
            <w:pPr>
              <w:pStyle w:val="Tabletext"/>
              <w:jc w:val="center"/>
            </w:pPr>
            <w:r w:rsidRPr="00DC61B3">
              <w:t>100</w:t>
            </w:r>
          </w:p>
        </w:tc>
        <w:tc>
          <w:tcPr>
            <w:tcW w:w="1065" w:type="dxa"/>
            <w:tcBorders>
              <w:top w:val="single" w:sz="4" w:space="0" w:color="auto"/>
              <w:left w:val="single" w:sz="4" w:space="0" w:color="auto"/>
              <w:right w:val="single" w:sz="4" w:space="0" w:color="auto"/>
            </w:tcBorders>
            <w:hideMark/>
          </w:tcPr>
          <w:p w14:paraId="4C65B22E" w14:textId="77777777" w:rsidR="007704DB" w:rsidRPr="00DC61B3" w:rsidRDefault="00273BDD" w:rsidP="00D210C4">
            <w:pPr>
              <w:pStyle w:val="Tabletext"/>
              <w:tabs>
                <w:tab w:val="clear" w:pos="284"/>
                <w:tab w:val="clear" w:pos="567"/>
                <w:tab w:val="clear" w:pos="851"/>
                <w:tab w:val="right" w:pos="730"/>
              </w:tabs>
            </w:pPr>
            <w:r w:rsidRPr="00DC61B3">
              <w:tab/>
              <w:t>40</w:t>
            </w:r>
          </w:p>
          <w:p w14:paraId="74715EA8" w14:textId="77777777" w:rsidR="007704DB" w:rsidRPr="00DC61B3" w:rsidRDefault="00273BDD" w:rsidP="00D210C4">
            <w:pPr>
              <w:pStyle w:val="Tabletext"/>
              <w:tabs>
                <w:tab w:val="clear" w:pos="284"/>
                <w:tab w:val="clear" w:pos="567"/>
                <w:tab w:val="clear" w:pos="851"/>
                <w:tab w:val="right" w:pos="730"/>
              </w:tabs>
            </w:pPr>
            <w:r w:rsidRPr="00DC61B3">
              <w:tab/>
              <w:t>40</w:t>
            </w:r>
          </w:p>
          <w:p w14:paraId="3C494BF7" w14:textId="77777777" w:rsidR="007704DB" w:rsidRPr="00DC61B3" w:rsidRDefault="00273BDD" w:rsidP="00D210C4">
            <w:pPr>
              <w:pStyle w:val="Tabletext"/>
              <w:tabs>
                <w:tab w:val="clear" w:pos="284"/>
                <w:tab w:val="clear" w:pos="567"/>
                <w:tab w:val="clear" w:pos="851"/>
                <w:tab w:val="right" w:pos="730"/>
              </w:tabs>
            </w:pPr>
            <w:r w:rsidRPr="00DC61B3">
              <w:tab/>
              <w:t>40</w:t>
            </w:r>
          </w:p>
        </w:tc>
        <w:tc>
          <w:tcPr>
            <w:tcW w:w="2246" w:type="dxa"/>
            <w:tcBorders>
              <w:top w:val="single" w:sz="4" w:space="0" w:color="auto"/>
              <w:left w:val="single" w:sz="4" w:space="0" w:color="auto"/>
              <w:right w:val="single" w:sz="4" w:space="0" w:color="auto"/>
            </w:tcBorders>
            <w:hideMark/>
          </w:tcPr>
          <w:p w14:paraId="62F42329"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49</w:t>
            </w:r>
          </w:p>
          <w:p w14:paraId="4AF5D354"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43  </w:t>
            </w:r>
            <w:r w:rsidRPr="00DC61B3">
              <w:rPr>
                <w:rStyle w:val="FootnoteReference"/>
                <w:sz w:val="16"/>
                <w:szCs w:val="16"/>
              </w:rPr>
              <w:t>25</w:t>
            </w:r>
          </w:p>
          <w:p w14:paraId="53B92BE2"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49</w:t>
            </w:r>
          </w:p>
        </w:tc>
        <w:tc>
          <w:tcPr>
            <w:tcW w:w="1597" w:type="dxa"/>
            <w:tcBorders>
              <w:top w:val="single" w:sz="4" w:space="0" w:color="auto"/>
              <w:left w:val="single" w:sz="4" w:space="0" w:color="auto"/>
              <w:right w:val="single" w:sz="4" w:space="0" w:color="auto"/>
            </w:tcBorders>
            <w:hideMark/>
          </w:tcPr>
          <w:p w14:paraId="01D56C4D" w14:textId="77777777" w:rsidR="007704DB" w:rsidRPr="00DC61B3" w:rsidRDefault="00273BDD" w:rsidP="00D210C4">
            <w:pPr>
              <w:pStyle w:val="Tabletext"/>
              <w:jc w:val="center"/>
            </w:pPr>
            <w:r w:rsidRPr="00DC61B3">
              <w:sym w:font="Symbol" w:char="F0A3"/>
            </w:r>
            <w:r w:rsidRPr="00DC61B3">
              <w:t xml:space="preserve"> 2,5</w:t>
            </w:r>
          </w:p>
          <w:p w14:paraId="73A8685D" w14:textId="77777777" w:rsidR="007704DB" w:rsidRPr="00DC61B3" w:rsidRDefault="00273BDD" w:rsidP="00D210C4">
            <w:pPr>
              <w:pStyle w:val="Tabletext"/>
              <w:jc w:val="center"/>
            </w:pPr>
            <w:r w:rsidRPr="00DC61B3">
              <w:sym w:font="Symbol" w:char="F0A3"/>
            </w:r>
            <w:r w:rsidRPr="00DC61B3">
              <w:t xml:space="preserve"> 2,5</w:t>
            </w:r>
          </w:p>
          <w:p w14:paraId="1EB89FF1" w14:textId="77777777" w:rsidR="007704DB" w:rsidRPr="00DC61B3" w:rsidRDefault="00273BDD" w:rsidP="00D210C4">
            <w:pPr>
              <w:pStyle w:val="Tabletext"/>
              <w:jc w:val="center"/>
            </w:pPr>
            <w:r w:rsidRPr="00DC61B3">
              <w:t xml:space="preserve">&gt; 2,5 y </w:t>
            </w:r>
            <w:r w:rsidRPr="00DC61B3">
              <w:sym w:font="Symbol" w:char="F0A3"/>
            </w:r>
            <w:r w:rsidRPr="00DC61B3">
              <w:t xml:space="preserve"> 4,5</w:t>
            </w:r>
          </w:p>
        </w:tc>
      </w:tr>
      <w:tr w:rsidR="007704DB" w:rsidRPr="00DC61B3" w14:paraId="57A66CE6" w14:textId="77777777" w:rsidTr="00D210C4">
        <w:trPr>
          <w:cantSplit/>
          <w:jc w:val="center"/>
        </w:trPr>
        <w:tc>
          <w:tcPr>
            <w:tcW w:w="1890" w:type="dxa"/>
            <w:tcBorders>
              <w:top w:val="single" w:sz="4" w:space="0" w:color="auto"/>
              <w:left w:val="single" w:sz="4" w:space="0" w:color="auto"/>
              <w:right w:val="single" w:sz="4" w:space="0" w:color="auto"/>
            </w:tcBorders>
            <w:hideMark/>
          </w:tcPr>
          <w:p w14:paraId="48A05CC8" w14:textId="77777777" w:rsidR="007704DB" w:rsidRPr="00DC61B3" w:rsidRDefault="00273BDD" w:rsidP="00D210C4">
            <w:pPr>
              <w:pStyle w:val="Tabletext"/>
            </w:pPr>
            <w:r w:rsidRPr="00DC61B3">
              <w:t>19,7-20,2</w:t>
            </w:r>
          </w:p>
        </w:tc>
        <w:tc>
          <w:tcPr>
            <w:tcW w:w="1183" w:type="dxa"/>
            <w:tcBorders>
              <w:top w:val="single" w:sz="4" w:space="0" w:color="auto"/>
              <w:left w:val="single" w:sz="4" w:space="0" w:color="auto"/>
              <w:right w:val="single" w:sz="4" w:space="0" w:color="auto"/>
            </w:tcBorders>
            <w:hideMark/>
          </w:tcPr>
          <w:p w14:paraId="4B1450C7" w14:textId="77777777" w:rsidR="007704DB" w:rsidRPr="00DC61B3" w:rsidRDefault="00273BDD" w:rsidP="00D210C4">
            <w:pPr>
              <w:pStyle w:val="Tabletext"/>
              <w:jc w:val="center"/>
            </w:pPr>
            <w:r w:rsidRPr="00DC61B3">
              <w:t>−143</w:t>
            </w:r>
          </w:p>
          <w:p w14:paraId="656BC040" w14:textId="77777777" w:rsidR="007704DB" w:rsidRPr="00DC61B3" w:rsidRDefault="00273BDD" w:rsidP="00D210C4">
            <w:pPr>
              <w:pStyle w:val="Tabletext"/>
              <w:jc w:val="center"/>
            </w:pPr>
            <w:r w:rsidRPr="00DC61B3">
              <w:t>−143</w:t>
            </w:r>
          </w:p>
          <w:p w14:paraId="71BB4EE8" w14:textId="77777777" w:rsidR="007704DB" w:rsidRPr="00DC61B3" w:rsidRDefault="00273BDD" w:rsidP="00D210C4">
            <w:pPr>
              <w:pStyle w:val="Tabletext"/>
              <w:jc w:val="center"/>
            </w:pPr>
            <w:r w:rsidRPr="00DC61B3">
              <w:t>−141</w:t>
            </w:r>
          </w:p>
        </w:tc>
        <w:tc>
          <w:tcPr>
            <w:tcW w:w="1655" w:type="dxa"/>
            <w:tcBorders>
              <w:top w:val="single" w:sz="4" w:space="0" w:color="auto"/>
              <w:left w:val="single" w:sz="4" w:space="0" w:color="auto"/>
              <w:right w:val="single" w:sz="4" w:space="0" w:color="auto"/>
            </w:tcBorders>
            <w:hideMark/>
          </w:tcPr>
          <w:p w14:paraId="39CF1D8E" w14:textId="77777777" w:rsidR="007704DB" w:rsidRPr="00DC61B3" w:rsidRDefault="00273BDD" w:rsidP="00D210C4">
            <w:pPr>
              <w:pStyle w:val="Tabletext"/>
              <w:jc w:val="center"/>
            </w:pPr>
            <w:r w:rsidRPr="00DC61B3">
              <w:t>100</w:t>
            </w:r>
          </w:p>
          <w:p w14:paraId="59ADB36A" w14:textId="77777777" w:rsidR="007704DB" w:rsidRPr="00DC61B3" w:rsidRDefault="00273BDD" w:rsidP="00D210C4">
            <w:pPr>
              <w:pStyle w:val="Tabletext"/>
              <w:jc w:val="center"/>
            </w:pPr>
            <w:r w:rsidRPr="00DC61B3">
              <w:t>100</w:t>
            </w:r>
          </w:p>
          <w:p w14:paraId="77C8D9BF" w14:textId="77777777" w:rsidR="007704DB" w:rsidRPr="00DC61B3" w:rsidRDefault="00273BDD" w:rsidP="00D210C4">
            <w:pPr>
              <w:pStyle w:val="Tabletext"/>
              <w:jc w:val="center"/>
            </w:pPr>
            <w:r w:rsidRPr="00DC61B3">
              <w:t>100</w:t>
            </w:r>
          </w:p>
        </w:tc>
        <w:tc>
          <w:tcPr>
            <w:tcW w:w="1065" w:type="dxa"/>
            <w:tcBorders>
              <w:top w:val="single" w:sz="4" w:space="0" w:color="auto"/>
              <w:left w:val="single" w:sz="4" w:space="0" w:color="auto"/>
              <w:right w:val="single" w:sz="4" w:space="0" w:color="auto"/>
            </w:tcBorders>
            <w:hideMark/>
          </w:tcPr>
          <w:p w14:paraId="6F567855" w14:textId="77777777" w:rsidR="007704DB" w:rsidRPr="00DC61B3" w:rsidRDefault="00273BDD" w:rsidP="00D210C4">
            <w:pPr>
              <w:pStyle w:val="Tabletext"/>
              <w:tabs>
                <w:tab w:val="clear" w:pos="284"/>
                <w:tab w:val="clear" w:pos="567"/>
                <w:tab w:val="clear" w:pos="851"/>
                <w:tab w:val="right" w:pos="730"/>
              </w:tabs>
            </w:pPr>
            <w:r w:rsidRPr="00DC61B3">
              <w:tab/>
              <w:t>1 000</w:t>
            </w:r>
          </w:p>
          <w:p w14:paraId="63535022" w14:textId="77777777" w:rsidR="007704DB" w:rsidRPr="00DC61B3" w:rsidRDefault="00273BDD" w:rsidP="00D210C4">
            <w:pPr>
              <w:pStyle w:val="Tabletext"/>
              <w:tabs>
                <w:tab w:val="clear" w:pos="284"/>
                <w:tab w:val="clear" w:pos="567"/>
                <w:tab w:val="clear" w:pos="851"/>
                <w:tab w:val="right" w:pos="730"/>
              </w:tabs>
            </w:pPr>
            <w:r w:rsidRPr="00DC61B3">
              <w:tab/>
              <w:t>1 000</w:t>
            </w:r>
          </w:p>
          <w:p w14:paraId="0E3620EA" w14:textId="77777777" w:rsidR="007704DB" w:rsidRPr="00DC61B3" w:rsidRDefault="00273BDD" w:rsidP="00D210C4">
            <w:pPr>
              <w:pStyle w:val="Tabletext"/>
              <w:tabs>
                <w:tab w:val="clear" w:pos="284"/>
                <w:tab w:val="clear" w:pos="567"/>
                <w:tab w:val="clear" w:pos="851"/>
                <w:tab w:val="right" w:pos="730"/>
              </w:tabs>
            </w:pPr>
            <w:r w:rsidRPr="00DC61B3">
              <w:tab/>
              <w:t>1 000</w:t>
            </w:r>
          </w:p>
        </w:tc>
        <w:tc>
          <w:tcPr>
            <w:tcW w:w="2246" w:type="dxa"/>
            <w:tcBorders>
              <w:top w:val="single" w:sz="4" w:space="0" w:color="auto"/>
              <w:left w:val="single" w:sz="4" w:space="0" w:color="auto"/>
              <w:right w:val="single" w:sz="4" w:space="0" w:color="auto"/>
            </w:tcBorders>
            <w:hideMark/>
          </w:tcPr>
          <w:p w14:paraId="4D996E73"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49</w:t>
            </w:r>
          </w:p>
          <w:p w14:paraId="122F0986"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43  </w:t>
            </w:r>
            <w:r w:rsidRPr="00DC61B3">
              <w:rPr>
                <w:rStyle w:val="FootnoteReference"/>
                <w:sz w:val="16"/>
                <w:szCs w:val="16"/>
              </w:rPr>
              <w:t>25</w:t>
            </w:r>
          </w:p>
          <w:p w14:paraId="318D01B1"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49</w:t>
            </w:r>
          </w:p>
        </w:tc>
        <w:tc>
          <w:tcPr>
            <w:tcW w:w="1597" w:type="dxa"/>
            <w:tcBorders>
              <w:top w:val="single" w:sz="4" w:space="0" w:color="auto"/>
              <w:left w:val="single" w:sz="4" w:space="0" w:color="auto"/>
              <w:right w:val="single" w:sz="4" w:space="0" w:color="auto"/>
            </w:tcBorders>
            <w:hideMark/>
          </w:tcPr>
          <w:p w14:paraId="0986BCFE" w14:textId="77777777" w:rsidR="007704DB" w:rsidRPr="00DC61B3" w:rsidRDefault="00273BDD" w:rsidP="00D210C4">
            <w:pPr>
              <w:pStyle w:val="Tabletext"/>
              <w:jc w:val="center"/>
            </w:pPr>
            <w:r w:rsidRPr="00DC61B3">
              <w:sym w:font="Symbol" w:char="F0A3"/>
            </w:r>
            <w:r w:rsidRPr="00DC61B3">
              <w:t xml:space="preserve"> 2,5</w:t>
            </w:r>
          </w:p>
          <w:p w14:paraId="110D2003" w14:textId="77777777" w:rsidR="007704DB" w:rsidRPr="00DC61B3" w:rsidRDefault="00273BDD" w:rsidP="00D210C4">
            <w:pPr>
              <w:pStyle w:val="Tabletext"/>
              <w:jc w:val="center"/>
            </w:pPr>
            <w:r w:rsidRPr="00DC61B3">
              <w:sym w:font="Symbol" w:char="F0A3"/>
            </w:r>
            <w:r w:rsidRPr="00DC61B3">
              <w:t xml:space="preserve"> 2,5</w:t>
            </w:r>
          </w:p>
          <w:p w14:paraId="3F91CE5C" w14:textId="77777777" w:rsidR="007704DB" w:rsidRPr="00DC61B3" w:rsidRDefault="00273BDD" w:rsidP="00D210C4">
            <w:pPr>
              <w:pStyle w:val="Tabletext"/>
              <w:jc w:val="center"/>
            </w:pPr>
            <w:r w:rsidRPr="00DC61B3">
              <w:t xml:space="preserve">&gt; 2,5 y </w:t>
            </w:r>
            <w:r w:rsidRPr="00DC61B3">
              <w:sym w:font="Symbol" w:char="F0A3"/>
            </w:r>
            <w:r w:rsidRPr="00DC61B3">
              <w:t xml:space="preserve"> 4,5</w:t>
            </w:r>
          </w:p>
        </w:tc>
      </w:tr>
      <w:tr w:rsidR="007704DB" w:rsidRPr="00DC61B3" w14:paraId="7D57516F" w14:textId="77777777" w:rsidTr="00D210C4">
        <w:trPr>
          <w:cantSplit/>
          <w:jc w:val="center"/>
        </w:trPr>
        <w:tc>
          <w:tcPr>
            <w:tcW w:w="1890" w:type="dxa"/>
            <w:tcBorders>
              <w:top w:val="single" w:sz="4" w:space="0" w:color="auto"/>
              <w:left w:val="single" w:sz="4" w:space="0" w:color="auto"/>
              <w:right w:val="single" w:sz="4" w:space="0" w:color="auto"/>
            </w:tcBorders>
            <w:hideMark/>
          </w:tcPr>
          <w:p w14:paraId="26AC865A" w14:textId="023FB91B" w:rsidR="007704DB" w:rsidRPr="00DC61B3" w:rsidRDefault="00972446" w:rsidP="00D210C4">
            <w:pPr>
              <w:pStyle w:val="Tabletext"/>
              <w:rPr>
                <w:ins w:id="49" w:author="Spanish83" w:date="2023-04-28T16:08:00Z"/>
              </w:rPr>
            </w:pPr>
            <w:ins w:id="50" w:author="Spanish" w:date="2023-03-31T23:08:00Z">
              <w:r w:rsidRPr="00DC61B3">
                <w:rPr>
                  <w:lang w:eastAsia="zh-CN"/>
                </w:rPr>
                <w:t xml:space="preserve">17,3-17,7 </w:t>
              </w:r>
              <w:r w:rsidRPr="00DC61B3">
                <w:rPr>
                  <w:lang w:eastAsia="zh-CN"/>
                </w:rPr>
                <w:br/>
              </w:r>
            </w:ins>
            <w:r w:rsidR="00273BDD" w:rsidRPr="00DC61B3">
              <w:t>17,8-18,6</w:t>
            </w:r>
          </w:p>
          <w:p w14:paraId="43AAF985" w14:textId="25F7FE85" w:rsidR="007704DB" w:rsidRPr="00DC61B3" w:rsidRDefault="004E3073" w:rsidP="00D210C4">
            <w:pPr>
              <w:pStyle w:val="Tabletext"/>
            </w:pPr>
          </w:p>
        </w:tc>
        <w:tc>
          <w:tcPr>
            <w:tcW w:w="1183" w:type="dxa"/>
            <w:tcBorders>
              <w:top w:val="single" w:sz="4" w:space="0" w:color="auto"/>
              <w:left w:val="single" w:sz="4" w:space="0" w:color="auto"/>
              <w:right w:val="single" w:sz="4" w:space="0" w:color="auto"/>
            </w:tcBorders>
            <w:hideMark/>
          </w:tcPr>
          <w:p w14:paraId="11334075" w14:textId="77777777" w:rsidR="007704DB" w:rsidRPr="00DC61B3" w:rsidRDefault="00273BDD" w:rsidP="00D210C4">
            <w:pPr>
              <w:pStyle w:val="Tabletext"/>
              <w:jc w:val="center"/>
            </w:pPr>
            <w:r w:rsidRPr="00DC61B3">
              <w:t>−164</w:t>
            </w:r>
          </w:p>
          <w:p w14:paraId="763C7383" w14:textId="77777777" w:rsidR="007704DB" w:rsidRPr="00DC61B3" w:rsidRDefault="00273BDD" w:rsidP="00D210C4">
            <w:pPr>
              <w:pStyle w:val="Tabletext"/>
              <w:jc w:val="center"/>
            </w:pPr>
            <w:r w:rsidRPr="00DC61B3">
              <w:t>−162</w:t>
            </w:r>
          </w:p>
        </w:tc>
        <w:tc>
          <w:tcPr>
            <w:tcW w:w="1655" w:type="dxa"/>
            <w:tcBorders>
              <w:top w:val="single" w:sz="4" w:space="0" w:color="auto"/>
              <w:left w:val="single" w:sz="4" w:space="0" w:color="auto"/>
              <w:right w:val="single" w:sz="4" w:space="0" w:color="auto"/>
            </w:tcBorders>
            <w:hideMark/>
          </w:tcPr>
          <w:p w14:paraId="08284C79" w14:textId="77777777" w:rsidR="007704DB" w:rsidRPr="00DC61B3" w:rsidRDefault="00273BDD" w:rsidP="00D210C4">
            <w:pPr>
              <w:pStyle w:val="Tabletext"/>
              <w:jc w:val="center"/>
            </w:pPr>
            <w:r w:rsidRPr="00DC61B3">
              <w:t>100</w:t>
            </w:r>
          </w:p>
          <w:p w14:paraId="0D0A7662" w14:textId="77777777" w:rsidR="007704DB" w:rsidRPr="00DC61B3" w:rsidRDefault="00273BDD" w:rsidP="00D210C4">
            <w:pPr>
              <w:pStyle w:val="Tabletext"/>
              <w:jc w:val="center"/>
            </w:pPr>
            <w:r w:rsidRPr="00DC61B3">
              <w:t>100</w:t>
            </w:r>
          </w:p>
        </w:tc>
        <w:tc>
          <w:tcPr>
            <w:tcW w:w="1065" w:type="dxa"/>
            <w:tcBorders>
              <w:top w:val="single" w:sz="4" w:space="0" w:color="auto"/>
              <w:left w:val="single" w:sz="4" w:space="0" w:color="auto"/>
              <w:right w:val="single" w:sz="4" w:space="0" w:color="auto"/>
            </w:tcBorders>
            <w:hideMark/>
          </w:tcPr>
          <w:p w14:paraId="656C3875" w14:textId="77777777" w:rsidR="007704DB" w:rsidRPr="00DC61B3" w:rsidRDefault="00273BDD" w:rsidP="00D210C4">
            <w:pPr>
              <w:pStyle w:val="Tabletext"/>
              <w:tabs>
                <w:tab w:val="clear" w:pos="284"/>
                <w:tab w:val="clear" w:pos="567"/>
                <w:tab w:val="clear" w:pos="851"/>
                <w:tab w:val="right" w:pos="730"/>
              </w:tabs>
            </w:pPr>
            <w:r w:rsidRPr="00DC61B3">
              <w:tab/>
              <w:t>40</w:t>
            </w:r>
          </w:p>
          <w:p w14:paraId="03BEDCD0" w14:textId="77777777" w:rsidR="007704DB" w:rsidRPr="00DC61B3" w:rsidRDefault="00273BDD" w:rsidP="00D210C4">
            <w:pPr>
              <w:pStyle w:val="Tabletext"/>
              <w:tabs>
                <w:tab w:val="clear" w:pos="284"/>
                <w:tab w:val="clear" w:pos="567"/>
                <w:tab w:val="clear" w:pos="851"/>
                <w:tab w:val="right" w:pos="730"/>
              </w:tabs>
            </w:pPr>
            <w:r w:rsidRPr="00DC61B3">
              <w:tab/>
              <w:t>40</w:t>
            </w:r>
          </w:p>
        </w:tc>
        <w:tc>
          <w:tcPr>
            <w:tcW w:w="2246" w:type="dxa"/>
            <w:tcBorders>
              <w:top w:val="single" w:sz="4" w:space="0" w:color="auto"/>
              <w:left w:val="single" w:sz="4" w:space="0" w:color="auto"/>
              <w:right w:val="single" w:sz="4" w:space="0" w:color="auto"/>
            </w:tcBorders>
            <w:hideMark/>
          </w:tcPr>
          <w:p w14:paraId="4C29D826"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49</w:t>
            </w:r>
          </w:p>
          <w:p w14:paraId="7C5619AB"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49</w:t>
            </w:r>
          </w:p>
        </w:tc>
        <w:tc>
          <w:tcPr>
            <w:tcW w:w="1597" w:type="dxa"/>
            <w:tcBorders>
              <w:top w:val="single" w:sz="4" w:space="0" w:color="auto"/>
              <w:left w:val="single" w:sz="4" w:space="0" w:color="auto"/>
              <w:right w:val="single" w:sz="4" w:space="0" w:color="auto"/>
            </w:tcBorders>
            <w:hideMark/>
          </w:tcPr>
          <w:p w14:paraId="0E23BC98" w14:textId="77777777" w:rsidR="007704DB" w:rsidRPr="00DC61B3" w:rsidRDefault="00273BDD" w:rsidP="00D210C4">
            <w:pPr>
              <w:pStyle w:val="Tabletext"/>
              <w:jc w:val="center"/>
            </w:pPr>
            <w:r w:rsidRPr="00DC61B3">
              <w:sym w:font="Symbol" w:char="F0A3"/>
            </w:r>
            <w:r w:rsidRPr="00DC61B3">
              <w:t xml:space="preserve"> 2,5</w:t>
            </w:r>
          </w:p>
          <w:p w14:paraId="0C06D648" w14:textId="77777777" w:rsidR="007704DB" w:rsidRPr="00DC61B3" w:rsidRDefault="00273BDD" w:rsidP="00D210C4">
            <w:pPr>
              <w:pStyle w:val="Tabletext"/>
              <w:jc w:val="center"/>
            </w:pPr>
            <w:r w:rsidRPr="00DC61B3">
              <w:t xml:space="preserve">&gt; 2,5 y </w:t>
            </w:r>
            <w:r w:rsidRPr="00DC61B3">
              <w:sym w:font="Symbol" w:char="F0A3"/>
            </w:r>
            <w:r w:rsidRPr="00DC61B3">
              <w:t xml:space="preserve"> 4,5</w:t>
            </w:r>
          </w:p>
        </w:tc>
      </w:tr>
      <w:tr w:rsidR="007704DB" w:rsidRPr="00DC61B3" w14:paraId="6F09EF28" w14:textId="77777777" w:rsidTr="00D210C4">
        <w:trPr>
          <w:cantSplit/>
          <w:jc w:val="center"/>
        </w:trPr>
        <w:tc>
          <w:tcPr>
            <w:tcW w:w="1890" w:type="dxa"/>
            <w:tcBorders>
              <w:top w:val="single" w:sz="4" w:space="0" w:color="auto"/>
              <w:left w:val="single" w:sz="4" w:space="0" w:color="auto"/>
              <w:right w:val="single" w:sz="4" w:space="0" w:color="auto"/>
            </w:tcBorders>
            <w:hideMark/>
          </w:tcPr>
          <w:p w14:paraId="7BCEF9DA" w14:textId="77777777" w:rsidR="00972446" w:rsidRDefault="00972446" w:rsidP="00D210C4">
            <w:pPr>
              <w:pStyle w:val="Tabletext"/>
              <w:rPr>
                <w:lang w:eastAsia="zh-CN"/>
              </w:rPr>
            </w:pPr>
            <w:ins w:id="51" w:author="Spanish" w:date="2023-03-31T23:07:00Z">
              <w:r w:rsidRPr="00DC61B3">
                <w:rPr>
                  <w:lang w:eastAsia="zh-CN"/>
                </w:rPr>
                <w:t xml:space="preserve">17,3-17,7 </w:t>
              </w:r>
            </w:ins>
          </w:p>
          <w:p w14:paraId="28415754" w14:textId="7A639B18" w:rsidR="007704DB" w:rsidRPr="00DC61B3" w:rsidRDefault="00273BDD" w:rsidP="00D210C4">
            <w:pPr>
              <w:pStyle w:val="Tabletext"/>
            </w:pPr>
            <w:r w:rsidRPr="00DC61B3">
              <w:t>17,8-18,6</w:t>
            </w:r>
          </w:p>
        </w:tc>
        <w:tc>
          <w:tcPr>
            <w:tcW w:w="1183" w:type="dxa"/>
            <w:tcBorders>
              <w:top w:val="single" w:sz="4" w:space="0" w:color="auto"/>
              <w:left w:val="single" w:sz="4" w:space="0" w:color="auto"/>
              <w:right w:val="single" w:sz="4" w:space="0" w:color="auto"/>
            </w:tcBorders>
            <w:hideMark/>
          </w:tcPr>
          <w:p w14:paraId="6DC000A3" w14:textId="77777777" w:rsidR="007704DB" w:rsidRPr="00DC61B3" w:rsidRDefault="00273BDD" w:rsidP="00D210C4">
            <w:pPr>
              <w:pStyle w:val="Tabletext"/>
              <w:jc w:val="center"/>
            </w:pPr>
            <w:r w:rsidRPr="00DC61B3">
              <w:t>−150</w:t>
            </w:r>
          </w:p>
          <w:p w14:paraId="79E56639" w14:textId="77777777" w:rsidR="007704DB" w:rsidRPr="00DC61B3" w:rsidRDefault="00273BDD" w:rsidP="00D210C4">
            <w:pPr>
              <w:pStyle w:val="Tabletext"/>
              <w:jc w:val="center"/>
            </w:pPr>
            <w:r w:rsidRPr="00DC61B3">
              <w:t>−148</w:t>
            </w:r>
          </w:p>
        </w:tc>
        <w:tc>
          <w:tcPr>
            <w:tcW w:w="1655" w:type="dxa"/>
            <w:tcBorders>
              <w:top w:val="single" w:sz="4" w:space="0" w:color="auto"/>
              <w:left w:val="single" w:sz="4" w:space="0" w:color="auto"/>
              <w:right w:val="single" w:sz="4" w:space="0" w:color="auto"/>
            </w:tcBorders>
            <w:hideMark/>
          </w:tcPr>
          <w:p w14:paraId="708F8008" w14:textId="77777777" w:rsidR="007704DB" w:rsidRPr="00DC61B3" w:rsidRDefault="00273BDD" w:rsidP="00D210C4">
            <w:pPr>
              <w:pStyle w:val="Tabletext"/>
              <w:jc w:val="center"/>
            </w:pPr>
            <w:r w:rsidRPr="00DC61B3">
              <w:t>100</w:t>
            </w:r>
          </w:p>
          <w:p w14:paraId="4C2F9F54" w14:textId="77777777" w:rsidR="007704DB" w:rsidRPr="00DC61B3" w:rsidRDefault="00273BDD" w:rsidP="00D210C4">
            <w:pPr>
              <w:pStyle w:val="Tabletext"/>
              <w:jc w:val="center"/>
            </w:pPr>
            <w:r w:rsidRPr="00DC61B3">
              <w:t>100</w:t>
            </w:r>
          </w:p>
        </w:tc>
        <w:tc>
          <w:tcPr>
            <w:tcW w:w="1065" w:type="dxa"/>
            <w:tcBorders>
              <w:top w:val="single" w:sz="4" w:space="0" w:color="auto"/>
              <w:left w:val="single" w:sz="4" w:space="0" w:color="auto"/>
              <w:right w:val="single" w:sz="4" w:space="0" w:color="auto"/>
            </w:tcBorders>
            <w:hideMark/>
          </w:tcPr>
          <w:p w14:paraId="5A002D0F" w14:textId="77777777" w:rsidR="007704DB" w:rsidRPr="00DC61B3" w:rsidRDefault="00273BDD" w:rsidP="00D210C4">
            <w:pPr>
              <w:pStyle w:val="Tabletext"/>
              <w:tabs>
                <w:tab w:val="clear" w:pos="284"/>
                <w:tab w:val="clear" w:pos="567"/>
                <w:tab w:val="clear" w:pos="851"/>
                <w:tab w:val="right" w:pos="730"/>
              </w:tabs>
            </w:pPr>
            <w:r w:rsidRPr="00DC61B3">
              <w:tab/>
              <w:t>1 000</w:t>
            </w:r>
          </w:p>
          <w:p w14:paraId="53CD8698" w14:textId="77777777" w:rsidR="007704DB" w:rsidRPr="00DC61B3" w:rsidRDefault="00273BDD" w:rsidP="00D210C4">
            <w:pPr>
              <w:pStyle w:val="Tabletext"/>
              <w:tabs>
                <w:tab w:val="clear" w:pos="284"/>
                <w:tab w:val="clear" w:pos="567"/>
                <w:tab w:val="clear" w:pos="851"/>
                <w:tab w:val="right" w:pos="730"/>
              </w:tabs>
            </w:pPr>
            <w:r w:rsidRPr="00DC61B3">
              <w:tab/>
              <w:t>1 000</w:t>
            </w:r>
          </w:p>
        </w:tc>
        <w:tc>
          <w:tcPr>
            <w:tcW w:w="2246" w:type="dxa"/>
            <w:tcBorders>
              <w:top w:val="single" w:sz="4" w:space="0" w:color="auto"/>
              <w:left w:val="single" w:sz="4" w:space="0" w:color="auto"/>
              <w:right w:val="single" w:sz="4" w:space="0" w:color="auto"/>
            </w:tcBorders>
            <w:hideMark/>
          </w:tcPr>
          <w:p w14:paraId="0EB14F83"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49</w:t>
            </w:r>
          </w:p>
          <w:p w14:paraId="43440358" w14:textId="77777777" w:rsidR="007704DB" w:rsidRPr="00DC61B3" w:rsidRDefault="00273BDD" w:rsidP="00D210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DC61B3">
              <w:tab/>
            </w:r>
            <w:r w:rsidRPr="00DC61B3">
              <w:sym w:font="Symbol" w:char="F0B3"/>
            </w:r>
            <w:r w:rsidRPr="00DC61B3">
              <w:t xml:space="preserve"> 49</w:t>
            </w:r>
          </w:p>
        </w:tc>
        <w:tc>
          <w:tcPr>
            <w:tcW w:w="1597" w:type="dxa"/>
            <w:tcBorders>
              <w:top w:val="single" w:sz="4" w:space="0" w:color="auto"/>
              <w:left w:val="single" w:sz="4" w:space="0" w:color="auto"/>
              <w:right w:val="single" w:sz="4" w:space="0" w:color="auto"/>
            </w:tcBorders>
            <w:hideMark/>
          </w:tcPr>
          <w:p w14:paraId="23412DFF" w14:textId="77777777" w:rsidR="007704DB" w:rsidRPr="00DC61B3" w:rsidRDefault="00273BDD" w:rsidP="00D210C4">
            <w:pPr>
              <w:pStyle w:val="Tabletext"/>
              <w:jc w:val="center"/>
            </w:pPr>
            <w:r w:rsidRPr="00DC61B3">
              <w:sym w:font="Symbol" w:char="F0A3"/>
            </w:r>
            <w:r w:rsidRPr="00DC61B3">
              <w:t xml:space="preserve"> 2,5</w:t>
            </w:r>
          </w:p>
          <w:p w14:paraId="168E601D" w14:textId="77777777" w:rsidR="007704DB" w:rsidRPr="00DC61B3" w:rsidRDefault="00273BDD" w:rsidP="00D210C4">
            <w:pPr>
              <w:pStyle w:val="Tabletext"/>
              <w:jc w:val="center"/>
            </w:pPr>
            <w:r w:rsidRPr="00DC61B3">
              <w:t xml:space="preserve">&gt; 2,5 y </w:t>
            </w:r>
            <w:r w:rsidRPr="00DC61B3">
              <w:sym w:font="Symbol" w:char="F0A3"/>
            </w:r>
            <w:r w:rsidRPr="00DC61B3">
              <w:t xml:space="preserve"> 4,5</w:t>
            </w:r>
          </w:p>
        </w:tc>
      </w:tr>
    </w:tbl>
    <w:p w14:paraId="14A771A4" w14:textId="3604977C" w:rsidR="00B47676" w:rsidRPr="00DC61B3" w:rsidRDefault="00273BDD">
      <w:pPr>
        <w:pStyle w:val="Reasons"/>
      </w:pPr>
      <w:r w:rsidRPr="00DC61B3">
        <w:rPr>
          <w:b/>
        </w:rPr>
        <w:t>Motivos:</w:t>
      </w:r>
      <w:r w:rsidRPr="00DC61B3">
        <w:tab/>
      </w:r>
      <w:r w:rsidR="00972446">
        <w:t>A</w:t>
      </w:r>
      <w:r w:rsidR="00972446" w:rsidRPr="00972446">
        <w:t>mpliar la aplicabilidad de los límites de dfpe del Cuadro 22-4B del RR a la banda de frecuencias 17,3-17,7</w:t>
      </w:r>
      <w:r w:rsidR="00814E24">
        <w:t> </w:t>
      </w:r>
      <w:r w:rsidR="00972446" w:rsidRPr="00972446">
        <w:t>GHz</w:t>
      </w:r>
    </w:p>
    <w:p w14:paraId="76BF583F" w14:textId="74743F8E" w:rsidR="007B2C32" w:rsidRPr="0000090A" w:rsidRDefault="00273BDD" w:rsidP="0000090A">
      <w:pPr>
        <w:pStyle w:val="AppendixNo"/>
        <w:rPr>
          <w:rStyle w:val="FootnoteReference"/>
          <w:position w:val="0"/>
          <w:sz w:val="28"/>
        </w:rPr>
      </w:pPr>
      <w:bookmarkStart w:id="52" w:name="_Toc46417426"/>
      <w:bookmarkStart w:id="53" w:name="_Toc46417607"/>
      <w:bookmarkStart w:id="54" w:name="_Toc46474338"/>
      <w:bookmarkStart w:id="55" w:name="_Toc46475737"/>
      <w:r w:rsidRPr="0000090A">
        <w:lastRenderedPageBreak/>
        <w:t xml:space="preserve">APÉNDICE </w:t>
      </w:r>
      <w:r w:rsidRPr="0000090A">
        <w:rPr>
          <w:rStyle w:val="href"/>
        </w:rPr>
        <w:t xml:space="preserve">30A </w:t>
      </w:r>
      <w:r w:rsidRPr="0000090A">
        <w:t>(REV.CMR-19)</w:t>
      </w:r>
      <w:r w:rsidR="00DB44C6" w:rsidRPr="0000090A">
        <w:t>*</w:t>
      </w:r>
      <w:bookmarkEnd w:id="52"/>
      <w:bookmarkEnd w:id="53"/>
      <w:bookmarkEnd w:id="54"/>
      <w:bookmarkEnd w:id="55"/>
    </w:p>
    <w:p w14:paraId="25A96784" w14:textId="6E9DB44A" w:rsidR="007B2C32" w:rsidRPr="00DC61B3" w:rsidRDefault="00273BDD" w:rsidP="007B2C32">
      <w:pPr>
        <w:pStyle w:val="Appendixtitle"/>
        <w:rPr>
          <w:rFonts w:asciiTheme="majorBidi" w:hAnsiTheme="majorBidi" w:cstheme="majorBidi"/>
          <w:b w:val="0"/>
          <w:bCs/>
          <w:szCs w:val="28"/>
        </w:rPr>
      </w:pPr>
      <w:bookmarkStart w:id="56" w:name="_Toc46417427"/>
      <w:bookmarkStart w:id="57" w:name="_Toc46417608"/>
      <w:bookmarkStart w:id="58" w:name="_Toc46474339"/>
      <w:bookmarkStart w:id="59" w:name="_Toc46475738"/>
      <w:r w:rsidRPr="00DC61B3">
        <w:rPr>
          <w:color w:val="000000"/>
        </w:rPr>
        <w:t>Disposiciones y Planes asociados y Lista</w:t>
      </w:r>
      <w:r w:rsidR="00DB44C6" w:rsidRPr="00DB44C6">
        <w:rPr>
          <w:color w:val="000000"/>
          <w:vertAlign w:val="superscript"/>
        </w:rPr>
        <w:t>1</w:t>
      </w:r>
      <w:r w:rsidRPr="00DC61B3">
        <w:rPr>
          <w:color w:val="000000"/>
        </w:rPr>
        <w:t xml:space="preserve"> para los enlaces de conexión del</w:t>
      </w:r>
      <w:r w:rsidRPr="00DC61B3">
        <w:rPr>
          <w:color w:val="000000"/>
        </w:rPr>
        <w:br/>
        <w:t>servicio de radiodifusión por satélite (11,7</w:t>
      </w:r>
      <w:r w:rsidRPr="00DC61B3">
        <w:rPr>
          <w:color w:val="000000"/>
        </w:rPr>
        <w:noBreakHyphen/>
        <w:t>12,5 GHz en la Región 1,</w:t>
      </w:r>
      <w:r w:rsidRPr="00DC61B3">
        <w:rPr>
          <w:color w:val="000000"/>
        </w:rPr>
        <w:br/>
        <w:t>12,2</w:t>
      </w:r>
      <w:r w:rsidRPr="00DC61B3">
        <w:rPr>
          <w:color w:val="000000"/>
        </w:rPr>
        <w:noBreakHyphen/>
        <w:t>12,7 GHz en la Región 2 y 11,7</w:t>
      </w:r>
      <w:r w:rsidRPr="00DC61B3">
        <w:rPr>
          <w:color w:val="000000"/>
        </w:rPr>
        <w:noBreakHyphen/>
        <w:t>12,2 GHz en la Región 3) en</w:t>
      </w:r>
      <w:r w:rsidRPr="00DC61B3">
        <w:rPr>
          <w:color w:val="000000"/>
        </w:rPr>
        <w:br/>
        <w:t>las bandas de frecuencias 14,5-14,8 GHz</w:t>
      </w:r>
      <w:r w:rsidR="00DB44C6" w:rsidRPr="00DB44C6">
        <w:rPr>
          <w:color w:val="000000"/>
          <w:vertAlign w:val="superscript"/>
        </w:rPr>
        <w:t>2</w:t>
      </w:r>
      <w:r w:rsidRPr="00DC61B3">
        <w:rPr>
          <w:color w:val="000000"/>
        </w:rPr>
        <w:t xml:space="preserve"> y 17,3</w:t>
      </w:r>
      <w:r w:rsidRPr="00DC61B3">
        <w:rPr>
          <w:color w:val="000000"/>
        </w:rPr>
        <w:noBreakHyphen/>
        <w:t>18,1 GHz en</w:t>
      </w:r>
      <w:r w:rsidRPr="00DC61B3">
        <w:rPr>
          <w:color w:val="000000"/>
        </w:rPr>
        <w:br/>
        <w:t>           las Regiones 1 y 3, y 17,3</w:t>
      </w:r>
      <w:r w:rsidRPr="00DC61B3">
        <w:rPr>
          <w:color w:val="000000"/>
        </w:rPr>
        <w:noBreakHyphen/>
        <w:t>17,8 GHz en la Región 2</w:t>
      </w:r>
      <w:r w:rsidRPr="00DC61B3">
        <w:rPr>
          <w:b w:val="0"/>
          <w:bCs/>
          <w:color w:val="000000"/>
          <w:sz w:val="20"/>
        </w:rPr>
        <w:t>     </w:t>
      </w:r>
      <w:r w:rsidRPr="00DC61B3">
        <w:rPr>
          <w:rFonts w:asciiTheme="majorBidi" w:hAnsiTheme="majorBidi" w:cstheme="majorBidi"/>
          <w:b w:val="0"/>
          <w:bCs/>
          <w:sz w:val="16"/>
        </w:rPr>
        <w:t>(CMR</w:t>
      </w:r>
      <w:r w:rsidRPr="00DC61B3">
        <w:rPr>
          <w:rFonts w:asciiTheme="majorBidi" w:hAnsiTheme="majorBidi" w:cstheme="majorBidi"/>
          <w:b w:val="0"/>
          <w:bCs/>
          <w:sz w:val="16"/>
        </w:rPr>
        <w:noBreakHyphen/>
        <w:t>03)</w:t>
      </w:r>
      <w:bookmarkEnd w:id="56"/>
      <w:bookmarkEnd w:id="57"/>
      <w:bookmarkEnd w:id="58"/>
      <w:bookmarkEnd w:id="59"/>
    </w:p>
    <w:p w14:paraId="6EF50BE4" w14:textId="77777777" w:rsidR="00B47676" w:rsidRPr="00DC61B3" w:rsidRDefault="00273BDD">
      <w:pPr>
        <w:pStyle w:val="Proposal"/>
      </w:pPr>
      <w:r w:rsidRPr="00DC61B3">
        <w:t>MOD</w:t>
      </w:r>
      <w:r w:rsidRPr="00DC61B3">
        <w:tab/>
        <w:t>EUR/65A19/10</w:t>
      </w:r>
      <w:r w:rsidRPr="00DC61B3">
        <w:rPr>
          <w:vanish/>
          <w:color w:val="7F7F7F" w:themeColor="text1" w:themeTint="80"/>
          <w:vertAlign w:val="superscript"/>
        </w:rPr>
        <w:t>#1934</w:t>
      </w:r>
    </w:p>
    <w:p w14:paraId="49D61AF8" w14:textId="77777777" w:rsidR="007704DB" w:rsidRPr="00DC61B3" w:rsidRDefault="00273BDD" w:rsidP="00866DC1">
      <w:pPr>
        <w:pStyle w:val="AppArtNo"/>
        <w:tabs>
          <w:tab w:val="left" w:pos="1418"/>
        </w:tabs>
      </w:pPr>
      <w:r w:rsidRPr="00DC61B3">
        <w:t>                  ARTÍCULO 7</w:t>
      </w:r>
      <w:r w:rsidRPr="00DC61B3">
        <w:rPr>
          <w:sz w:val="16"/>
          <w:szCs w:val="16"/>
        </w:rPr>
        <w:t>     (Rev.CMR</w:t>
      </w:r>
      <w:r w:rsidRPr="00DC61B3">
        <w:rPr>
          <w:sz w:val="16"/>
          <w:szCs w:val="16"/>
        </w:rPr>
        <w:noBreakHyphen/>
      </w:r>
      <w:del w:id="60" w:author="Spanish83" w:date="2022-12-09T11:21:00Z">
        <w:r w:rsidRPr="00DC61B3" w:rsidDel="005A5155">
          <w:rPr>
            <w:sz w:val="16"/>
            <w:szCs w:val="16"/>
          </w:rPr>
          <w:delText>19</w:delText>
        </w:r>
      </w:del>
      <w:ins w:id="61" w:author="Spanish83" w:date="2022-12-09T11:21:00Z">
        <w:r w:rsidRPr="00DC61B3">
          <w:rPr>
            <w:sz w:val="16"/>
            <w:szCs w:val="16"/>
          </w:rPr>
          <w:t>23</w:t>
        </w:r>
      </w:ins>
      <w:r w:rsidRPr="00DC61B3">
        <w:rPr>
          <w:sz w:val="16"/>
          <w:szCs w:val="16"/>
        </w:rPr>
        <w:t>)</w:t>
      </w:r>
    </w:p>
    <w:p w14:paraId="35D580B9" w14:textId="77777777" w:rsidR="007704DB" w:rsidRPr="00DC61B3" w:rsidRDefault="00273BDD">
      <w:pPr>
        <w:pStyle w:val="AppArttitle"/>
        <w:rPr>
          <w:b w:val="0"/>
          <w:bCs/>
          <w:szCs w:val="28"/>
        </w:rPr>
      </w:pPr>
      <w:r w:rsidRPr="00DC61B3">
        <w:t>Coordinación, notificación e inscripción en el Registro Internacional de Frecuencias de las asignaciones de frecuencia a estaciones del servicio fijo</w:t>
      </w:r>
      <w:r w:rsidRPr="00DC61B3">
        <w:br/>
        <w:t>por satélite (espacio-Tierra) en la</w:t>
      </w:r>
      <w:ins w:id="62" w:author="Spanish83" w:date="2022-12-09T11:21:00Z">
        <w:r w:rsidRPr="00DC61B3">
          <w:t>s</w:t>
        </w:r>
      </w:ins>
      <w:r w:rsidRPr="00DC61B3">
        <w:t xml:space="preserve"> Regi</w:t>
      </w:r>
      <w:del w:id="63" w:author="Spanish83" w:date="2022-12-09T11:21:00Z">
        <w:r w:rsidRPr="00DC61B3" w:rsidDel="005A5155">
          <w:delText>ón</w:delText>
        </w:r>
      </w:del>
      <w:ins w:id="64" w:author="Spanish83" w:date="2022-12-09T11:21:00Z">
        <w:r w:rsidRPr="00DC61B3">
          <w:t>ones</w:t>
        </w:r>
      </w:ins>
      <w:r w:rsidRPr="00DC61B3">
        <w:t> 1</w:t>
      </w:r>
      <w:ins w:id="65" w:author="Spanish83" w:date="2022-12-09T11:21:00Z">
        <w:r w:rsidRPr="00DC61B3">
          <w:t xml:space="preserve"> y 2</w:t>
        </w:r>
      </w:ins>
      <w:r w:rsidRPr="00DC61B3">
        <w:t>, en la banda de frecuencias 17,3</w:t>
      </w:r>
      <w:r w:rsidRPr="00DC61B3">
        <w:noBreakHyphen/>
        <w:t>18,1 GHz y en la</w:t>
      </w:r>
      <w:del w:id="66" w:author="Spanish83" w:date="2022-12-09T11:21:00Z">
        <w:r w:rsidRPr="00DC61B3" w:rsidDel="005A5155">
          <w:delText>s</w:delText>
        </w:r>
      </w:del>
      <w:r w:rsidRPr="00DC61B3">
        <w:t xml:space="preserve"> Regi</w:t>
      </w:r>
      <w:del w:id="67" w:author="Spanish83" w:date="2022-12-09T11:21:00Z">
        <w:r w:rsidRPr="00DC61B3" w:rsidDel="005A5155">
          <w:delText>o</w:delText>
        </w:r>
      </w:del>
      <w:ins w:id="68" w:author="Spanish83" w:date="2022-12-09T11:21:00Z">
        <w:r w:rsidRPr="00DC61B3">
          <w:t>ó</w:t>
        </w:r>
      </w:ins>
      <w:r w:rsidRPr="00DC61B3">
        <w:t>n</w:t>
      </w:r>
      <w:del w:id="69" w:author="Spanish83" w:date="2022-12-09T11:21:00Z">
        <w:r w:rsidRPr="00DC61B3" w:rsidDel="005A5155">
          <w:delText>es</w:delText>
        </w:r>
      </w:del>
      <w:r w:rsidRPr="00DC61B3">
        <w:t> </w:t>
      </w:r>
      <w:del w:id="70" w:author="Spanish83" w:date="2022-12-09T11:21:00Z">
        <w:r w:rsidRPr="00DC61B3" w:rsidDel="005A5155">
          <w:delText xml:space="preserve">2 y </w:delText>
        </w:r>
      </w:del>
      <w:r w:rsidRPr="00DC61B3">
        <w:t>3 en la banda de frecuencias 17,7-18,1 GHz, a estaciones del servicio fijo por satélite (Tierra</w:t>
      </w:r>
      <w:r w:rsidRPr="00DC61B3">
        <w:noBreakHyphen/>
        <w:t>espacio) en la Región 2 en las bandas de frecuencias 14,5</w:t>
      </w:r>
      <w:r w:rsidRPr="00DC61B3">
        <w:noBreakHyphen/>
        <w:t>14,8 GHz y 17,8</w:t>
      </w:r>
      <w:r w:rsidRPr="00DC61B3">
        <w:noBreakHyphen/>
        <w:t>18,1 GHz, a estaciones del servicio fijo por satélite (Tierra-espacio) en los países enumerados en la Resolución </w:t>
      </w:r>
      <w:r w:rsidRPr="00DC61B3">
        <w:rPr>
          <w:szCs w:val="28"/>
        </w:rPr>
        <w:t xml:space="preserve">163 (CMR-15) </w:t>
      </w:r>
      <w:r w:rsidRPr="00DC61B3">
        <w:t>en la banda de frecuencias 14,5</w:t>
      </w:r>
      <w:r w:rsidRPr="00DC61B3">
        <w:noBreakHyphen/>
        <w:t xml:space="preserve">14,75 GHz y en los países enumerados en la Resolución 164 </w:t>
      </w:r>
      <w:r w:rsidRPr="00DC61B3">
        <w:rPr>
          <w:szCs w:val="28"/>
        </w:rPr>
        <w:t>(CMR-15)</w:t>
      </w:r>
      <w:r w:rsidRPr="00DC61B3">
        <w:t xml:space="preserve"> en la banda de frecuencias 14,5-14,8 GHz donde estas estaciones no están previstas para enlaces de conexión para el servicio de radiodifusión por satélite y para estaciones del servicio de radiodifusión por satélite en la Región 2 en la banda de frecuencias 17,3-17,8 GHz, cuando intervienen asignaciones de frecuencia a enlaces de conexión para estaciones de radiodifusión por satélite en las bandas de frecuencias 14,5-14,8 GHz y 17,3-18,1 GHz en las Regiones 1 y 3 o en la banda de frecuencias 17,3</w:t>
      </w:r>
      <w:r w:rsidRPr="00DC61B3">
        <w:noBreakHyphen/>
        <w:t>17,8 GHz en la Región 2</w:t>
      </w:r>
      <w:r w:rsidRPr="00DC61B3">
        <w:rPr>
          <w:rStyle w:val="FootnoteReference"/>
          <w:b w:val="0"/>
          <w:bCs/>
        </w:rPr>
        <w:t>28</w:t>
      </w:r>
      <w:r w:rsidRPr="00DC61B3">
        <w:rPr>
          <w:b w:val="0"/>
          <w:bCs/>
          <w:sz w:val="16"/>
          <w:szCs w:val="16"/>
        </w:rPr>
        <w:t>     (R</w:t>
      </w:r>
      <w:del w:id="71" w:author="Spanish83" w:date="2023-05-05T19:31:00Z">
        <w:r w:rsidRPr="00DC61B3" w:rsidDel="00DB3DD4">
          <w:rPr>
            <w:b w:val="0"/>
            <w:bCs/>
            <w:sz w:val="16"/>
            <w:szCs w:val="16"/>
          </w:rPr>
          <w:delText>EV</w:delText>
        </w:r>
      </w:del>
      <w:ins w:id="72" w:author="Spanish83" w:date="2023-05-05T19:31:00Z">
        <w:r w:rsidRPr="00DC61B3">
          <w:rPr>
            <w:b w:val="0"/>
            <w:bCs/>
            <w:sz w:val="16"/>
            <w:szCs w:val="16"/>
          </w:rPr>
          <w:t>ev</w:t>
        </w:r>
      </w:ins>
      <w:r w:rsidRPr="00DC61B3">
        <w:rPr>
          <w:b w:val="0"/>
          <w:bCs/>
          <w:sz w:val="16"/>
          <w:szCs w:val="16"/>
        </w:rPr>
        <w:t>.CMR-</w:t>
      </w:r>
      <w:del w:id="73" w:author="Spanish83" w:date="2022-12-09T11:20:00Z">
        <w:r w:rsidRPr="00DC61B3" w:rsidDel="005A5155">
          <w:rPr>
            <w:b w:val="0"/>
            <w:bCs/>
            <w:sz w:val="16"/>
            <w:szCs w:val="16"/>
          </w:rPr>
          <w:delText>19</w:delText>
        </w:r>
      </w:del>
      <w:ins w:id="74" w:author="Spanish83" w:date="2022-12-09T11:20:00Z">
        <w:r w:rsidRPr="00DC61B3">
          <w:rPr>
            <w:b w:val="0"/>
            <w:bCs/>
            <w:sz w:val="16"/>
            <w:szCs w:val="16"/>
          </w:rPr>
          <w:t>23</w:t>
        </w:r>
      </w:ins>
      <w:r w:rsidRPr="00DC61B3">
        <w:rPr>
          <w:b w:val="0"/>
          <w:bCs/>
          <w:sz w:val="16"/>
          <w:szCs w:val="16"/>
        </w:rPr>
        <w:t>)</w:t>
      </w:r>
    </w:p>
    <w:p w14:paraId="5AB810DF" w14:textId="77777777" w:rsidR="00B47676" w:rsidRPr="00DC61B3" w:rsidRDefault="00B47676">
      <w:pPr>
        <w:pStyle w:val="Reasons"/>
      </w:pPr>
    </w:p>
    <w:p w14:paraId="626C28C8" w14:textId="77777777" w:rsidR="007B2C32" w:rsidRPr="00DC61B3" w:rsidRDefault="00273BDD" w:rsidP="007B2C32">
      <w:pPr>
        <w:pStyle w:val="Section1"/>
        <w:rPr>
          <w:color w:val="000000"/>
        </w:rPr>
      </w:pPr>
      <w:r w:rsidRPr="00DC61B3">
        <w:rPr>
          <w:color w:val="000000"/>
        </w:rPr>
        <w:t>Sección I – Coordinación de las estaciones espaciales o terrenas transmisoras</w:t>
      </w:r>
      <w:r w:rsidRPr="00DC61B3">
        <w:rPr>
          <w:color w:val="000000"/>
        </w:rPr>
        <w:br/>
        <w:t>del servicio fijo por satélite o estaciones espaciales transmisoras del servicio</w:t>
      </w:r>
      <w:r w:rsidRPr="00DC61B3">
        <w:rPr>
          <w:color w:val="000000"/>
        </w:rPr>
        <w:br/>
        <w:t>de radiodifusión por satélite con asignaciones a los enlaces de conexión</w:t>
      </w:r>
      <w:r w:rsidRPr="00DC61B3">
        <w:rPr>
          <w:color w:val="000000"/>
        </w:rPr>
        <w:br/>
        <w:t>del servicio de radiodifusión por satélite</w:t>
      </w:r>
    </w:p>
    <w:p w14:paraId="6A655E77" w14:textId="77777777" w:rsidR="00B47676" w:rsidRPr="00DC61B3" w:rsidRDefault="00273BDD">
      <w:pPr>
        <w:pStyle w:val="Proposal"/>
      </w:pPr>
      <w:r w:rsidRPr="00DC61B3">
        <w:lastRenderedPageBreak/>
        <w:t>MOD</w:t>
      </w:r>
      <w:r w:rsidRPr="00DC61B3">
        <w:tab/>
        <w:t>EUR/65A19/11</w:t>
      </w:r>
      <w:r w:rsidRPr="00DC61B3">
        <w:rPr>
          <w:vanish/>
          <w:color w:val="7F7F7F" w:themeColor="text1" w:themeTint="80"/>
          <w:vertAlign w:val="superscript"/>
        </w:rPr>
        <w:t>#1935</w:t>
      </w:r>
    </w:p>
    <w:p w14:paraId="4DE5E4F4" w14:textId="77777777" w:rsidR="007704DB" w:rsidRPr="00DC61B3" w:rsidRDefault="00273BDD" w:rsidP="00D22E20">
      <w:pPr>
        <w:pStyle w:val="Normalaftertitle"/>
        <w:keepNext/>
        <w:keepLines/>
      </w:pPr>
      <w:r w:rsidRPr="00DC61B3">
        <w:rPr>
          <w:rStyle w:val="Provsplit"/>
        </w:rPr>
        <w:t>7.1</w:t>
      </w:r>
      <w:r w:rsidRPr="00DC61B3">
        <w:tab/>
        <w:t>Las disposiciones del número </w:t>
      </w:r>
      <w:r w:rsidRPr="00DC61B3">
        <w:rPr>
          <w:rStyle w:val="Artref"/>
          <w:b/>
          <w:bCs/>
        </w:rPr>
        <w:t>9.7</w:t>
      </w:r>
      <w:r w:rsidRPr="00DC61B3">
        <w:rPr>
          <w:rStyle w:val="FootnoteReference"/>
          <w:b/>
          <w:color w:val="FFFFFF" w:themeColor="background1"/>
          <w:sz w:val="4"/>
          <w:szCs w:val="4"/>
        </w:rPr>
        <w:footnoteReference w:customMarkFollows="1" w:id="1"/>
        <w:t>29</w:t>
      </w:r>
      <w:r w:rsidRPr="00DC61B3">
        <w:t xml:space="preserve"> y las disposiciones conexas de los Artículos </w:t>
      </w:r>
      <w:r w:rsidRPr="00DC61B3">
        <w:rPr>
          <w:rStyle w:val="Artref"/>
          <w:b/>
          <w:bCs/>
        </w:rPr>
        <w:t>9</w:t>
      </w:r>
      <w:r w:rsidRPr="00DC61B3">
        <w:t xml:space="preserve"> y </w:t>
      </w:r>
      <w:r w:rsidRPr="00DC61B3">
        <w:rPr>
          <w:rStyle w:val="Artref"/>
          <w:b/>
          <w:bCs/>
        </w:rPr>
        <w:t>11</w:t>
      </w:r>
      <w:r w:rsidRPr="00DC61B3">
        <w:t xml:space="preserve"> se aplican a las estaciones espaciales transmisoras del servicio fijo por satélite de la</w:t>
      </w:r>
      <w:ins w:id="75" w:author="Spanish83" w:date="2022-12-09T11:23:00Z">
        <w:r w:rsidRPr="00DC61B3">
          <w:t>s</w:t>
        </w:r>
      </w:ins>
      <w:r w:rsidRPr="00DC61B3">
        <w:t xml:space="preserve"> Regi</w:t>
      </w:r>
      <w:del w:id="76" w:author="Spanish83" w:date="2022-12-09T11:23:00Z">
        <w:r w:rsidRPr="00DC61B3" w:rsidDel="005A5155">
          <w:delText>ón</w:delText>
        </w:r>
      </w:del>
      <w:ins w:id="77" w:author="Spanish83" w:date="2022-12-09T11:23:00Z">
        <w:r w:rsidRPr="00DC61B3">
          <w:t>ones</w:t>
        </w:r>
      </w:ins>
      <w:r w:rsidRPr="00DC61B3">
        <w:t xml:space="preserve"> 1 </w:t>
      </w:r>
      <w:ins w:id="78" w:author="Spanish83" w:date="2022-12-09T11:23:00Z">
        <w:r w:rsidRPr="00DC61B3">
          <w:t xml:space="preserve">y 2 </w:t>
        </w:r>
      </w:ins>
      <w:r w:rsidRPr="00DC61B3">
        <w:t>en la banda de frecuencias 17,3</w:t>
      </w:r>
      <w:r w:rsidRPr="00DC61B3">
        <w:noBreakHyphen/>
        <w:t>18,1 GHz, a las estaciones espaciales transmisoras del servicio fijo por satélite en la</w:t>
      </w:r>
      <w:del w:id="79" w:author="Spanish83" w:date="2022-12-09T11:23:00Z">
        <w:r w:rsidRPr="00DC61B3" w:rsidDel="005A5155">
          <w:delText>s</w:delText>
        </w:r>
      </w:del>
      <w:r w:rsidRPr="00DC61B3">
        <w:t xml:space="preserve"> Regi</w:t>
      </w:r>
      <w:del w:id="80" w:author="Spanish83" w:date="2022-12-09T11:23:00Z">
        <w:r w:rsidRPr="00DC61B3" w:rsidDel="005A5155">
          <w:delText>o</w:delText>
        </w:r>
      </w:del>
      <w:ins w:id="81" w:author="Spanish83" w:date="2022-12-09T11:23:00Z">
        <w:r w:rsidRPr="00DC61B3">
          <w:t>ó</w:t>
        </w:r>
      </w:ins>
      <w:r w:rsidRPr="00DC61B3">
        <w:t>n</w:t>
      </w:r>
      <w:del w:id="82" w:author="Spanish83" w:date="2022-12-09T11:23:00Z">
        <w:r w:rsidRPr="00DC61B3" w:rsidDel="005A5155">
          <w:delText>es</w:delText>
        </w:r>
      </w:del>
      <w:r w:rsidRPr="00DC61B3">
        <w:t> </w:t>
      </w:r>
      <w:del w:id="83" w:author="Spanish83" w:date="2022-12-09T11:24:00Z">
        <w:r w:rsidRPr="00DC61B3" w:rsidDel="005A5155">
          <w:delText xml:space="preserve">2 y </w:delText>
        </w:r>
      </w:del>
      <w:r w:rsidRPr="00DC61B3">
        <w:t>3 en la banda de frecuencias 17,7</w:t>
      </w:r>
      <w:r w:rsidRPr="00DC61B3">
        <w:noBreakHyphen/>
        <w:t>18,1 GHz, a las estaciones terrenas transmisoras del servicio fijo por satélite de la Región 2 en las bandas de frecuencias 14,5</w:t>
      </w:r>
      <w:r w:rsidRPr="00DC61B3">
        <w:noBreakHyphen/>
        <w:t>14,8 GHz y 17,8</w:t>
      </w:r>
      <w:r w:rsidRPr="00DC61B3">
        <w:noBreakHyphen/>
        <w:t>18,1 GHz, a estaciones terrenas transmisoras del servicio fijo por satélite en los países enumerados en la Resolución </w:t>
      </w:r>
      <w:r w:rsidRPr="00DC61B3">
        <w:rPr>
          <w:b/>
          <w:bCs/>
        </w:rPr>
        <w:t>163 (CMR</w:t>
      </w:r>
      <w:r w:rsidRPr="00DC61B3">
        <w:rPr>
          <w:b/>
          <w:bCs/>
        </w:rPr>
        <w:noBreakHyphen/>
        <w:t>15)</w:t>
      </w:r>
      <w:r w:rsidRPr="00DC61B3">
        <w:rPr>
          <w:szCs w:val="28"/>
        </w:rPr>
        <w:t xml:space="preserve"> </w:t>
      </w:r>
      <w:r w:rsidRPr="00DC61B3">
        <w:t>en la banda de frecuencias 14,5-14,75 GHz y en los países enumerados en la Resolución </w:t>
      </w:r>
      <w:r w:rsidRPr="00DC61B3">
        <w:rPr>
          <w:b/>
          <w:bCs/>
        </w:rPr>
        <w:t>164 (CMR</w:t>
      </w:r>
      <w:r w:rsidRPr="00DC61B3">
        <w:rPr>
          <w:b/>
          <w:bCs/>
        </w:rPr>
        <w:noBreakHyphen/>
        <w:t>15)</w:t>
      </w:r>
      <w:r w:rsidRPr="00DC61B3">
        <w:rPr>
          <w:szCs w:val="28"/>
        </w:rPr>
        <w:t xml:space="preserve"> </w:t>
      </w:r>
      <w:r w:rsidRPr="00DC61B3">
        <w:t>en la banda de frecuencias 14,5</w:t>
      </w:r>
      <w:r w:rsidRPr="00DC61B3">
        <w:noBreakHyphen/>
        <w:t>14,8 GHz donde estas estaciones no están previstas para enlaces de conexión para el servicio de radiodifusión por satélite y para las estaciones espaciales transmisoras del servicio de radiodifusión por satélite de la Región 2 en la banda de frecuencias 17,3</w:t>
      </w:r>
      <w:r w:rsidRPr="00DC61B3">
        <w:noBreakHyphen/>
        <w:t>17,8 GHz.</w:t>
      </w:r>
      <w:r w:rsidRPr="00DC61B3">
        <w:rPr>
          <w:sz w:val="16"/>
          <w:szCs w:val="16"/>
        </w:rPr>
        <w:t>     (CMR-</w:t>
      </w:r>
      <w:del w:id="84" w:author="Spanish83" w:date="2022-12-09T11:24:00Z">
        <w:r w:rsidRPr="00DC61B3" w:rsidDel="005A5155">
          <w:rPr>
            <w:sz w:val="16"/>
            <w:szCs w:val="16"/>
          </w:rPr>
          <w:delText>19</w:delText>
        </w:r>
      </w:del>
      <w:ins w:id="85" w:author="Spanish83" w:date="2022-12-09T11:24:00Z">
        <w:r w:rsidRPr="00DC61B3">
          <w:rPr>
            <w:sz w:val="16"/>
            <w:szCs w:val="16"/>
          </w:rPr>
          <w:t>23</w:t>
        </w:r>
      </w:ins>
      <w:r w:rsidRPr="00DC61B3">
        <w:rPr>
          <w:sz w:val="16"/>
          <w:szCs w:val="16"/>
        </w:rPr>
        <w:t>)</w:t>
      </w:r>
    </w:p>
    <w:p w14:paraId="078D49CC" w14:textId="77777777" w:rsidR="00B47676" w:rsidRPr="00DC61B3" w:rsidRDefault="00273BDD">
      <w:pPr>
        <w:pStyle w:val="Reasons"/>
      </w:pPr>
      <w:r w:rsidRPr="00DC61B3">
        <w:rPr>
          <w:b/>
        </w:rPr>
        <w:t>Motivos:</w:t>
      </w:r>
      <w:r w:rsidRPr="00DC61B3">
        <w:tab/>
      </w:r>
    </w:p>
    <w:p w14:paraId="5254D2D4" w14:textId="77777777" w:rsidR="007B2C32" w:rsidRPr="00DC61B3" w:rsidRDefault="00273BDD" w:rsidP="0000090A">
      <w:pPr>
        <w:pStyle w:val="AppendixNo"/>
      </w:pPr>
      <w:bookmarkStart w:id="86" w:name="_Toc46417127"/>
      <w:bookmarkStart w:id="87" w:name="_Toc46417556"/>
      <w:bookmarkStart w:id="88" w:name="_Toc46474287"/>
      <w:bookmarkStart w:id="89" w:name="_Toc46475668"/>
      <w:r w:rsidRPr="0000090A">
        <w:t>APÉNDICE</w:t>
      </w:r>
      <w:r w:rsidRPr="00DC61B3">
        <w:t xml:space="preserve"> </w:t>
      </w:r>
      <w:r w:rsidRPr="00DC61B3">
        <w:rPr>
          <w:rStyle w:val="href"/>
        </w:rPr>
        <w:t>5</w:t>
      </w:r>
      <w:r w:rsidRPr="00DC61B3">
        <w:t xml:space="preserve"> (</w:t>
      </w:r>
      <w:r w:rsidRPr="00DC61B3">
        <w:rPr>
          <w:caps w:val="0"/>
        </w:rPr>
        <w:t>REV</w:t>
      </w:r>
      <w:r w:rsidRPr="00DC61B3">
        <w:t>.CMR-19)</w:t>
      </w:r>
      <w:bookmarkEnd w:id="86"/>
      <w:bookmarkEnd w:id="87"/>
      <w:bookmarkEnd w:id="88"/>
      <w:bookmarkEnd w:id="89"/>
    </w:p>
    <w:p w14:paraId="1B28DFF1" w14:textId="77777777" w:rsidR="007B2C32" w:rsidRPr="00DC61B3" w:rsidRDefault="00273BDD" w:rsidP="007B2C32">
      <w:pPr>
        <w:pStyle w:val="Appendixtitle"/>
        <w:rPr>
          <w:color w:val="000000"/>
        </w:rPr>
      </w:pPr>
      <w:bookmarkStart w:id="90" w:name="_Toc46417128"/>
      <w:bookmarkStart w:id="91" w:name="_Toc46417557"/>
      <w:bookmarkStart w:id="92" w:name="_Toc46474288"/>
      <w:bookmarkStart w:id="93" w:name="_Toc46475669"/>
      <w:r w:rsidRPr="00DC61B3">
        <w:t>Identificación de las administraciones con las que ha de efectuarse</w:t>
      </w:r>
      <w:r w:rsidRPr="00DC61B3">
        <w:br/>
        <w:t>una coordinación o cuyo acuerdo se ha de obtener a tenor</w:t>
      </w:r>
      <w:r w:rsidRPr="00DC61B3">
        <w:br/>
        <w:t xml:space="preserve">de las disposiciones del Artículo </w:t>
      </w:r>
      <w:r w:rsidRPr="00DC61B3">
        <w:rPr>
          <w:rStyle w:val="Artref"/>
          <w:color w:val="000000"/>
        </w:rPr>
        <w:t>9</w:t>
      </w:r>
      <w:bookmarkEnd w:id="90"/>
      <w:bookmarkEnd w:id="91"/>
      <w:bookmarkEnd w:id="92"/>
      <w:bookmarkEnd w:id="93"/>
    </w:p>
    <w:p w14:paraId="0A23DAA0" w14:textId="77777777" w:rsidR="00B47676" w:rsidRPr="00DC61B3" w:rsidRDefault="00B47676">
      <w:pPr>
        <w:sectPr w:rsidR="00B47676" w:rsidRPr="00DC61B3">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sectPr>
      </w:pPr>
    </w:p>
    <w:p w14:paraId="1C86D6D6" w14:textId="77777777" w:rsidR="00B47676" w:rsidRPr="00DC61B3" w:rsidRDefault="00273BDD">
      <w:pPr>
        <w:pStyle w:val="Proposal"/>
      </w:pPr>
      <w:r w:rsidRPr="00DC61B3">
        <w:lastRenderedPageBreak/>
        <w:t>MOD</w:t>
      </w:r>
      <w:r w:rsidRPr="00DC61B3">
        <w:tab/>
        <w:t>EUR/65A19/12</w:t>
      </w:r>
      <w:r w:rsidRPr="00DC61B3">
        <w:rPr>
          <w:vanish/>
          <w:color w:val="7F7F7F" w:themeColor="text1" w:themeTint="80"/>
          <w:vertAlign w:val="superscript"/>
        </w:rPr>
        <w:t>#1939</w:t>
      </w:r>
    </w:p>
    <w:p w14:paraId="7BEC97BF" w14:textId="77777777" w:rsidR="007704DB" w:rsidRPr="00DC61B3" w:rsidRDefault="00273BDD" w:rsidP="00B42DC1">
      <w:pPr>
        <w:pStyle w:val="TableNo"/>
        <w:spacing w:before="480"/>
      </w:pPr>
      <w:r w:rsidRPr="00DC61B3">
        <w:t>CUADRO 5-1     </w:t>
      </w:r>
      <w:r w:rsidRPr="00DC61B3">
        <w:rPr>
          <w:sz w:val="16"/>
          <w:szCs w:val="16"/>
        </w:rPr>
        <w:t>(</w:t>
      </w:r>
      <w:r w:rsidRPr="00DC61B3">
        <w:rPr>
          <w:caps w:val="0"/>
          <w:sz w:val="16"/>
          <w:szCs w:val="16"/>
        </w:rPr>
        <w:t>Rev.</w:t>
      </w:r>
      <w:r w:rsidRPr="00DC61B3">
        <w:rPr>
          <w:sz w:val="16"/>
          <w:szCs w:val="16"/>
        </w:rPr>
        <w:t>CMR</w:t>
      </w:r>
      <w:r w:rsidRPr="00DC61B3">
        <w:rPr>
          <w:sz w:val="16"/>
          <w:szCs w:val="16"/>
        </w:rPr>
        <w:noBreakHyphen/>
      </w:r>
      <w:del w:id="95" w:author="Spanish83" w:date="2022-12-09T11:28:00Z">
        <w:r w:rsidRPr="00DC61B3" w:rsidDel="001D0296">
          <w:rPr>
            <w:sz w:val="16"/>
            <w:szCs w:val="16"/>
          </w:rPr>
          <w:delText>19</w:delText>
        </w:r>
      </w:del>
      <w:ins w:id="96" w:author="Spanish83" w:date="2022-12-09T11:28:00Z">
        <w:r w:rsidRPr="00DC61B3">
          <w:rPr>
            <w:sz w:val="16"/>
            <w:szCs w:val="16"/>
          </w:rPr>
          <w:t>23</w:t>
        </w:r>
      </w:ins>
      <w:r w:rsidRPr="00DC61B3">
        <w:rPr>
          <w:sz w:val="16"/>
          <w:szCs w:val="16"/>
        </w:rPr>
        <w:t>)</w:t>
      </w:r>
    </w:p>
    <w:p w14:paraId="3E866995" w14:textId="77777777" w:rsidR="007704DB" w:rsidRPr="00DC61B3" w:rsidRDefault="00273BDD">
      <w:pPr>
        <w:pStyle w:val="Tabletitle"/>
        <w:rPr>
          <w:rFonts w:ascii="Times New Roman"/>
          <w:b w:val="0"/>
        </w:rPr>
      </w:pPr>
      <w:r w:rsidRPr="00DC61B3">
        <w:t>Criterios técnicos para la coordinación</w:t>
      </w:r>
      <w:r w:rsidRPr="00DC61B3">
        <w:br/>
      </w:r>
      <w:r w:rsidRPr="00DC61B3">
        <w:rPr>
          <w:rFonts w:ascii="Times New Roman"/>
          <w:b w:val="0"/>
        </w:rPr>
        <w:t>(v</w:t>
      </w:r>
      <w:r w:rsidRPr="00DC61B3">
        <w:rPr>
          <w:rFonts w:ascii="Times New Roman" w:hAnsi="Times New Roman"/>
          <w:b w:val="0"/>
        </w:rPr>
        <w:t>é</w:t>
      </w:r>
      <w:r w:rsidRPr="00DC61B3">
        <w:rPr>
          <w:rFonts w:ascii="Times New Roman"/>
          <w:b w:val="0"/>
        </w:rPr>
        <w:t>ase el Art</w:t>
      </w:r>
      <w:r w:rsidRPr="00DC61B3">
        <w:rPr>
          <w:rFonts w:ascii="Times New Roman" w:hAnsi="Times New Roman"/>
          <w:b w:val="0"/>
        </w:rPr>
        <w:t>í</w:t>
      </w:r>
      <w:r w:rsidRPr="00DC61B3">
        <w:rPr>
          <w:rFonts w:ascii="Times New Roman"/>
          <w:b w:val="0"/>
        </w:rPr>
        <w:t>culo</w:t>
      </w:r>
      <w:r w:rsidRPr="00DC61B3">
        <w:rPr>
          <w:b w:val="0"/>
        </w:rPr>
        <w:t xml:space="preserve"> </w:t>
      </w:r>
      <w:r w:rsidRPr="00DC61B3">
        <w:rPr>
          <w:bCs/>
        </w:rPr>
        <w:t>9</w:t>
      </w:r>
      <w:r w:rsidRPr="00DC61B3">
        <w:rPr>
          <w:rFonts w:ascii="Times New Roman"/>
          <w:b w:val="0"/>
        </w:rPr>
        <w:t>)</w:t>
      </w:r>
    </w:p>
    <w:p w14:paraId="458D41E2" w14:textId="77777777" w:rsidR="007704DB" w:rsidRPr="00DC61B3" w:rsidRDefault="00273BDD">
      <w:r w:rsidRPr="00DC61B3">
        <w:t>...</w:t>
      </w:r>
    </w:p>
    <w:tbl>
      <w:tblPr>
        <w:tblW w:w="5000" w:type="pct"/>
        <w:jc w:val="center"/>
        <w:tblLayout w:type="fixed"/>
        <w:tblCellMar>
          <w:left w:w="68" w:type="dxa"/>
          <w:right w:w="68" w:type="dxa"/>
        </w:tblCellMar>
        <w:tblLook w:val="0000" w:firstRow="0" w:lastRow="0" w:firstColumn="0" w:lastColumn="0" w:noHBand="0" w:noVBand="0"/>
      </w:tblPr>
      <w:tblGrid>
        <w:gridCol w:w="1260"/>
        <w:gridCol w:w="2212"/>
        <w:gridCol w:w="2893"/>
        <w:gridCol w:w="4504"/>
        <w:gridCol w:w="1679"/>
        <w:gridCol w:w="1434"/>
      </w:tblGrid>
      <w:tr w:rsidR="007704DB" w:rsidRPr="00DC61B3" w14:paraId="0532411A" w14:textId="77777777">
        <w:trPr>
          <w:tblHeader/>
          <w:jc w:val="center"/>
        </w:trPr>
        <w:tc>
          <w:tcPr>
            <w:tcW w:w="1260" w:type="dxa"/>
            <w:tcBorders>
              <w:top w:val="single" w:sz="4" w:space="0" w:color="auto"/>
              <w:left w:val="single" w:sz="6" w:space="0" w:color="auto"/>
              <w:bottom w:val="single" w:sz="4" w:space="0" w:color="auto"/>
              <w:right w:val="single" w:sz="6" w:space="0" w:color="auto"/>
            </w:tcBorders>
            <w:vAlign w:val="center"/>
          </w:tcPr>
          <w:p w14:paraId="57256340" w14:textId="77777777" w:rsidR="007704DB" w:rsidRPr="00DC61B3" w:rsidRDefault="00273BDD">
            <w:pPr>
              <w:pStyle w:val="Tablehead"/>
            </w:pPr>
            <w:r w:rsidRPr="00DC61B3">
              <w:t>Referencia</w:t>
            </w:r>
            <w:r w:rsidRPr="00DC61B3">
              <w:br/>
              <w:t xml:space="preserve">del </w:t>
            </w:r>
            <w:r w:rsidRPr="00DC61B3">
              <w:br/>
              <w:t xml:space="preserve">Artículo </w:t>
            </w:r>
            <w:r w:rsidRPr="00DC61B3">
              <w:rPr>
                <w:rStyle w:val="Artref"/>
              </w:rPr>
              <w:t>9</w:t>
            </w:r>
          </w:p>
        </w:tc>
        <w:tc>
          <w:tcPr>
            <w:tcW w:w="2212" w:type="dxa"/>
            <w:tcBorders>
              <w:top w:val="single" w:sz="4" w:space="0" w:color="auto"/>
              <w:left w:val="single" w:sz="6" w:space="0" w:color="auto"/>
              <w:bottom w:val="single" w:sz="4" w:space="0" w:color="auto"/>
              <w:right w:val="single" w:sz="6" w:space="0" w:color="auto"/>
            </w:tcBorders>
            <w:vAlign w:val="center"/>
          </w:tcPr>
          <w:p w14:paraId="505D7A85" w14:textId="77777777" w:rsidR="007704DB" w:rsidRPr="00DC61B3" w:rsidRDefault="00273BDD">
            <w:pPr>
              <w:pStyle w:val="Tablehead"/>
            </w:pPr>
            <w:r w:rsidRPr="00DC61B3">
              <w:t>Caso</w:t>
            </w:r>
          </w:p>
        </w:tc>
        <w:tc>
          <w:tcPr>
            <w:tcW w:w="2893" w:type="dxa"/>
            <w:tcBorders>
              <w:top w:val="single" w:sz="4" w:space="0" w:color="auto"/>
              <w:left w:val="single" w:sz="6" w:space="0" w:color="auto"/>
              <w:bottom w:val="single" w:sz="4" w:space="0" w:color="auto"/>
              <w:right w:val="single" w:sz="6" w:space="0" w:color="auto"/>
            </w:tcBorders>
            <w:vAlign w:val="center"/>
          </w:tcPr>
          <w:p w14:paraId="2D322C37" w14:textId="77777777" w:rsidR="007704DB" w:rsidRPr="00DC61B3" w:rsidRDefault="00273BDD">
            <w:pPr>
              <w:pStyle w:val="Tablehead"/>
            </w:pPr>
            <w:r w:rsidRPr="00DC61B3">
              <w:t>Bandas de frecuencias (y Región) del servicio para el que</w:t>
            </w:r>
            <w:r w:rsidRPr="00DC61B3">
              <w:br/>
              <w:t>se solicita coordinación</w:t>
            </w:r>
          </w:p>
        </w:tc>
        <w:tc>
          <w:tcPr>
            <w:tcW w:w="4504" w:type="dxa"/>
            <w:tcBorders>
              <w:top w:val="single" w:sz="4" w:space="0" w:color="auto"/>
              <w:left w:val="single" w:sz="6" w:space="0" w:color="auto"/>
              <w:bottom w:val="single" w:sz="4" w:space="0" w:color="auto"/>
              <w:right w:val="single" w:sz="6" w:space="0" w:color="auto"/>
            </w:tcBorders>
            <w:vAlign w:val="center"/>
          </w:tcPr>
          <w:p w14:paraId="78D70308" w14:textId="77777777" w:rsidR="007704DB" w:rsidRPr="00DC61B3" w:rsidRDefault="00273BDD">
            <w:pPr>
              <w:pStyle w:val="Tablehead"/>
            </w:pPr>
            <w:r w:rsidRPr="00DC61B3">
              <w:t>Umbral/condición</w:t>
            </w:r>
          </w:p>
        </w:tc>
        <w:tc>
          <w:tcPr>
            <w:tcW w:w="1679" w:type="dxa"/>
            <w:tcBorders>
              <w:top w:val="single" w:sz="4" w:space="0" w:color="auto"/>
              <w:left w:val="single" w:sz="6" w:space="0" w:color="auto"/>
              <w:bottom w:val="single" w:sz="4" w:space="0" w:color="auto"/>
              <w:right w:val="single" w:sz="6" w:space="0" w:color="auto"/>
            </w:tcBorders>
            <w:vAlign w:val="center"/>
          </w:tcPr>
          <w:p w14:paraId="6B9C4DED" w14:textId="77777777" w:rsidR="007704DB" w:rsidRPr="00DC61B3" w:rsidRDefault="00273BDD">
            <w:pPr>
              <w:pStyle w:val="Tablehead"/>
            </w:pPr>
            <w:r w:rsidRPr="00DC61B3">
              <w:t>Método de cálculo</w:t>
            </w:r>
          </w:p>
        </w:tc>
        <w:tc>
          <w:tcPr>
            <w:tcW w:w="1434" w:type="dxa"/>
            <w:tcBorders>
              <w:top w:val="single" w:sz="4" w:space="0" w:color="auto"/>
              <w:left w:val="single" w:sz="6" w:space="0" w:color="auto"/>
              <w:bottom w:val="single" w:sz="4" w:space="0" w:color="auto"/>
              <w:right w:val="single" w:sz="6" w:space="0" w:color="auto"/>
            </w:tcBorders>
            <w:vAlign w:val="center"/>
          </w:tcPr>
          <w:p w14:paraId="66667F65" w14:textId="77777777" w:rsidR="007704DB" w:rsidRPr="00DC61B3" w:rsidRDefault="00273BDD">
            <w:pPr>
              <w:pStyle w:val="Tablehead"/>
            </w:pPr>
            <w:r w:rsidRPr="00DC61B3">
              <w:t>Observaciones</w:t>
            </w:r>
          </w:p>
        </w:tc>
      </w:tr>
      <w:tr w:rsidR="00814E24" w:rsidRPr="00DC61B3" w14:paraId="7B98A62A" w14:textId="77777777" w:rsidTr="00814E24">
        <w:trPr>
          <w:trHeight w:val="202"/>
          <w:tblHeader/>
          <w:jc w:val="center"/>
        </w:trPr>
        <w:tc>
          <w:tcPr>
            <w:tcW w:w="1260" w:type="dxa"/>
            <w:tcBorders>
              <w:top w:val="single" w:sz="4" w:space="0" w:color="auto"/>
              <w:left w:val="single" w:sz="6" w:space="0" w:color="auto"/>
              <w:bottom w:val="single" w:sz="4" w:space="0" w:color="auto"/>
              <w:right w:val="single" w:sz="6" w:space="0" w:color="auto"/>
            </w:tcBorders>
          </w:tcPr>
          <w:p w14:paraId="58B72E7E" w14:textId="1E282C7B" w:rsidR="00814E24" w:rsidRPr="00814E24" w:rsidRDefault="00814E24" w:rsidP="00814E24">
            <w:pPr>
              <w:pStyle w:val="Tabletext"/>
              <w:rPr>
                <w:b/>
                <w:bCs/>
              </w:rPr>
            </w:pPr>
            <w:r w:rsidRPr="00EB4627">
              <w:rPr>
                <w:lang w:val="en-US"/>
              </w:rPr>
              <w:t>…</w:t>
            </w:r>
          </w:p>
        </w:tc>
        <w:tc>
          <w:tcPr>
            <w:tcW w:w="2212" w:type="dxa"/>
            <w:tcBorders>
              <w:top w:val="single" w:sz="4" w:space="0" w:color="auto"/>
              <w:left w:val="single" w:sz="6" w:space="0" w:color="auto"/>
              <w:bottom w:val="single" w:sz="4" w:space="0" w:color="auto"/>
              <w:right w:val="single" w:sz="6" w:space="0" w:color="auto"/>
            </w:tcBorders>
            <w:vAlign w:val="center"/>
          </w:tcPr>
          <w:p w14:paraId="067F7E94" w14:textId="420133B3" w:rsidR="00814E24" w:rsidRPr="00814E24" w:rsidRDefault="00814E24" w:rsidP="00814E24">
            <w:pPr>
              <w:pStyle w:val="Tabletext"/>
              <w:rPr>
                <w:lang w:val="en-US"/>
              </w:rPr>
            </w:pPr>
            <w:r w:rsidRPr="00EB4627">
              <w:rPr>
                <w:lang w:val="en-US"/>
              </w:rPr>
              <w:t>…</w:t>
            </w:r>
          </w:p>
        </w:tc>
        <w:tc>
          <w:tcPr>
            <w:tcW w:w="2893" w:type="dxa"/>
            <w:tcBorders>
              <w:top w:val="single" w:sz="4" w:space="0" w:color="auto"/>
              <w:left w:val="single" w:sz="6" w:space="0" w:color="auto"/>
              <w:bottom w:val="single" w:sz="4" w:space="0" w:color="auto"/>
              <w:right w:val="single" w:sz="6" w:space="0" w:color="auto"/>
            </w:tcBorders>
            <w:vAlign w:val="center"/>
          </w:tcPr>
          <w:p w14:paraId="6427AF55" w14:textId="43293584" w:rsidR="00814E24" w:rsidRPr="00814E24" w:rsidRDefault="00814E24" w:rsidP="00814E24">
            <w:pPr>
              <w:pStyle w:val="Tabletext"/>
              <w:rPr>
                <w:lang w:val="en-US"/>
              </w:rPr>
            </w:pPr>
            <w:r w:rsidRPr="00EB4627">
              <w:rPr>
                <w:lang w:val="en-US"/>
              </w:rPr>
              <w:t>…</w:t>
            </w:r>
          </w:p>
        </w:tc>
        <w:tc>
          <w:tcPr>
            <w:tcW w:w="4504" w:type="dxa"/>
            <w:tcBorders>
              <w:top w:val="single" w:sz="4" w:space="0" w:color="auto"/>
              <w:left w:val="single" w:sz="6" w:space="0" w:color="auto"/>
              <w:bottom w:val="single" w:sz="4" w:space="0" w:color="auto"/>
              <w:right w:val="single" w:sz="6" w:space="0" w:color="auto"/>
            </w:tcBorders>
            <w:vAlign w:val="center"/>
          </w:tcPr>
          <w:p w14:paraId="617E393A" w14:textId="1EF6DA7A" w:rsidR="00814E24" w:rsidRPr="00814E24" w:rsidRDefault="00814E24" w:rsidP="00814E24">
            <w:pPr>
              <w:pStyle w:val="Tabletext"/>
              <w:rPr>
                <w:lang w:val="en-US"/>
              </w:rPr>
            </w:pPr>
            <w:r w:rsidRPr="00EB4627">
              <w:rPr>
                <w:lang w:val="en-US"/>
              </w:rPr>
              <w:t>…</w:t>
            </w:r>
          </w:p>
        </w:tc>
        <w:tc>
          <w:tcPr>
            <w:tcW w:w="1679" w:type="dxa"/>
            <w:tcBorders>
              <w:top w:val="single" w:sz="4" w:space="0" w:color="auto"/>
              <w:left w:val="single" w:sz="6" w:space="0" w:color="auto"/>
              <w:bottom w:val="single" w:sz="4" w:space="0" w:color="auto"/>
              <w:right w:val="single" w:sz="6" w:space="0" w:color="auto"/>
            </w:tcBorders>
            <w:vAlign w:val="center"/>
          </w:tcPr>
          <w:p w14:paraId="42664EBF" w14:textId="7F2845C5" w:rsidR="00814E24" w:rsidRPr="00DC61B3" w:rsidRDefault="00814E24" w:rsidP="00814E24">
            <w:pPr>
              <w:pStyle w:val="Tabletext"/>
            </w:pPr>
            <w:r w:rsidRPr="00EB4627">
              <w:rPr>
                <w:lang w:val="en-US"/>
              </w:rPr>
              <w:t>…</w:t>
            </w:r>
          </w:p>
        </w:tc>
        <w:tc>
          <w:tcPr>
            <w:tcW w:w="1434" w:type="dxa"/>
            <w:tcBorders>
              <w:top w:val="single" w:sz="4" w:space="0" w:color="auto"/>
              <w:left w:val="single" w:sz="6" w:space="0" w:color="auto"/>
              <w:bottom w:val="single" w:sz="4" w:space="0" w:color="auto"/>
              <w:right w:val="single" w:sz="6" w:space="0" w:color="auto"/>
            </w:tcBorders>
            <w:vAlign w:val="center"/>
          </w:tcPr>
          <w:p w14:paraId="69E7C5B5" w14:textId="47099366" w:rsidR="00814E24" w:rsidRPr="00DC61B3" w:rsidRDefault="00814E24" w:rsidP="00814E24">
            <w:pPr>
              <w:pStyle w:val="Tabletext"/>
            </w:pPr>
            <w:r w:rsidRPr="00814E24">
              <w:t>…</w:t>
            </w:r>
          </w:p>
        </w:tc>
      </w:tr>
      <w:tr w:rsidR="00814E24" w:rsidRPr="00DC61B3" w14:paraId="566BC14A" w14:textId="77777777">
        <w:trPr>
          <w:jc w:val="center"/>
        </w:trPr>
        <w:tc>
          <w:tcPr>
            <w:tcW w:w="1260" w:type="dxa"/>
            <w:vMerge w:val="restart"/>
            <w:tcBorders>
              <w:top w:val="single" w:sz="4" w:space="0" w:color="auto"/>
              <w:left w:val="single" w:sz="4" w:space="0" w:color="auto"/>
              <w:right w:val="single" w:sz="4" w:space="0" w:color="auto"/>
            </w:tcBorders>
          </w:tcPr>
          <w:p w14:paraId="73F83C23" w14:textId="77777777" w:rsidR="00814E24" w:rsidRPr="00DC61B3" w:rsidRDefault="00814E24" w:rsidP="00814E24">
            <w:pPr>
              <w:pStyle w:val="Tabletext"/>
            </w:pPr>
            <w:r w:rsidRPr="00DC61B3">
              <w:t xml:space="preserve">Número </w:t>
            </w:r>
            <w:r w:rsidRPr="00DC61B3">
              <w:rPr>
                <w:rStyle w:val="Artref"/>
                <w:b/>
              </w:rPr>
              <w:t>9.7</w:t>
            </w:r>
            <w:r w:rsidRPr="00DC61B3">
              <w:br/>
              <w:t xml:space="preserve">OSG/OSG </w:t>
            </w:r>
            <w:r w:rsidRPr="00DC61B3">
              <w:rPr>
                <w:i/>
                <w:iCs/>
              </w:rPr>
              <w:t>(cont.)</w:t>
            </w:r>
          </w:p>
        </w:tc>
        <w:tc>
          <w:tcPr>
            <w:tcW w:w="2212" w:type="dxa"/>
            <w:tcBorders>
              <w:top w:val="single" w:sz="4" w:space="0" w:color="auto"/>
              <w:left w:val="single" w:sz="4" w:space="0" w:color="auto"/>
              <w:right w:val="single" w:sz="4" w:space="0" w:color="auto"/>
            </w:tcBorders>
          </w:tcPr>
          <w:p w14:paraId="152805AD" w14:textId="77777777" w:rsidR="00814E24" w:rsidRPr="00DC61B3" w:rsidRDefault="00814E24" w:rsidP="00814E24">
            <w:pPr>
              <w:pStyle w:val="Tabletext"/>
            </w:pPr>
          </w:p>
        </w:tc>
        <w:tc>
          <w:tcPr>
            <w:tcW w:w="2893" w:type="dxa"/>
            <w:tcBorders>
              <w:top w:val="single" w:sz="4" w:space="0" w:color="auto"/>
              <w:left w:val="single" w:sz="4" w:space="0" w:color="auto"/>
              <w:right w:val="single" w:sz="4" w:space="0" w:color="auto"/>
            </w:tcBorders>
          </w:tcPr>
          <w:p w14:paraId="3B6E742C" w14:textId="77777777" w:rsidR="00814E24" w:rsidRPr="00DC61B3" w:rsidRDefault="00814E24" w:rsidP="00814E24">
            <w:pPr>
              <w:pStyle w:val="Tabletext"/>
              <w:ind w:left="567" w:hanging="567"/>
            </w:pPr>
            <w:r w:rsidRPr="00DC61B3">
              <w:t>2</w:t>
            </w:r>
            <w:r w:rsidRPr="00DC61B3">
              <w:rPr>
                <w:i/>
                <w:iCs/>
              </w:rPr>
              <w:t>bis</w:t>
            </w:r>
            <w:r w:rsidRPr="00DC61B3">
              <w:t>)</w:t>
            </w:r>
            <w:r w:rsidRPr="00DC61B3">
              <w:tab/>
              <w:t>13,4-13,65 GHz</w:t>
            </w:r>
            <w:r w:rsidRPr="00DC61B3">
              <w:br/>
              <w:t>(Región 1)</w:t>
            </w:r>
          </w:p>
        </w:tc>
        <w:tc>
          <w:tcPr>
            <w:tcW w:w="4504" w:type="dxa"/>
            <w:tcBorders>
              <w:top w:val="single" w:sz="4" w:space="0" w:color="auto"/>
              <w:left w:val="single" w:sz="4" w:space="0" w:color="auto"/>
              <w:right w:val="single" w:sz="4" w:space="0" w:color="auto"/>
            </w:tcBorders>
          </w:tcPr>
          <w:p w14:paraId="176B89EA" w14:textId="77777777" w:rsidR="00814E24" w:rsidRPr="00DC61B3" w:rsidRDefault="00814E24" w:rsidP="00814E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DC61B3">
              <w:rPr>
                <w:sz w:val="20"/>
              </w:rPr>
              <w:t>i)</w:t>
            </w:r>
            <w:r w:rsidRPr="00DC61B3">
              <w:rPr>
                <w:sz w:val="20"/>
              </w:rPr>
              <w:tab/>
              <w:t>Solapamiento de ancho de banda, y</w:t>
            </w:r>
          </w:p>
          <w:p w14:paraId="139685E4" w14:textId="77777777" w:rsidR="00814E24" w:rsidRPr="00DC61B3" w:rsidRDefault="00814E24" w:rsidP="00814E24">
            <w:pPr>
              <w:pStyle w:val="Tabletext"/>
              <w:ind w:left="284" w:hanging="284"/>
            </w:pPr>
            <w:r w:rsidRPr="00DC61B3">
              <w:t>ii)</w:t>
            </w:r>
            <w:r w:rsidRPr="00DC61B3">
              <w:tab/>
              <w:t>cualquier red del servicio de investigación esp</w:t>
            </w:r>
            <w:del w:id="97" w:author="Spanish83" w:date="2022-12-09T14:46:00Z">
              <w:r w:rsidRPr="00DC61B3" w:rsidDel="00A611E6">
                <w:delText>e</w:delText>
              </w:r>
            </w:del>
            <w:ins w:id="98" w:author="Spanish83" w:date="2022-12-09T14:46:00Z">
              <w:r w:rsidRPr="00DC61B3">
                <w:t>a</w:t>
              </w:r>
            </w:ins>
            <w:r w:rsidRPr="00DC61B3">
              <w:t>cial (SIE) o cualquier red del SFS y cualquier función asociada para las operaciones espaciales (véase el número </w:t>
            </w:r>
            <w:r w:rsidRPr="00DC61B3">
              <w:rPr>
                <w:b/>
                <w:bCs/>
              </w:rPr>
              <w:t>1.23</w:t>
            </w:r>
            <w:r w:rsidRPr="00DC61B3">
              <w:t>) con una estación espacial dentro de un arco orbital de ±6° respecto a la posición orbital nominal de la red propuesta del SFS o del SIE</w:t>
            </w:r>
          </w:p>
        </w:tc>
        <w:tc>
          <w:tcPr>
            <w:tcW w:w="1679" w:type="dxa"/>
            <w:tcBorders>
              <w:top w:val="single" w:sz="4" w:space="0" w:color="auto"/>
              <w:left w:val="single" w:sz="4" w:space="0" w:color="auto"/>
              <w:right w:val="single" w:sz="4" w:space="0" w:color="auto"/>
            </w:tcBorders>
          </w:tcPr>
          <w:p w14:paraId="109B31EE" w14:textId="77777777" w:rsidR="00814E24" w:rsidRPr="00DC61B3" w:rsidRDefault="00814E24" w:rsidP="00814E24">
            <w:pPr>
              <w:pStyle w:val="Tabletext"/>
            </w:pPr>
          </w:p>
        </w:tc>
        <w:tc>
          <w:tcPr>
            <w:tcW w:w="1434" w:type="dxa"/>
            <w:tcBorders>
              <w:top w:val="single" w:sz="4" w:space="0" w:color="auto"/>
              <w:left w:val="single" w:sz="4" w:space="0" w:color="auto"/>
              <w:right w:val="single" w:sz="4" w:space="0" w:color="auto"/>
            </w:tcBorders>
          </w:tcPr>
          <w:p w14:paraId="2CD7307C" w14:textId="77777777" w:rsidR="00814E24" w:rsidRPr="00DC61B3" w:rsidRDefault="00814E24" w:rsidP="00814E24">
            <w:pPr>
              <w:pStyle w:val="Tabletext"/>
            </w:pPr>
          </w:p>
        </w:tc>
      </w:tr>
      <w:tr w:rsidR="00814E24" w:rsidRPr="00DC61B3" w14:paraId="2D98D6C0" w14:textId="77777777">
        <w:trPr>
          <w:jc w:val="center"/>
        </w:trPr>
        <w:tc>
          <w:tcPr>
            <w:tcW w:w="1260" w:type="dxa"/>
            <w:vMerge/>
            <w:tcBorders>
              <w:left w:val="single" w:sz="4" w:space="0" w:color="auto"/>
              <w:right w:val="single" w:sz="4" w:space="0" w:color="auto"/>
            </w:tcBorders>
          </w:tcPr>
          <w:p w14:paraId="7EE30F38" w14:textId="77777777" w:rsidR="00814E24" w:rsidRPr="00DC61B3" w:rsidRDefault="00814E24" w:rsidP="00814E24">
            <w:pPr>
              <w:pStyle w:val="Tabletext"/>
            </w:pPr>
          </w:p>
        </w:tc>
        <w:tc>
          <w:tcPr>
            <w:tcW w:w="2212" w:type="dxa"/>
            <w:tcBorders>
              <w:left w:val="single" w:sz="4" w:space="0" w:color="auto"/>
              <w:right w:val="single" w:sz="4" w:space="0" w:color="auto"/>
            </w:tcBorders>
          </w:tcPr>
          <w:p w14:paraId="67CBC14A" w14:textId="77777777" w:rsidR="00814E24" w:rsidRPr="00DC61B3" w:rsidRDefault="00814E24" w:rsidP="00814E24">
            <w:pPr>
              <w:pStyle w:val="Tabletext"/>
            </w:pPr>
          </w:p>
        </w:tc>
        <w:tc>
          <w:tcPr>
            <w:tcW w:w="2893" w:type="dxa"/>
            <w:tcBorders>
              <w:left w:val="single" w:sz="4" w:space="0" w:color="auto"/>
              <w:right w:val="single" w:sz="4" w:space="0" w:color="auto"/>
            </w:tcBorders>
          </w:tcPr>
          <w:p w14:paraId="0EC32E18" w14:textId="77777777" w:rsidR="00814E24" w:rsidRPr="00DC61B3" w:rsidRDefault="00814E24" w:rsidP="00814E24">
            <w:pPr>
              <w:pStyle w:val="Tabletext"/>
              <w:ind w:left="284" w:hanging="284"/>
            </w:pPr>
            <w:r w:rsidRPr="00DC61B3">
              <w:t>3)</w:t>
            </w:r>
            <w:r w:rsidRPr="00DC61B3">
              <w:tab/>
              <w:t>17,7</w:t>
            </w:r>
            <w:r w:rsidRPr="00DC61B3">
              <w:noBreakHyphen/>
              <w:t xml:space="preserve">19,7 GHz </w:t>
            </w:r>
            <w:r w:rsidRPr="00DC61B3">
              <w:br/>
              <w:t>(Regi</w:t>
            </w:r>
            <w:del w:id="99" w:author="Spanish83" w:date="2022-12-09T14:46:00Z">
              <w:r w:rsidRPr="00DC61B3" w:rsidDel="00A611E6">
                <w:delText>o</w:delText>
              </w:r>
            </w:del>
            <w:ins w:id="100" w:author="Spanish83" w:date="2022-12-09T14:46:00Z">
              <w:r w:rsidRPr="00DC61B3">
                <w:t>ó</w:t>
              </w:r>
            </w:ins>
            <w:r w:rsidRPr="00DC61B3">
              <w:t>n</w:t>
            </w:r>
            <w:del w:id="101" w:author="Spanish83" w:date="2022-12-09T14:46:00Z">
              <w:r w:rsidRPr="00DC61B3" w:rsidDel="00A611E6">
                <w:delText>es</w:delText>
              </w:r>
            </w:del>
            <w:r w:rsidRPr="00DC61B3">
              <w:t> </w:t>
            </w:r>
            <w:del w:id="102" w:author="Spanish83" w:date="2022-12-09T14:46:00Z">
              <w:r w:rsidRPr="00DC61B3" w:rsidDel="00A611E6">
                <w:delText xml:space="preserve">2 y </w:delText>
              </w:r>
            </w:del>
            <w:r w:rsidRPr="00DC61B3">
              <w:t>3), 17,3</w:t>
            </w:r>
            <w:r w:rsidRPr="00DC61B3">
              <w:noBreakHyphen/>
              <w:t xml:space="preserve">19,7 GHz </w:t>
            </w:r>
            <w:r w:rsidRPr="00DC61B3">
              <w:br/>
              <w:t>(Regi</w:t>
            </w:r>
            <w:del w:id="103" w:author="Spanish83" w:date="2022-12-09T11:30:00Z">
              <w:r w:rsidRPr="00DC61B3" w:rsidDel="001D0296">
                <w:delText>ón</w:delText>
              </w:r>
            </w:del>
            <w:ins w:id="104" w:author="Spanish83" w:date="2022-12-09T11:30:00Z">
              <w:r w:rsidRPr="00DC61B3">
                <w:t>ones</w:t>
              </w:r>
            </w:ins>
            <w:r w:rsidRPr="00DC61B3">
              <w:t> 1</w:t>
            </w:r>
            <w:ins w:id="105" w:author="Spanish83" w:date="2022-12-09T11:30:00Z">
              <w:r w:rsidRPr="00DC61B3">
                <w:t xml:space="preserve"> y 2</w:t>
              </w:r>
            </w:ins>
            <w:r w:rsidRPr="00DC61B3">
              <w:t>) y</w:t>
            </w:r>
            <w:r w:rsidRPr="00DC61B3">
              <w:br/>
              <w:t>27,5</w:t>
            </w:r>
            <w:r w:rsidRPr="00DC61B3">
              <w:noBreakHyphen/>
              <w:t>29,5 GHz</w:t>
            </w:r>
          </w:p>
        </w:tc>
        <w:tc>
          <w:tcPr>
            <w:tcW w:w="4504" w:type="dxa"/>
            <w:tcBorders>
              <w:left w:val="single" w:sz="4" w:space="0" w:color="auto"/>
              <w:right w:val="single" w:sz="4" w:space="0" w:color="auto"/>
            </w:tcBorders>
          </w:tcPr>
          <w:p w14:paraId="70CC0C02" w14:textId="77777777" w:rsidR="00814E24" w:rsidRPr="00DC61B3" w:rsidRDefault="00814E24" w:rsidP="00814E24">
            <w:pPr>
              <w:pStyle w:val="Tabletext"/>
              <w:ind w:left="284" w:hanging="284"/>
            </w:pPr>
            <w:r w:rsidRPr="00DC61B3">
              <w:t>i)</w:t>
            </w:r>
            <w:r w:rsidRPr="00DC61B3">
              <w:tab/>
              <w:t>Solapamiento de ancho de banda; y</w:t>
            </w:r>
          </w:p>
          <w:p w14:paraId="5EF598E5" w14:textId="77777777" w:rsidR="00814E24" w:rsidRPr="00DC61B3" w:rsidRDefault="00814E24" w:rsidP="00814E24">
            <w:pPr>
              <w:pStyle w:val="Tabletext"/>
              <w:ind w:left="284" w:hanging="284"/>
            </w:pPr>
            <w:r w:rsidRPr="00DC61B3">
              <w:t>ii)</w:t>
            </w:r>
            <w:r w:rsidRPr="00DC61B3">
              <w:tab/>
              <w:t>cualquier red del SFS y cualquier función asociada para las operaciones espaciales (véase el número </w:t>
            </w:r>
            <w:r w:rsidRPr="00DC61B3">
              <w:rPr>
                <w:rStyle w:val="Artref"/>
                <w:b/>
              </w:rPr>
              <w:t>1.23</w:t>
            </w:r>
            <w:r w:rsidRPr="00DC61B3">
              <w:t xml:space="preserve">) con una estación espacial dentro de un arco orbital de </w:t>
            </w:r>
            <w:r w:rsidRPr="00DC61B3">
              <w:sym w:font="Symbol" w:char="F0B1"/>
            </w:r>
            <w:r w:rsidRPr="00DC61B3">
              <w:t>8° respecto de la posición orbital nominal de una red propuesta del SFS</w:t>
            </w:r>
          </w:p>
        </w:tc>
        <w:tc>
          <w:tcPr>
            <w:tcW w:w="1679" w:type="dxa"/>
            <w:tcBorders>
              <w:left w:val="single" w:sz="4" w:space="0" w:color="auto"/>
              <w:right w:val="single" w:sz="4" w:space="0" w:color="auto"/>
            </w:tcBorders>
          </w:tcPr>
          <w:p w14:paraId="0EF75FE3" w14:textId="77777777" w:rsidR="00814E24" w:rsidRPr="00DC61B3" w:rsidRDefault="00814E24" w:rsidP="00814E24">
            <w:pPr>
              <w:pStyle w:val="Tabletext"/>
            </w:pPr>
          </w:p>
        </w:tc>
        <w:tc>
          <w:tcPr>
            <w:tcW w:w="1434" w:type="dxa"/>
            <w:tcBorders>
              <w:left w:val="single" w:sz="4" w:space="0" w:color="auto"/>
              <w:right w:val="single" w:sz="4" w:space="0" w:color="auto"/>
            </w:tcBorders>
          </w:tcPr>
          <w:p w14:paraId="43264103" w14:textId="77777777" w:rsidR="00814E24" w:rsidRPr="00DC61B3" w:rsidRDefault="00814E24" w:rsidP="00814E24">
            <w:pPr>
              <w:pStyle w:val="Tabletext"/>
            </w:pPr>
          </w:p>
        </w:tc>
      </w:tr>
      <w:tr w:rsidR="00814E24" w:rsidRPr="00DC61B3" w14:paraId="696EE6DC" w14:textId="77777777" w:rsidTr="00D210C4">
        <w:trPr>
          <w:jc w:val="center"/>
        </w:trPr>
        <w:tc>
          <w:tcPr>
            <w:tcW w:w="1260" w:type="dxa"/>
            <w:vMerge/>
            <w:tcBorders>
              <w:left w:val="single" w:sz="4" w:space="0" w:color="auto"/>
              <w:right w:val="single" w:sz="4" w:space="0" w:color="auto"/>
            </w:tcBorders>
          </w:tcPr>
          <w:p w14:paraId="5B73423D" w14:textId="77777777" w:rsidR="00814E24" w:rsidRPr="00DC61B3" w:rsidRDefault="00814E24" w:rsidP="00814E24">
            <w:pPr>
              <w:pStyle w:val="Tabletext"/>
            </w:pPr>
          </w:p>
        </w:tc>
        <w:tc>
          <w:tcPr>
            <w:tcW w:w="2212" w:type="dxa"/>
            <w:tcBorders>
              <w:left w:val="single" w:sz="4" w:space="0" w:color="auto"/>
              <w:right w:val="single" w:sz="4" w:space="0" w:color="auto"/>
            </w:tcBorders>
          </w:tcPr>
          <w:p w14:paraId="6FC10ABB" w14:textId="77777777" w:rsidR="00814E24" w:rsidRPr="00DC61B3" w:rsidRDefault="00814E24" w:rsidP="00814E24">
            <w:pPr>
              <w:pStyle w:val="Tabletext"/>
            </w:pPr>
          </w:p>
        </w:tc>
        <w:tc>
          <w:tcPr>
            <w:tcW w:w="2893" w:type="dxa"/>
            <w:tcBorders>
              <w:left w:val="single" w:sz="4" w:space="0" w:color="auto"/>
              <w:right w:val="single" w:sz="4" w:space="0" w:color="auto"/>
            </w:tcBorders>
          </w:tcPr>
          <w:p w14:paraId="5BC58957" w14:textId="77777777" w:rsidR="00814E24" w:rsidRPr="00DC61B3" w:rsidRDefault="00814E24" w:rsidP="00814E24">
            <w:pPr>
              <w:pStyle w:val="Tabletext"/>
              <w:ind w:left="567" w:hanging="567"/>
            </w:pPr>
            <w:r w:rsidRPr="00DC61B3">
              <w:t>3</w:t>
            </w:r>
            <w:r w:rsidRPr="00DC61B3">
              <w:rPr>
                <w:i/>
                <w:iCs/>
              </w:rPr>
              <w:t>bis</w:t>
            </w:r>
            <w:r w:rsidRPr="00DC61B3">
              <w:t>)</w:t>
            </w:r>
            <w:r w:rsidRPr="00DC61B3">
              <w:tab/>
              <w:t>19,7-20,2 GHz y</w:t>
            </w:r>
            <w:r w:rsidRPr="00DC61B3">
              <w:br/>
              <w:t>29,5-30 GHz</w:t>
            </w:r>
          </w:p>
        </w:tc>
        <w:tc>
          <w:tcPr>
            <w:tcW w:w="4504" w:type="dxa"/>
            <w:tcBorders>
              <w:left w:val="single" w:sz="4" w:space="0" w:color="auto"/>
              <w:right w:val="single" w:sz="4" w:space="0" w:color="auto"/>
            </w:tcBorders>
          </w:tcPr>
          <w:p w14:paraId="4432AD8A" w14:textId="77777777" w:rsidR="00814E24" w:rsidRPr="00DC61B3" w:rsidRDefault="00814E24" w:rsidP="00814E24">
            <w:pPr>
              <w:pStyle w:val="Tabletext"/>
              <w:ind w:left="284" w:hanging="284"/>
            </w:pPr>
            <w:r w:rsidRPr="00DC61B3">
              <w:t>i)</w:t>
            </w:r>
            <w:r w:rsidRPr="00DC61B3">
              <w:tab/>
              <w:t>Solapamiento de ancho de banda; y</w:t>
            </w:r>
          </w:p>
          <w:p w14:paraId="6738664A" w14:textId="77777777" w:rsidR="00814E24" w:rsidRPr="00DC61B3" w:rsidRDefault="00814E24" w:rsidP="00814E24">
            <w:pPr>
              <w:pStyle w:val="Tabletext"/>
              <w:spacing w:after="80"/>
              <w:ind w:left="284" w:hanging="284"/>
            </w:pPr>
            <w:r w:rsidRPr="00DC61B3">
              <w:t>ii)</w:t>
            </w:r>
            <w:r w:rsidRPr="00DC61B3">
              <w:tab/>
              <w:t>cualquier red del SFS o del servicio móvil por satélite (SMS) y cualquier función asociada para las operaciones espaciales (véase el número </w:t>
            </w:r>
            <w:r w:rsidRPr="00DC61B3">
              <w:rPr>
                <w:rStyle w:val="Artref"/>
                <w:b/>
              </w:rPr>
              <w:t>1.23</w:t>
            </w:r>
            <w:r w:rsidRPr="00DC61B3">
              <w:t xml:space="preserve">) con una estación espacial dentro de un arco orbital de </w:t>
            </w:r>
            <w:r w:rsidRPr="00DC61B3">
              <w:sym w:font="Symbol" w:char="F0B1"/>
            </w:r>
            <w:r w:rsidRPr="00DC61B3">
              <w:t>8° respecto a la posición orbital nominal de una red propuesta del SFS o del SMS</w:t>
            </w:r>
          </w:p>
        </w:tc>
        <w:tc>
          <w:tcPr>
            <w:tcW w:w="1679" w:type="dxa"/>
            <w:tcBorders>
              <w:left w:val="single" w:sz="4" w:space="0" w:color="auto"/>
              <w:right w:val="single" w:sz="4" w:space="0" w:color="auto"/>
            </w:tcBorders>
          </w:tcPr>
          <w:p w14:paraId="79B918F2" w14:textId="77777777" w:rsidR="00814E24" w:rsidRPr="00DC61B3" w:rsidRDefault="00814E24" w:rsidP="00814E24">
            <w:pPr>
              <w:pStyle w:val="Tabletext"/>
            </w:pPr>
          </w:p>
        </w:tc>
        <w:tc>
          <w:tcPr>
            <w:tcW w:w="1434" w:type="dxa"/>
            <w:tcBorders>
              <w:left w:val="single" w:sz="4" w:space="0" w:color="auto"/>
              <w:right w:val="single" w:sz="4" w:space="0" w:color="auto"/>
            </w:tcBorders>
          </w:tcPr>
          <w:p w14:paraId="4CFEE39D" w14:textId="77777777" w:rsidR="00814E24" w:rsidRPr="00DC61B3" w:rsidRDefault="00814E24" w:rsidP="00814E24">
            <w:pPr>
              <w:pStyle w:val="Tabletext"/>
            </w:pPr>
          </w:p>
        </w:tc>
      </w:tr>
      <w:tr w:rsidR="00814E24" w:rsidRPr="00DC61B3" w14:paraId="172B854C" w14:textId="77777777">
        <w:trPr>
          <w:jc w:val="center"/>
        </w:trPr>
        <w:tc>
          <w:tcPr>
            <w:tcW w:w="1260" w:type="dxa"/>
            <w:vMerge/>
            <w:tcBorders>
              <w:left w:val="single" w:sz="4" w:space="0" w:color="auto"/>
              <w:bottom w:val="single" w:sz="4" w:space="0" w:color="auto"/>
              <w:right w:val="single" w:sz="4" w:space="0" w:color="auto"/>
            </w:tcBorders>
          </w:tcPr>
          <w:p w14:paraId="5E9B642E" w14:textId="77777777" w:rsidR="00814E24" w:rsidRPr="00DC61B3" w:rsidRDefault="00814E24" w:rsidP="00814E24">
            <w:pPr>
              <w:pStyle w:val="Tabletext"/>
            </w:pPr>
          </w:p>
        </w:tc>
        <w:tc>
          <w:tcPr>
            <w:tcW w:w="2212" w:type="dxa"/>
            <w:tcBorders>
              <w:left w:val="single" w:sz="4" w:space="0" w:color="auto"/>
              <w:bottom w:val="single" w:sz="4" w:space="0" w:color="auto"/>
              <w:right w:val="single" w:sz="4" w:space="0" w:color="auto"/>
            </w:tcBorders>
          </w:tcPr>
          <w:p w14:paraId="0A5F25E3" w14:textId="77777777" w:rsidR="00814E24" w:rsidRPr="00DC61B3" w:rsidRDefault="00814E24" w:rsidP="00814E24">
            <w:pPr>
              <w:pStyle w:val="Tabletext"/>
            </w:pPr>
          </w:p>
        </w:tc>
        <w:tc>
          <w:tcPr>
            <w:tcW w:w="2893" w:type="dxa"/>
            <w:tcBorders>
              <w:left w:val="single" w:sz="4" w:space="0" w:color="auto"/>
              <w:bottom w:val="single" w:sz="4" w:space="0" w:color="auto"/>
              <w:right w:val="single" w:sz="4" w:space="0" w:color="auto"/>
            </w:tcBorders>
          </w:tcPr>
          <w:p w14:paraId="7F3D1B86" w14:textId="77777777" w:rsidR="00814E24" w:rsidRPr="00DC61B3" w:rsidRDefault="00814E24" w:rsidP="00814E24">
            <w:pPr>
              <w:pStyle w:val="Tabletext"/>
            </w:pPr>
          </w:p>
        </w:tc>
        <w:tc>
          <w:tcPr>
            <w:tcW w:w="4504" w:type="dxa"/>
            <w:tcBorders>
              <w:left w:val="single" w:sz="4" w:space="0" w:color="auto"/>
              <w:bottom w:val="single" w:sz="4" w:space="0" w:color="auto"/>
              <w:right w:val="single" w:sz="4" w:space="0" w:color="auto"/>
            </w:tcBorders>
          </w:tcPr>
          <w:p w14:paraId="6655EE5F" w14:textId="77777777" w:rsidR="00814E24" w:rsidRPr="00DC61B3" w:rsidRDefault="00814E24" w:rsidP="00814E24">
            <w:pPr>
              <w:pStyle w:val="Tabletext"/>
            </w:pPr>
          </w:p>
        </w:tc>
        <w:tc>
          <w:tcPr>
            <w:tcW w:w="1679" w:type="dxa"/>
            <w:tcBorders>
              <w:left w:val="single" w:sz="4" w:space="0" w:color="auto"/>
              <w:bottom w:val="single" w:sz="4" w:space="0" w:color="auto"/>
              <w:right w:val="single" w:sz="4" w:space="0" w:color="auto"/>
            </w:tcBorders>
          </w:tcPr>
          <w:p w14:paraId="09A694BF" w14:textId="77777777" w:rsidR="00814E24" w:rsidRPr="00DC61B3" w:rsidRDefault="00814E24" w:rsidP="00814E24">
            <w:pPr>
              <w:pStyle w:val="Tabletext"/>
            </w:pPr>
          </w:p>
        </w:tc>
        <w:tc>
          <w:tcPr>
            <w:tcW w:w="1434" w:type="dxa"/>
            <w:tcBorders>
              <w:left w:val="single" w:sz="4" w:space="0" w:color="auto"/>
              <w:bottom w:val="single" w:sz="4" w:space="0" w:color="auto"/>
              <w:right w:val="single" w:sz="4" w:space="0" w:color="auto"/>
            </w:tcBorders>
          </w:tcPr>
          <w:p w14:paraId="56A51BE2" w14:textId="77777777" w:rsidR="00814E24" w:rsidRPr="00DC61B3" w:rsidRDefault="00814E24" w:rsidP="00814E24">
            <w:pPr>
              <w:pStyle w:val="Tabletext"/>
            </w:pPr>
          </w:p>
        </w:tc>
      </w:tr>
    </w:tbl>
    <w:p w14:paraId="7BA56011" w14:textId="77777777" w:rsidR="007704DB" w:rsidRPr="00DC61B3" w:rsidRDefault="00273BDD" w:rsidP="00D210C4">
      <w:pPr>
        <w:pStyle w:val="Tablefin"/>
      </w:pPr>
      <w:r w:rsidRPr="00DC61B3">
        <w:t>...</w:t>
      </w:r>
    </w:p>
    <w:p w14:paraId="078741ED" w14:textId="5ECE0100" w:rsidR="00B47676" w:rsidRPr="00DC61B3" w:rsidRDefault="00273BDD" w:rsidP="00B0548C">
      <w:pPr>
        <w:pStyle w:val="Reasons"/>
        <w:sectPr w:rsidR="00B47676" w:rsidRPr="00DC61B3">
          <w:headerReference w:type="default" r:id="rId20"/>
          <w:footerReference w:type="even" r:id="rId21"/>
          <w:footerReference w:type="default" r:id="rId22"/>
          <w:footerReference w:type="first" r:id="rId23"/>
          <w:pgSz w:w="16834" w:h="11907" w:orient="landscape" w:code="9"/>
          <w:pgMar w:top="1134" w:right="1418" w:bottom="1134" w:left="1418" w:header="720" w:footer="720" w:gutter="0"/>
          <w:cols w:space="720"/>
          <w:docGrid w:linePitch="326"/>
        </w:sectPr>
      </w:pPr>
      <w:r w:rsidRPr="00DC61B3">
        <w:rPr>
          <w:b/>
        </w:rPr>
        <w:lastRenderedPageBreak/>
        <w:t>Motivos:</w:t>
      </w:r>
      <w:r w:rsidRPr="00DC61B3">
        <w:tab/>
      </w:r>
      <w:r w:rsidR="00B0548C" w:rsidRPr="00B0548C">
        <w:t>Incluye la coordinación de dos redes OSG del SFS (excepto las estaciones terrenas que funcionan en sentidos opuestos de transmisión) en el marco del número 9.7 del RR.</w:t>
      </w:r>
      <w:r w:rsidR="00B0548C" w:rsidRPr="00B0548C">
        <w:tab/>
      </w:r>
    </w:p>
    <w:p w14:paraId="6AF8CE34" w14:textId="77777777" w:rsidR="00B47676" w:rsidRPr="00DC61B3" w:rsidRDefault="00273BDD">
      <w:pPr>
        <w:pStyle w:val="Proposal"/>
      </w:pPr>
      <w:r w:rsidRPr="00DC61B3">
        <w:lastRenderedPageBreak/>
        <w:t>SUP</w:t>
      </w:r>
      <w:r w:rsidRPr="00DC61B3">
        <w:tab/>
        <w:t>EUR/65A19/13</w:t>
      </w:r>
      <w:r w:rsidRPr="00DC61B3">
        <w:rPr>
          <w:vanish/>
          <w:color w:val="7F7F7F" w:themeColor="text1" w:themeTint="80"/>
          <w:vertAlign w:val="superscript"/>
        </w:rPr>
        <w:t>#1940</w:t>
      </w:r>
    </w:p>
    <w:p w14:paraId="660B8811" w14:textId="77777777" w:rsidR="007704DB" w:rsidRPr="00DC61B3" w:rsidRDefault="00273BDD">
      <w:pPr>
        <w:pStyle w:val="ResNo"/>
      </w:pPr>
      <w:bookmarkStart w:id="106" w:name="_Toc36190213"/>
      <w:bookmarkStart w:id="107" w:name="_Toc39734879"/>
      <w:r w:rsidRPr="00DC61B3">
        <w:t xml:space="preserve">RESOLUCIÓN </w:t>
      </w:r>
      <w:r w:rsidRPr="00DC61B3">
        <w:rPr>
          <w:rStyle w:val="href"/>
        </w:rPr>
        <w:t>174</w:t>
      </w:r>
      <w:r w:rsidRPr="00DC61B3">
        <w:t xml:space="preserve"> (CMR-19)</w:t>
      </w:r>
      <w:bookmarkEnd w:id="106"/>
      <w:bookmarkEnd w:id="107"/>
    </w:p>
    <w:p w14:paraId="636FD2A9" w14:textId="77777777" w:rsidR="007704DB" w:rsidRPr="00DC61B3" w:rsidRDefault="00273BDD">
      <w:pPr>
        <w:pStyle w:val="Restitle"/>
      </w:pPr>
      <w:bookmarkStart w:id="108" w:name="_Toc36190214"/>
      <w:bookmarkStart w:id="109" w:name="_Toc39734880"/>
      <w:r w:rsidRPr="00DC61B3">
        <w:t>Atribución a título primario al servicio fijo por satélite en el sentido</w:t>
      </w:r>
      <w:r w:rsidRPr="00DC61B3">
        <w:br/>
        <w:t>espacio-Tierra en la banda de frecuencias 17,3-17,7 GHz</w:t>
      </w:r>
      <w:r w:rsidRPr="00DC61B3">
        <w:br/>
        <w:t>en la Región 2</w:t>
      </w:r>
      <w:bookmarkEnd w:id="108"/>
      <w:bookmarkEnd w:id="109"/>
    </w:p>
    <w:p w14:paraId="68E5E489" w14:textId="77777777" w:rsidR="0000090A" w:rsidRDefault="0000090A" w:rsidP="00411C49">
      <w:pPr>
        <w:pStyle w:val="Reasons"/>
      </w:pPr>
    </w:p>
    <w:p w14:paraId="567D4CD6" w14:textId="77777777" w:rsidR="0000090A" w:rsidRDefault="0000090A">
      <w:pPr>
        <w:jc w:val="center"/>
      </w:pPr>
      <w:r>
        <w:t>______________</w:t>
      </w:r>
    </w:p>
    <w:sectPr w:rsidR="0000090A">
      <w:headerReference w:type="default" r:id="rId24"/>
      <w:footerReference w:type="even" r:id="rId25"/>
      <w:footerReference w:type="default" r:id="rId26"/>
      <w:footerReference w:type="first" r:id="rId27"/>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5A52A" w14:textId="77777777" w:rsidR="00666B37" w:rsidRDefault="00666B37">
      <w:r>
        <w:separator/>
      </w:r>
    </w:p>
  </w:endnote>
  <w:endnote w:type="continuationSeparator" w:id="0">
    <w:p w14:paraId="07DBBF8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792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62143" w14:textId="5ED0B1E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B29BC">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FD09C" w14:textId="079CB7AC" w:rsidR="0077084A" w:rsidRDefault="00273BDD" w:rsidP="00B86034">
    <w:pPr>
      <w:pStyle w:val="Footer"/>
      <w:ind w:right="360"/>
      <w:rPr>
        <w:lang w:val="en-US"/>
      </w:rPr>
    </w:pPr>
    <w:r>
      <w:fldChar w:fldCharType="begin"/>
    </w:r>
    <w:r>
      <w:rPr>
        <w:lang w:val="en-US"/>
      </w:rPr>
      <w:instrText xml:space="preserve"> FILENAME \p  \* MERGEFORMAT </w:instrText>
    </w:r>
    <w:r>
      <w:fldChar w:fldCharType="separate"/>
    </w:r>
    <w:r w:rsidR="004E3073">
      <w:rPr>
        <w:lang w:val="en-US"/>
      </w:rPr>
      <w:t>P:\ESP\ITU-R\CONF-R\CMR23\000\065ADD19S.docx</w:t>
    </w:r>
    <w:r>
      <w:fldChar w:fldCharType="end"/>
    </w:r>
    <w:r w:rsidRPr="00273BDD">
      <w:rPr>
        <w:lang w:val="en-US"/>
      </w:rPr>
      <w:t xml:space="preserve"> </w:t>
    </w:r>
    <w:r>
      <w:rPr>
        <w:lang w:val="en-US"/>
      </w:rPr>
      <w:t>(530541)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C3AC" w14:textId="4187284F" w:rsidR="0077084A" w:rsidRPr="00273BDD" w:rsidRDefault="0077084A" w:rsidP="00B47331">
    <w:pPr>
      <w:pStyle w:val="Footer"/>
      <w:rPr>
        <w:lang w:val="en-US"/>
      </w:rPr>
    </w:pPr>
    <w:r>
      <w:fldChar w:fldCharType="begin"/>
    </w:r>
    <w:r>
      <w:rPr>
        <w:lang w:val="en-US"/>
      </w:rPr>
      <w:instrText xml:space="preserve"> FILENAME \p  \* MERGEFORMAT </w:instrText>
    </w:r>
    <w:r>
      <w:fldChar w:fldCharType="separate"/>
    </w:r>
    <w:r w:rsidR="004E3073">
      <w:rPr>
        <w:lang w:val="en-US"/>
      </w:rPr>
      <w:t>P:\ESP\ITU-R\CONF-R\CMR23\000\065ADD19S.docx</w:t>
    </w:r>
    <w:r>
      <w:fldChar w:fldCharType="end"/>
    </w:r>
    <w:bookmarkStart w:id="94" w:name="_GoBack"/>
    <w:bookmarkEnd w:id="94"/>
    <w:r w:rsidR="00273BDD" w:rsidRPr="00273BDD">
      <w:rPr>
        <w:lang w:val="en-US"/>
      </w:rPr>
      <w:t xml:space="preserve"> </w:t>
    </w:r>
    <w:r w:rsidR="00273BDD">
      <w:rPr>
        <w:lang w:val="en-US"/>
      </w:rPr>
      <w:t>(530541)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F9CD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200BD7" w14:textId="6EDF09B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B29BC">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623C6" w14:textId="14FE2885" w:rsidR="0077084A" w:rsidRDefault="00273BDD" w:rsidP="00B86034">
    <w:pPr>
      <w:pStyle w:val="Footer"/>
      <w:ind w:right="360"/>
      <w:rPr>
        <w:lang w:val="en-US"/>
      </w:rPr>
    </w:pPr>
    <w:r>
      <w:fldChar w:fldCharType="begin"/>
    </w:r>
    <w:r>
      <w:rPr>
        <w:lang w:val="en-US"/>
      </w:rPr>
      <w:instrText xml:space="preserve"> FILENAME \p  \* MERGEFORMAT </w:instrText>
    </w:r>
    <w:r>
      <w:fldChar w:fldCharType="separate"/>
    </w:r>
    <w:r w:rsidR="002B5D3A">
      <w:rPr>
        <w:lang w:val="en-US"/>
      </w:rPr>
      <w:t>P:\ESP\ITU-R\CONF-R\CMR23\000\065ADD19S.docx</w:t>
    </w:r>
    <w:r>
      <w:fldChar w:fldCharType="end"/>
    </w:r>
    <w:r w:rsidRPr="00273BDD">
      <w:rPr>
        <w:lang w:val="en-US"/>
      </w:rPr>
      <w:t xml:space="preserve"> </w:t>
    </w:r>
    <w:r>
      <w:rPr>
        <w:lang w:val="en-US"/>
      </w:rPr>
      <w:t>(530541)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C032A"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7DF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950DC" w14:textId="050FF04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B29BC">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5CEEC" w14:textId="35C70D21" w:rsidR="0077084A" w:rsidRDefault="00273BDD" w:rsidP="00B86034">
    <w:pPr>
      <w:pStyle w:val="Footer"/>
      <w:ind w:right="360"/>
      <w:rPr>
        <w:lang w:val="en-US"/>
      </w:rPr>
    </w:pPr>
    <w:r>
      <w:fldChar w:fldCharType="begin"/>
    </w:r>
    <w:r>
      <w:rPr>
        <w:lang w:val="en-US"/>
      </w:rPr>
      <w:instrText xml:space="preserve"> FILENAME \p  \* MERGEFORMAT </w:instrText>
    </w:r>
    <w:r>
      <w:fldChar w:fldCharType="separate"/>
    </w:r>
    <w:r w:rsidR="002B5D3A">
      <w:rPr>
        <w:lang w:val="en-US"/>
      </w:rPr>
      <w:t>P:\ESP\ITU-R\CONF-R\CMR23\000\065ADD19S.docx</w:t>
    </w:r>
    <w:r>
      <w:fldChar w:fldCharType="end"/>
    </w:r>
    <w:r w:rsidRPr="00273BDD">
      <w:rPr>
        <w:lang w:val="en-US"/>
      </w:rPr>
      <w:t xml:space="preserve"> </w:t>
    </w:r>
    <w:r>
      <w:rPr>
        <w:lang w:val="en-US"/>
      </w:rPr>
      <w:t>(530541)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974F"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8C3FF" w14:textId="77777777" w:rsidR="00666B37" w:rsidRDefault="00666B37">
      <w:r>
        <w:rPr>
          <w:b/>
        </w:rPr>
        <w:t>_______________</w:t>
      </w:r>
    </w:p>
  </w:footnote>
  <w:footnote w:type="continuationSeparator" w:id="0">
    <w:p w14:paraId="5C540B24" w14:textId="77777777" w:rsidR="00666B37" w:rsidRDefault="00666B37">
      <w:r>
        <w:continuationSeparator/>
      </w:r>
    </w:p>
  </w:footnote>
  <w:footnote w:id="1">
    <w:p w14:paraId="26765030" w14:textId="77777777" w:rsidR="007704DB" w:rsidRPr="007E25B2" w:rsidRDefault="00273BDD">
      <w:pPr>
        <w:pStyle w:val="FootnoteText"/>
        <w:rPr>
          <w:lang w:val="es-ES"/>
        </w:rPr>
      </w:pPr>
      <w:r w:rsidRPr="007E25B2">
        <w:rPr>
          <w:rStyle w:val="FootnoteReference"/>
          <w:lang w:val="es-ES"/>
        </w:rPr>
        <w:t>29</w:t>
      </w:r>
      <w:r w:rsidRPr="007E25B2">
        <w:rPr>
          <w:lang w:val="es-ES"/>
        </w:rPr>
        <w:tab/>
      </w:r>
      <w:r w:rsidRPr="007E25B2">
        <w:rPr>
          <w:sz w:val="16"/>
          <w:lang w:val="es-ES"/>
        </w:rPr>
        <w:t>(SUP –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AEBA3" w14:textId="77777777" w:rsidR="00273BDD" w:rsidRDefault="00273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8C1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F3B79C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65(Add.19)-</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9908" w14:textId="77777777" w:rsidR="00273BDD" w:rsidRDefault="00273B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AE38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518768E"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65(Add.19)-</w:t>
    </w:r>
    <w:r w:rsidR="003248A9" w:rsidRPr="003248A9">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805C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DB3B1E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65(Add.19)-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PT">
    <w15:presenceInfo w15:providerId="None" w15:userId="CEPT"/>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090A"/>
    <w:rsid w:val="0002785D"/>
    <w:rsid w:val="00035F00"/>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5338"/>
    <w:rsid w:val="0023659C"/>
    <w:rsid w:val="00236D2A"/>
    <w:rsid w:val="0024569E"/>
    <w:rsid w:val="002505F3"/>
    <w:rsid w:val="00255F12"/>
    <w:rsid w:val="00262C09"/>
    <w:rsid w:val="00273BDD"/>
    <w:rsid w:val="002A791F"/>
    <w:rsid w:val="002B5D3A"/>
    <w:rsid w:val="002C1A52"/>
    <w:rsid w:val="002C1B26"/>
    <w:rsid w:val="002C5D6C"/>
    <w:rsid w:val="002E37CF"/>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E3073"/>
    <w:rsid w:val="005133B5"/>
    <w:rsid w:val="00524392"/>
    <w:rsid w:val="00532097"/>
    <w:rsid w:val="0058350F"/>
    <w:rsid w:val="00583C7E"/>
    <w:rsid w:val="0059098E"/>
    <w:rsid w:val="005A02C1"/>
    <w:rsid w:val="005D46FB"/>
    <w:rsid w:val="005F2605"/>
    <w:rsid w:val="005F3B0E"/>
    <w:rsid w:val="005F3DB8"/>
    <w:rsid w:val="005F559C"/>
    <w:rsid w:val="00602857"/>
    <w:rsid w:val="006124AD"/>
    <w:rsid w:val="00624009"/>
    <w:rsid w:val="00631A81"/>
    <w:rsid w:val="00662BA0"/>
    <w:rsid w:val="00666B37"/>
    <w:rsid w:val="0067344B"/>
    <w:rsid w:val="00684A94"/>
    <w:rsid w:val="00692AAE"/>
    <w:rsid w:val="006B623F"/>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14E24"/>
    <w:rsid w:val="008504C2"/>
    <w:rsid w:val="00866AE6"/>
    <w:rsid w:val="008750A8"/>
    <w:rsid w:val="008D3316"/>
    <w:rsid w:val="008E5AF2"/>
    <w:rsid w:val="0090121B"/>
    <w:rsid w:val="009144C9"/>
    <w:rsid w:val="0094091F"/>
    <w:rsid w:val="00962171"/>
    <w:rsid w:val="00972446"/>
    <w:rsid w:val="00973754"/>
    <w:rsid w:val="009C0BED"/>
    <w:rsid w:val="009E11EC"/>
    <w:rsid w:val="00A021CC"/>
    <w:rsid w:val="00A118DB"/>
    <w:rsid w:val="00A4450C"/>
    <w:rsid w:val="00AA5E6C"/>
    <w:rsid w:val="00AC49B1"/>
    <w:rsid w:val="00AD4425"/>
    <w:rsid w:val="00AE5677"/>
    <w:rsid w:val="00AE658F"/>
    <w:rsid w:val="00AF2F78"/>
    <w:rsid w:val="00B0548C"/>
    <w:rsid w:val="00B239FA"/>
    <w:rsid w:val="00B372AB"/>
    <w:rsid w:val="00B47331"/>
    <w:rsid w:val="00B47676"/>
    <w:rsid w:val="00B52D55"/>
    <w:rsid w:val="00B8288C"/>
    <w:rsid w:val="00B86034"/>
    <w:rsid w:val="00BD11E5"/>
    <w:rsid w:val="00BE2E80"/>
    <w:rsid w:val="00BE5EDD"/>
    <w:rsid w:val="00BE6A1F"/>
    <w:rsid w:val="00C126C4"/>
    <w:rsid w:val="00C44E9E"/>
    <w:rsid w:val="00C63EB5"/>
    <w:rsid w:val="00C87DA7"/>
    <w:rsid w:val="00C951AF"/>
    <w:rsid w:val="00CA4945"/>
    <w:rsid w:val="00CC01E0"/>
    <w:rsid w:val="00CD5FEE"/>
    <w:rsid w:val="00CE60D2"/>
    <w:rsid w:val="00CE7431"/>
    <w:rsid w:val="00D00CA8"/>
    <w:rsid w:val="00D0288A"/>
    <w:rsid w:val="00D4439A"/>
    <w:rsid w:val="00D72A5D"/>
    <w:rsid w:val="00DA71A3"/>
    <w:rsid w:val="00DB44C6"/>
    <w:rsid w:val="00DC1922"/>
    <w:rsid w:val="00DC61B3"/>
    <w:rsid w:val="00DC629B"/>
    <w:rsid w:val="00DE1C31"/>
    <w:rsid w:val="00E05BFF"/>
    <w:rsid w:val="00E262F1"/>
    <w:rsid w:val="00E3176A"/>
    <w:rsid w:val="00E36CE4"/>
    <w:rsid w:val="00E54754"/>
    <w:rsid w:val="00E56BD3"/>
    <w:rsid w:val="00E71D14"/>
    <w:rsid w:val="00EA77F0"/>
    <w:rsid w:val="00EB29BC"/>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84FE9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E37C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52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4415-72CD-4859-8D39-25C917EE2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FF192-D6FF-493D-8662-C7DB01363C7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D0798A5-ED35-4181-9FD1-C2C4B8DAD9F8}">
  <ds:schemaRefs>
    <ds:schemaRef ds:uri="http://schemas.microsoft.com/sharepoint/events"/>
  </ds:schemaRefs>
</ds:datastoreItem>
</file>

<file path=customXml/itemProps4.xml><?xml version="1.0" encoding="utf-8"?>
<ds:datastoreItem xmlns:ds="http://schemas.openxmlformats.org/officeDocument/2006/customXml" ds:itemID="{DFBE2E8A-254A-44E7-8F68-637D9F25D51D}">
  <ds:schemaRefs>
    <ds:schemaRef ds:uri="http://schemas.microsoft.com/sharepoint/v3/contenttype/forms"/>
  </ds:schemaRefs>
</ds:datastoreItem>
</file>

<file path=customXml/itemProps5.xml><?xml version="1.0" encoding="utf-8"?>
<ds:datastoreItem xmlns:ds="http://schemas.openxmlformats.org/officeDocument/2006/customXml" ds:itemID="{A4D2765C-42C8-429C-84DB-761E2B63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2735</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R23-WRC23-C-0065!A19!MSW-S</vt:lpstr>
    </vt:vector>
  </TitlesOfParts>
  <Manager>Secretaría General - Pool</Manager>
  <Company>Unión Internacional de Telecomunicaciones (UIT)</Company>
  <LinksUpToDate>false</LinksUpToDate>
  <CharactersWithSpaces>17488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R23-WRC23-C-0065!A19!MSW-S</dc:title>
  <dc:subject>Conferencia Mundial de Radiocomunicaciones - 2019</dc:subject>
  <dc:creator>Documents Proposals Manager (DPM)</dc:creator>
  <cp:keywords>DPM_v2023.11.6.1_prod</cp:keywords>
  <dc:description/>
  <cp:lastModifiedBy>Spanish</cp:lastModifiedBy>
  <cp:revision>9</cp:revision>
  <cp:lastPrinted>2003-02-19T20:20:00Z</cp:lastPrinted>
  <dcterms:created xsi:type="dcterms:W3CDTF">2023-11-09T11:35:00Z</dcterms:created>
  <dcterms:modified xsi:type="dcterms:W3CDTF">2023-11-09T12:48:00Z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