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418"/>
        <w:gridCol w:w="1809"/>
      </w:tblGrid>
      <w:tr w:rsidR="0080079E" w:rsidRPr="003D0DEA" w14:paraId="1CC54A6F" w14:textId="77777777" w:rsidTr="0080079E">
        <w:trPr>
          <w:cantSplit/>
        </w:trPr>
        <w:tc>
          <w:tcPr>
            <w:tcW w:w="1418" w:type="dxa"/>
            <w:vAlign w:val="center"/>
          </w:tcPr>
          <w:p w14:paraId="6D122AD5" w14:textId="77777777" w:rsidR="0080079E" w:rsidRPr="003D0DEA" w:rsidRDefault="0080079E" w:rsidP="0080079E">
            <w:pPr>
              <w:spacing w:before="0" w:line="240" w:lineRule="atLeast"/>
              <w:rPr>
                <w:rFonts w:ascii="Verdana" w:hAnsi="Verdana"/>
                <w:position w:val="6"/>
                <w:lang w:val="es-ES"/>
              </w:rPr>
            </w:pPr>
            <w:r w:rsidRPr="003D0DEA">
              <w:rPr>
                <w:noProof/>
                <w:lang w:val="en-US"/>
              </w:rPr>
              <w:drawing>
                <wp:inline distT="0" distB="0" distL="0" distR="0" wp14:anchorId="516C274B" wp14:editId="3D2C42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D022BC8" w14:textId="77777777" w:rsidR="0080079E" w:rsidRPr="003D0DEA" w:rsidRDefault="0080079E" w:rsidP="00C44E9E">
            <w:pPr>
              <w:spacing w:before="400" w:after="48" w:line="240" w:lineRule="atLeast"/>
              <w:rPr>
                <w:rFonts w:ascii="Verdana" w:hAnsi="Verdana"/>
                <w:position w:val="6"/>
                <w:lang w:val="es-ES"/>
              </w:rPr>
            </w:pPr>
            <w:r w:rsidRPr="003D0DEA">
              <w:rPr>
                <w:rFonts w:ascii="Verdana" w:hAnsi="Verdana" w:cs="Times"/>
                <w:b/>
                <w:position w:val="6"/>
                <w:sz w:val="20"/>
                <w:lang w:val="es-ES"/>
              </w:rPr>
              <w:t>Conferencia Mundial de Radiocomunicaciones (CMR-23)</w:t>
            </w:r>
            <w:r w:rsidRPr="003D0DEA">
              <w:rPr>
                <w:rFonts w:ascii="Verdana" w:hAnsi="Verdana" w:cs="Times"/>
                <w:b/>
                <w:position w:val="6"/>
                <w:sz w:val="20"/>
                <w:lang w:val="es-ES"/>
              </w:rPr>
              <w:br/>
            </w:r>
            <w:r w:rsidRPr="003D0DEA">
              <w:rPr>
                <w:rFonts w:ascii="Verdana" w:hAnsi="Verdana" w:cs="Times"/>
                <w:b/>
                <w:position w:val="6"/>
                <w:sz w:val="18"/>
                <w:szCs w:val="18"/>
                <w:lang w:val="es-ES"/>
              </w:rPr>
              <w:t>Dubái, 20 de noviembre - 15 de diciembre de 2023</w:t>
            </w:r>
          </w:p>
        </w:tc>
        <w:tc>
          <w:tcPr>
            <w:tcW w:w="1809" w:type="dxa"/>
            <w:vAlign w:val="center"/>
          </w:tcPr>
          <w:p w14:paraId="075681FC" w14:textId="77777777" w:rsidR="0080079E" w:rsidRPr="003D0DEA" w:rsidRDefault="0080079E" w:rsidP="0080079E">
            <w:pPr>
              <w:spacing w:before="0" w:line="240" w:lineRule="atLeast"/>
              <w:rPr>
                <w:lang w:val="es-ES"/>
              </w:rPr>
            </w:pPr>
            <w:bookmarkStart w:id="0" w:name="ditulogo"/>
            <w:bookmarkEnd w:id="0"/>
            <w:r w:rsidRPr="003D0DEA">
              <w:rPr>
                <w:noProof/>
                <w:lang w:val="en-US"/>
              </w:rPr>
              <w:drawing>
                <wp:inline distT="0" distB="0" distL="0" distR="0" wp14:anchorId="65ED37CB" wp14:editId="5882444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D0DEA" w14:paraId="727675C3" w14:textId="77777777" w:rsidTr="005126FE">
        <w:trPr>
          <w:cantSplit/>
        </w:trPr>
        <w:tc>
          <w:tcPr>
            <w:tcW w:w="6804" w:type="dxa"/>
            <w:gridSpan w:val="2"/>
            <w:tcBorders>
              <w:bottom w:val="single" w:sz="12" w:space="0" w:color="auto"/>
            </w:tcBorders>
          </w:tcPr>
          <w:p w14:paraId="57C54C67" w14:textId="77777777" w:rsidR="0090121B" w:rsidRPr="003D0DEA" w:rsidRDefault="0090121B" w:rsidP="0090121B">
            <w:pPr>
              <w:spacing w:before="0" w:after="48" w:line="240" w:lineRule="atLeast"/>
              <w:rPr>
                <w:b/>
                <w:smallCaps/>
                <w:szCs w:val="24"/>
                <w:lang w:val="es-ES"/>
              </w:rPr>
            </w:pPr>
            <w:bookmarkStart w:id="1" w:name="dhead"/>
          </w:p>
        </w:tc>
        <w:tc>
          <w:tcPr>
            <w:tcW w:w="3227" w:type="dxa"/>
            <w:gridSpan w:val="2"/>
            <w:tcBorders>
              <w:bottom w:val="single" w:sz="12" w:space="0" w:color="auto"/>
            </w:tcBorders>
          </w:tcPr>
          <w:p w14:paraId="47110194" w14:textId="77777777" w:rsidR="0090121B" w:rsidRPr="003D0DEA" w:rsidRDefault="0090121B" w:rsidP="0090121B">
            <w:pPr>
              <w:spacing w:before="0" w:line="240" w:lineRule="atLeast"/>
              <w:rPr>
                <w:rFonts w:ascii="Verdana" w:hAnsi="Verdana"/>
                <w:szCs w:val="24"/>
                <w:lang w:val="es-ES"/>
              </w:rPr>
            </w:pPr>
          </w:p>
        </w:tc>
      </w:tr>
      <w:tr w:rsidR="0090121B" w:rsidRPr="003D0DEA" w14:paraId="341DE8EF" w14:textId="77777777" w:rsidTr="005126FE">
        <w:trPr>
          <w:cantSplit/>
        </w:trPr>
        <w:tc>
          <w:tcPr>
            <w:tcW w:w="6804" w:type="dxa"/>
            <w:gridSpan w:val="2"/>
            <w:tcBorders>
              <w:top w:val="single" w:sz="12" w:space="0" w:color="auto"/>
            </w:tcBorders>
          </w:tcPr>
          <w:p w14:paraId="4590A25D" w14:textId="77777777" w:rsidR="0090121B" w:rsidRPr="003D0DEA" w:rsidRDefault="0090121B" w:rsidP="0090121B">
            <w:pPr>
              <w:spacing w:before="0" w:after="48" w:line="240" w:lineRule="atLeast"/>
              <w:rPr>
                <w:rFonts w:ascii="Verdana" w:hAnsi="Verdana"/>
                <w:b/>
                <w:smallCaps/>
                <w:sz w:val="20"/>
                <w:lang w:val="es-ES"/>
              </w:rPr>
            </w:pPr>
          </w:p>
        </w:tc>
        <w:tc>
          <w:tcPr>
            <w:tcW w:w="3227" w:type="dxa"/>
            <w:gridSpan w:val="2"/>
            <w:tcBorders>
              <w:top w:val="single" w:sz="12" w:space="0" w:color="auto"/>
            </w:tcBorders>
          </w:tcPr>
          <w:p w14:paraId="58B1B29C" w14:textId="77777777" w:rsidR="0090121B" w:rsidRPr="003D0DEA" w:rsidRDefault="0090121B" w:rsidP="0090121B">
            <w:pPr>
              <w:spacing w:before="0" w:line="240" w:lineRule="atLeast"/>
              <w:rPr>
                <w:rFonts w:ascii="Verdana" w:hAnsi="Verdana"/>
                <w:sz w:val="20"/>
                <w:lang w:val="es-ES"/>
              </w:rPr>
            </w:pPr>
          </w:p>
        </w:tc>
      </w:tr>
      <w:tr w:rsidR="0090121B" w:rsidRPr="003D0DEA" w14:paraId="73D8861E" w14:textId="77777777" w:rsidTr="005126FE">
        <w:trPr>
          <w:cantSplit/>
        </w:trPr>
        <w:tc>
          <w:tcPr>
            <w:tcW w:w="6804" w:type="dxa"/>
            <w:gridSpan w:val="2"/>
          </w:tcPr>
          <w:p w14:paraId="7A7DDFA1" w14:textId="77777777" w:rsidR="0090121B" w:rsidRPr="005126FE" w:rsidRDefault="001E7D42" w:rsidP="00EA77F0">
            <w:pPr>
              <w:pStyle w:val="Committee"/>
              <w:framePr w:hSpace="0" w:wrap="auto" w:hAnchor="text" w:yAlign="inline"/>
              <w:rPr>
                <w:szCs w:val="20"/>
                <w:lang w:val="es-ES"/>
              </w:rPr>
            </w:pPr>
            <w:r w:rsidRPr="005126FE">
              <w:rPr>
                <w:szCs w:val="20"/>
                <w:lang w:val="es-ES"/>
              </w:rPr>
              <w:t>SESIÓN PLENARIA</w:t>
            </w:r>
          </w:p>
        </w:tc>
        <w:tc>
          <w:tcPr>
            <w:tcW w:w="3227" w:type="dxa"/>
            <w:gridSpan w:val="2"/>
          </w:tcPr>
          <w:p w14:paraId="49F91647" w14:textId="77777777" w:rsidR="0090121B" w:rsidRPr="005126FE" w:rsidRDefault="00AE658F" w:rsidP="0045384C">
            <w:pPr>
              <w:spacing w:before="0"/>
              <w:rPr>
                <w:rFonts w:ascii="Verdana" w:hAnsi="Verdana"/>
                <w:sz w:val="20"/>
                <w:lang w:val="es-ES"/>
              </w:rPr>
            </w:pPr>
            <w:r w:rsidRPr="005126FE">
              <w:rPr>
                <w:rFonts w:ascii="Verdana" w:hAnsi="Verdana"/>
                <w:b/>
                <w:sz w:val="20"/>
                <w:lang w:val="es-ES"/>
              </w:rPr>
              <w:t>Addéndum 8 al</w:t>
            </w:r>
            <w:r w:rsidRPr="005126FE">
              <w:rPr>
                <w:rFonts w:ascii="Verdana" w:hAnsi="Verdana"/>
                <w:b/>
                <w:sz w:val="20"/>
                <w:lang w:val="es-ES"/>
              </w:rPr>
              <w:br/>
              <w:t>Documento 62(Add.27)</w:t>
            </w:r>
            <w:r w:rsidR="0090121B" w:rsidRPr="005126FE">
              <w:rPr>
                <w:rFonts w:ascii="Verdana" w:hAnsi="Verdana"/>
                <w:b/>
                <w:sz w:val="20"/>
                <w:lang w:val="es-ES"/>
              </w:rPr>
              <w:t>-</w:t>
            </w:r>
            <w:r w:rsidRPr="005126FE">
              <w:rPr>
                <w:rFonts w:ascii="Verdana" w:hAnsi="Verdana"/>
                <w:b/>
                <w:sz w:val="20"/>
                <w:lang w:val="es-ES"/>
              </w:rPr>
              <w:t>S</w:t>
            </w:r>
          </w:p>
        </w:tc>
      </w:tr>
      <w:bookmarkEnd w:id="1"/>
      <w:tr w:rsidR="000A5B9A" w:rsidRPr="003D0DEA" w14:paraId="0645D1E6" w14:textId="77777777" w:rsidTr="005126FE">
        <w:trPr>
          <w:cantSplit/>
        </w:trPr>
        <w:tc>
          <w:tcPr>
            <w:tcW w:w="6804" w:type="dxa"/>
            <w:gridSpan w:val="2"/>
          </w:tcPr>
          <w:p w14:paraId="549E356B" w14:textId="77777777" w:rsidR="000A5B9A" w:rsidRPr="003D0DEA" w:rsidRDefault="000A5B9A" w:rsidP="0045384C">
            <w:pPr>
              <w:spacing w:before="0" w:after="48"/>
              <w:rPr>
                <w:rFonts w:ascii="Verdana" w:hAnsi="Verdana"/>
                <w:b/>
                <w:smallCaps/>
                <w:sz w:val="18"/>
                <w:szCs w:val="18"/>
                <w:lang w:val="es-ES"/>
              </w:rPr>
            </w:pPr>
          </w:p>
        </w:tc>
        <w:tc>
          <w:tcPr>
            <w:tcW w:w="3227" w:type="dxa"/>
            <w:gridSpan w:val="2"/>
          </w:tcPr>
          <w:p w14:paraId="547421E9" w14:textId="77777777" w:rsidR="000A5B9A" w:rsidRPr="005126FE" w:rsidRDefault="000A5B9A" w:rsidP="0045384C">
            <w:pPr>
              <w:spacing w:before="0"/>
              <w:rPr>
                <w:rFonts w:ascii="Verdana" w:hAnsi="Verdana"/>
                <w:b/>
                <w:sz w:val="20"/>
                <w:lang w:val="es-ES"/>
              </w:rPr>
            </w:pPr>
            <w:r w:rsidRPr="005126FE">
              <w:rPr>
                <w:rFonts w:ascii="Verdana" w:hAnsi="Verdana"/>
                <w:b/>
                <w:sz w:val="20"/>
                <w:lang w:val="es-ES"/>
              </w:rPr>
              <w:t>26 de septiembre de 2023</w:t>
            </w:r>
          </w:p>
        </w:tc>
      </w:tr>
      <w:tr w:rsidR="000A5B9A" w:rsidRPr="003D0DEA" w14:paraId="102F7F6E" w14:textId="77777777" w:rsidTr="005126FE">
        <w:trPr>
          <w:cantSplit/>
        </w:trPr>
        <w:tc>
          <w:tcPr>
            <w:tcW w:w="6804" w:type="dxa"/>
            <w:gridSpan w:val="2"/>
          </w:tcPr>
          <w:p w14:paraId="3F920766" w14:textId="77777777" w:rsidR="000A5B9A" w:rsidRPr="003D0DEA" w:rsidRDefault="000A5B9A" w:rsidP="0045384C">
            <w:pPr>
              <w:spacing w:before="0" w:after="48"/>
              <w:rPr>
                <w:rFonts w:ascii="Verdana" w:hAnsi="Verdana"/>
                <w:b/>
                <w:smallCaps/>
                <w:sz w:val="18"/>
                <w:szCs w:val="18"/>
                <w:lang w:val="es-ES"/>
              </w:rPr>
            </w:pPr>
          </w:p>
        </w:tc>
        <w:tc>
          <w:tcPr>
            <w:tcW w:w="3227" w:type="dxa"/>
            <w:gridSpan w:val="2"/>
          </w:tcPr>
          <w:p w14:paraId="60329949" w14:textId="77777777" w:rsidR="000A5B9A" w:rsidRPr="005126FE" w:rsidRDefault="000A5B9A" w:rsidP="0045384C">
            <w:pPr>
              <w:spacing w:before="0"/>
              <w:rPr>
                <w:rFonts w:ascii="Verdana" w:hAnsi="Verdana"/>
                <w:b/>
                <w:sz w:val="20"/>
                <w:lang w:val="es-ES"/>
              </w:rPr>
            </w:pPr>
            <w:r w:rsidRPr="005126FE">
              <w:rPr>
                <w:rFonts w:ascii="Verdana" w:hAnsi="Verdana"/>
                <w:b/>
                <w:sz w:val="20"/>
                <w:lang w:val="es-ES"/>
              </w:rPr>
              <w:t>Original: inglés</w:t>
            </w:r>
          </w:p>
        </w:tc>
      </w:tr>
      <w:tr w:rsidR="000A5B9A" w:rsidRPr="003D0DEA" w14:paraId="53CA6150" w14:textId="77777777" w:rsidTr="006744FC">
        <w:trPr>
          <w:cantSplit/>
        </w:trPr>
        <w:tc>
          <w:tcPr>
            <w:tcW w:w="10031" w:type="dxa"/>
            <w:gridSpan w:val="4"/>
          </w:tcPr>
          <w:p w14:paraId="093866BF" w14:textId="77777777" w:rsidR="000A5B9A" w:rsidRPr="003D0DEA" w:rsidRDefault="000A5B9A" w:rsidP="0045384C">
            <w:pPr>
              <w:spacing w:before="0"/>
              <w:rPr>
                <w:rFonts w:ascii="Verdana" w:hAnsi="Verdana"/>
                <w:b/>
                <w:sz w:val="18"/>
                <w:szCs w:val="22"/>
                <w:lang w:val="es-ES"/>
              </w:rPr>
            </w:pPr>
          </w:p>
        </w:tc>
      </w:tr>
      <w:tr w:rsidR="000A5B9A" w:rsidRPr="003D0DEA" w14:paraId="34C73EBD" w14:textId="77777777" w:rsidTr="0050008E">
        <w:trPr>
          <w:cantSplit/>
        </w:trPr>
        <w:tc>
          <w:tcPr>
            <w:tcW w:w="10031" w:type="dxa"/>
            <w:gridSpan w:val="4"/>
          </w:tcPr>
          <w:p w14:paraId="16040F2F" w14:textId="77777777" w:rsidR="000A5B9A" w:rsidRPr="003D0DEA" w:rsidRDefault="000A5B9A" w:rsidP="000A5B9A">
            <w:pPr>
              <w:pStyle w:val="Source"/>
              <w:rPr>
                <w:lang w:val="es-ES"/>
              </w:rPr>
            </w:pPr>
            <w:bookmarkStart w:id="2" w:name="dsource" w:colFirst="0" w:colLast="0"/>
            <w:r w:rsidRPr="003D0DEA">
              <w:rPr>
                <w:lang w:val="es-ES"/>
              </w:rPr>
              <w:t>Propuestas Comunes de la Telecomunidad Asia-Pacífico</w:t>
            </w:r>
          </w:p>
        </w:tc>
      </w:tr>
      <w:tr w:rsidR="000A5B9A" w:rsidRPr="003D0DEA" w14:paraId="5F6B5A56" w14:textId="77777777" w:rsidTr="0050008E">
        <w:trPr>
          <w:cantSplit/>
        </w:trPr>
        <w:tc>
          <w:tcPr>
            <w:tcW w:w="10031" w:type="dxa"/>
            <w:gridSpan w:val="4"/>
          </w:tcPr>
          <w:p w14:paraId="5ABEA922" w14:textId="697BAA1A" w:rsidR="000A5B9A" w:rsidRPr="003D0DEA" w:rsidRDefault="003D0DEA" w:rsidP="000A5B9A">
            <w:pPr>
              <w:pStyle w:val="Title1"/>
              <w:rPr>
                <w:lang w:val="es-ES"/>
              </w:rPr>
            </w:pPr>
            <w:bookmarkStart w:id="3" w:name="dtitle1" w:colFirst="0" w:colLast="0"/>
            <w:bookmarkEnd w:id="2"/>
            <w:r w:rsidRPr="003D0DEA">
              <w:rPr>
                <w:lang w:val="es-ES"/>
              </w:rPr>
              <w:t>Propuestas para los trabajos de la Conferencia</w:t>
            </w:r>
          </w:p>
        </w:tc>
      </w:tr>
      <w:tr w:rsidR="000A5B9A" w:rsidRPr="003D0DEA" w14:paraId="1A978EC2" w14:textId="77777777" w:rsidTr="0050008E">
        <w:trPr>
          <w:cantSplit/>
        </w:trPr>
        <w:tc>
          <w:tcPr>
            <w:tcW w:w="10031" w:type="dxa"/>
            <w:gridSpan w:val="4"/>
          </w:tcPr>
          <w:p w14:paraId="34757F0B" w14:textId="77777777" w:rsidR="000A5B9A" w:rsidRPr="003D0DEA" w:rsidRDefault="000A5B9A" w:rsidP="000A5B9A">
            <w:pPr>
              <w:pStyle w:val="Title2"/>
              <w:rPr>
                <w:lang w:val="es-ES"/>
              </w:rPr>
            </w:pPr>
            <w:bookmarkStart w:id="4" w:name="dtitle2" w:colFirst="0" w:colLast="0"/>
            <w:bookmarkEnd w:id="3"/>
          </w:p>
        </w:tc>
      </w:tr>
      <w:tr w:rsidR="000A5B9A" w:rsidRPr="003D0DEA" w14:paraId="640E8A33" w14:textId="77777777" w:rsidTr="0050008E">
        <w:trPr>
          <w:cantSplit/>
        </w:trPr>
        <w:tc>
          <w:tcPr>
            <w:tcW w:w="10031" w:type="dxa"/>
            <w:gridSpan w:val="4"/>
          </w:tcPr>
          <w:p w14:paraId="434C6013" w14:textId="77777777" w:rsidR="000A5B9A" w:rsidRPr="003D0DEA" w:rsidRDefault="000A5B9A" w:rsidP="000A5B9A">
            <w:pPr>
              <w:pStyle w:val="Agendaitem"/>
              <w:rPr>
                <w:lang w:val="es-ES"/>
              </w:rPr>
            </w:pPr>
            <w:bookmarkStart w:id="5" w:name="dtitle3" w:colFirst="0" w:colLast="0"/>
            <w:bookmarkEnd w:id="4"/>
            <w:r w:rsidRPr="003D0DEA">
              <w:rPr>
                <w:lang w:val="es-ES"/>
              </w:rPr>
              <w:t>Punto 10 del orden del día</w:t>
            </w:r>
          </w:p>
        </w:tc>
      </w:tr>
    </w:tbl>
    <w:bookmarkEnd w:id="5"/>
    <w:p w14:paraId="1CD8A371" w14:textId="77777777" w:rsidR="009253B3" w:rsidRPr="003D0DEA" w:rsidRDefault="009253B3" w:rsidP="001C6A97">
      <w:pPr>
        <w:rPr>
          <w:lang w:val="es-ES"/>
        </w:rPr>
      </w:pPr>
      <w:r w:rsidRPr="003D0DEA">
        <w:rPr>
          <w:lang w:val="es-ES"/>
        </w:rPr>
        <w:t>10</w:t>
      </w:r>
      <w:r w:rsidRPr="003D0DEA">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3D0DEA">
        <w:rPr>
          <w:b/>
          <w:bCs/>
          <w:lang w:val="es-ES"/>
        </w:rPr>
        <w:t>804 (Rev.CMR-19)</w:t>
      </w:r>
      <w:r w:rsidRPr="003D0DEA">
        <w:rPr>
          <w:lang w:val="es-ES"/>
        </w:rPr>
        <w:t>,</w:t>
      </w:r>
    </w:p>
    <w:p w14:paraId="7F00D580" w14:textId="77777777" w:rsidR="002D19B4" w:rsidRPr="002D19B4" w:rsidRDefault="002D19B4" w:rsidP="001C6A97">
      <w:pPr>
        <w:pStyle w:val="Headingb"/>
        <w:rPr>
          <w:lang w:val="es-ES"/>
        </w:rPr>
      </w:pPr>
      <w:r w:rsidRPr="001C6A97">
        <w:t>Introducción</w:t>
      </w:r>
    </w:p>
    <w:p w14:paraId="5E0B9026" w14:textId="086ED0CD" w:rsidR="002D19B4" w:rsidRPr="002D19B4" w:rsidRDefault="002D19B4" w:rsidP="001C6A97">
      <w:pPr>
        <w:rPr>
          <w:lang w:val="es-ES"/>
        </w:rPr>
      </w:pPr>
      <w:r w:rsidRPr="002D19B4">
        <w:rPr>
          <w:lang w:val="es-ES"/>
        </w:rPr>
        <w:t>Los miembros de la APT están a favor de que se considere la inclusión del siguiente tema como punto del orden del día de la CMR-31:</w:t>
      </w:r>
    </w:p>
    <w:p w14:paraId="75FDD34C" w14:textId="77777777" w:rsidR="00AF5FD1" w:rsidRPr="00BC073D" w:rsidRDefault="00AF5FD1" w:rsidP="00AF5FD1">
      <w:pPr>
        <w:pStyle w:val="enumlev1"/>
        <w:rPr>
          <w:i/>
          <w:iCs/>
        </w:rPr>
      </w:pPr>
      <w:r>
        <w:tab/>
      </w:r>
      <w:r>
        <w:rPr>
          <w:i/>
        </w:rPr>
        <w:t xml:space="preserve">posibles disposiciones reglamentarias para evitar las interferencias perjudiciales causadas a los </w:t>
      </w:r>
      <w:r w:rsidRPr="001C6A97">
        <w:rPr>
          <w:i/>
          <w:iCs/>
          <w:lang w:val="es-ES"/>
        </w:rPr>
        <w:t>servicios</w:t>
      </w:r>
      <w:r>
        <w:rPr>
          <w:i/>
        </w:rPr>
        <w:t xml:space="preserve"> de radiocomunicaciones por la transmisión inalámbrica de potencia (TIP), de conformidad con la Resolución </w:t>
      </w:r>
      <w:r>
        <w:rPr>
          <w:b/>
          <w:i/>
        </w:rPr>
        <w:t>[ACP-AI10-6] (CMR-23)</w:t>
      </w:r>
      <w:r>
        <w:rPr>
          <w:i/>
        </w:rPr>
        <w:t>;</w:t>
      </w:r>
    </w:p>
    <w:p w14:paraId="06F5A06C" w14:textId="77777777" w:rsidR="002D19B4" w:rsidRPr="002D19B4" w:rsidRDefault="002D19B4" w:rsidP="001C6A97">
      <w:pPr>
        <w:rPr>
          <w:lang w:val="es-ES"/>
        </w:rPr>
      </w:pPr>
      <w:r w:rsidRPr="002D19B4">
        <w:rPr>
          <w:lang w:val="es-ES"/>
        </w:rPr>
        <w:t>Dependiendo de la carga de trabajo de la CMR-27, los miembros de la APT pueden considerar la transferencia de este punto del orden del día de la CMR-31 a la CMR-27.</w:t>
      </w:r>
    </w:p>
    <w:p w14:paraId="3E02E285" w14:textId="1817F53A" w:rsidR="00363A65" w:rsidRPr="002D19B4" w:rsidRDefault="002D19B4" w:rsidP="00FF744C">
      <w:pPr>
        <w:pStyle w:val="Headingb"/>
        <w:rPr>
          <w:lang w:val="es-ES"/>
        </w:rPr>
      </w:pPr>
      <w:r w:rsidRPr="002D19B4">
        <w:rPr>
          <w:lang w:val="es-ES"/>
        </w:rPr>
        <w:t>Propuestas</w:t>
      </w:r>
    </w:p>
    <w:p w14:paraId="0FB8D233" w14:textId="77777777" w:rsidR="008750A8" w:rsidRPr="003D0DEA" w:rsidRDefault="008750A8" w:rsidP="008750A8">
      <w:pPr>
        <w:tabs>
          <w:tab w:val="clear" w:pos="1134"/>
          <w:tab w:val="clear" w:pos="1871"/>
          <w:tab w:val="clear" w:pos="2268"/>
        </w:tabs>
        <w:overflowPunct/>
        <w:autoSpaceDE/>
        <w:autoSpaceDN/>
        <w:adjustRightInd/>
        <w:spacing w:before="0"/>
        <w:textAlignment w:val="auto"/>
        <w:rPr>
          <w:lang w:val="es-ES"/>
        </w:rPr>
      </w:pPr>
      <w:r w:rsidRPr="003D0DEA">
        <w:rPr>
          <w:lang w:val="es-ES"/>
        </w:rPr>
        <w:br w:type="page"/>
      </w:r>
    </w:p>
    <w:p w14:paraId="4064A5C0" w14:textId="77777777" w:rsidR="0009748F" w:rsidRPr="003D0DEA" w:rsidRDefault="009253B3">
      <w:pPr>
        <w:pStyle w:val="Proposal"/>
        <w:rPr>
          <w:lang w:val="es-ES"/>
        </w:rPr>
      </w:pPr>
      <w:r w:rsidRPr="003D0DEA">
        <w:rPr>
          <w:lang w:val="es-ES"/>
        </w:rPr>
        <w:lastRenderedPageBreak/>
        <w:t>ADD</w:t>
      </w:r>
      <w:r w:rsidRPr="003D0DEA">
        <w:rPr>
          <w:lang w:val="es-ES"/>
        </w:rPr>
        <w:tab/>
        <w:t>ACP/62A27A8/1</w:t>
      </w:r>
    </w:p>
    <w:p w14:paraId="70378B91" w14:textId="6023E334" w:rsidR="0009748F" w:rsidRPr="003D0DEA" w:rsidRDefault="009253B3">
      <w:pPr>
        <w:pStyle w:val="ResNo"/>
        <w:rPr>
          <w:lang w:val="es-ES"/>
        </w:rPr>
      </w:pPr>
      <w:r w:rsidRPr="003D0DEA">
        <w:rPr>
          <w:lang w:val="es-ES"/>
        </w:rPr>
        <w:t xml:space="preserve">Proyecto de nueva Resolución </w:t>
      </w:r>
      <w:r w:rsidR="001C6A97" w:rsidRPr="001C6A97">
        <w:rPr>
          <w:lang w:val="es-ES"/>
        </w:rPr>
        <w:t>[ACP-AI10-6] (CMR-23)</w:t>
      </w:r>
    </w:p>
    <w:p w14:paraId="6F88EE6A" w14:textId="36AD49D5" w:rsidR="00FB2ED6" w:rsidRDefault="00FB2ED6" w:rsidP="00FB2ED6">
      <w:pPr>
        <w:pStyle w:val="Restitle"/>
      </w:pPr>
      <w:bookmarkStart w:id="6" w:name="_Hlk143175709"/>
      <w:r>
        <w:t xml:space="preserve">Estudios sobre posibles disposiciones reglamentarias para evitar las interferencias perjudiciales causadas a los servicios de radiocomunicaciones </w:t>
      </w:r>
      <w:r w:rsidR="00125F6E">
        <w:br/>
      </w:r>
      <w:r>
        <w:t>por la transmisión inalámbrica de potencia (TIP)</w:t>
      </w:r>
    </w:p>
    <w:bookmarkEnd w:id="6"/>
    <w:p w14:paraId="732F4DFE" w14:textId="4B1A0B73" w:rsidR="00FB2ED6" w:rsidRPr="00B937B1" w:rsidRDefault="00125F6E" w:rsidP="00125F6E">
      <w:pPr>
        <w:pStyle w:val="Normalaftertitle"/>
        <w:rPr>
          <w:rFonts w:eastAsia="MS Mincho"/>
        </w:rPr>
      </w:pPr>
      <w:r>
        <w:t xml:space="preserve">La </w:t>
      </w:r>
      <w:r w:rsidR="00FB2ED6" w:rsidRPr="00125F6E">
        <w:t>Conferencia</w:t>
      </w:r>
      <w:r w:rsidR="00FB2ED6">
        <w:t xml:space="preserve"> Mundial de Radiocomunicaciones (Dubái, 2023),</w:t>
      </w:r>
    </w:p>
    <w:p w14:paraId="78D00248" w14:textId="77777777" w:rsidR="00FB2ED6" w:rsidRPr="00C27BC0" w:rsidRDefault="00FB2ED6" w:rsidP="00FB2ED6">
      <w:pPr>
        <w:pStyle w:val="Call"/>
        <w:rPr>
          <w:szCs w:val="22"/>
        </w:rPr>
      </w:pPr>
      <w:r>
        <w:t>considerando</w:t>
      </w:r>
    </w:p>
    <w:p w14:paraId="5EF46B7B" w14:textId="77777777" w:rsidR="00FB2ED6" w:rsidRPr="00C27BC0" w:rsidRDefault="00FB2ED6" w:rsidP="00FB2ED6">
      <w:r>
        <w:rPr>
          <w:i/>
        </w:rPr>
        <w:t>a)</w:t>
      </w:r>
      <w:r>
        <w:rPr>
          <w:i/>
        </w:rPr>
        <w:tab/>
      </w:r>
      <w:r>
        <w:t>que por transmisión inalámbrica de potencia (TIP) se entiende la transmisión de potencia desde una fuente de alimentación a una carga eléctrica de manera inalámbrica mediante un campo electromagnético, excluyendo la transmisión para radiocomunicaciones;</w:t>
      </w:r>
    </w:p>
    <w:p w14:paraId="61CC3A1A" w14:textId="77777777" w:rsidR="00FB2ED6" w:rsidRPr="001E52DF" w:rsidRDefault="00FB2ED6" w:rsidP="00FB2ED6">
      <w:r>
        <w:rPr>
          <w:i/>
        </w:rPr>
        <w:t>b)</w:t>
      </w:r>
      <w:r>
        <w:rPr>
          <w:i/>
        </w:rPr>
        <w:tab/>
      </w:r>
      <w:r>
        <w:t>que</w:t>
      </w:r>
      <w:r>
        <w:rPr>
          <w:rFonts w:ascii="MS Mincho" w:hAnsi="MS Mincho"/>
        </w:rPr>
        <w:t xml:space="preserve"> </w:t>
      </w:r>
      <w:r>
        <w:t>una amplia variedad de tecnologías y aplicaciones de TIP están evolucionando, están previstas o ya se han comercializado parcialmente; y</w:t>
      </w:r>
    </w:p>
    <w:p w14:paraId="72DDF147" w14:textId="721CCA3B" w:rsidR="00FB2ED6" w:rsidRPr="001E52DF" w:rsidRDefault="00FB2ED6" w:rsidP="00FB2ED6">
      <w:r>
        <w:rPr>
          <w:i/>
        </w:rPr>
        <w:t>c)</w:t>
      </w:r>
      <w:r>
        <w:tab/>
        <w:t xml:space="preserve">que esas tecnologías </w:t>
      </w:r>
      <w:r w:rsidR="00346EBE">
        <w:t xml:space="preserve">de </w:t>
      </w:r>
      <w:r>
        <w:t>TIP pueden ser de utilidad en ciertas aplicaciones, entre ellas la energía solar, las plataformas en aeronaves, las estaciones lunares, los vehículos eléctricos, los dispositivos de la Internet de las Cosas (IoT) y la carga inalámbrica de dispositivos,</w:t>
      </w:r>
    </w:p>
    <w:p w14:paraId="477E17F8" w14:textId="77777777" w:rsidR="00FB2ED6" w:rsidRPr="001E52DF" w:rsidRDefault="00FB2ED6" w:rsidP="00FB2ED6">
      <w:pPr>
        <w:pStyle w:val="Call"/>
      </w:pPr>
      <w:r>
        <w:t>reconociendo</w:t>
      </w:r>
    </w:p>
    <w:p w14:paraId="4B6A6394" w14:textId="5C626E2E" w:rsidR="00FB2ED6" w:rsidRPr="001E52DF" w:rsidRDefault="00FB2ED6" w:rsidP="00FB2ED6">
      <w:r>
        <w:rPr>
          <w:i/>
        </w:rPr>
        <w:t>a)</w:t>
      </w:r>
      <w:r>
        <w:tab/>
        <w:t xml:space="preserve">que la TIP no se define como un servicio </w:t>
      </w:r>
      <w:r w:rsidR="00346EBE" w:rsidRPr="00346EBE">
        <w:t>radioeléctrico</w:t>
      </w:r>
      <w:r w:rsidR="00346EBE">
        <w:t xml:space="preserve"> </w:t>
      </w:r>
      <w:r>
        <w:t>en el Reglamento de Radiocomunicaciones (RR);</w:t>
      </w:r>
    </w:p>
    <w:p w14:paraId="4B7B007A" w14:textId="77777777" w:rsidR="00FB2ED6" w:rsidRPr="001E52DF" w:rsidRDefault="00FB2ED6" w:rsidP="00FB2ED6">
      <w:r>
        <w:rPr>
          <w:i/>
        </w:rPr>
        <w:t>b)</w:t>
      </w:r>
      <w:r>
        <w:tab/>
        <w:t>que no existe ninguna reglamentación internacional que regule la radiación procedente de la TIP;</w:t>
      </w:r>
    </w:p>
    <w:p w14:paraId="48CE2EBF" w14:textId="77777777" w:rsidR="00FB2ED6" w:rsidRPr="001E52DF" w:rsidRDefault="00FB2ED6" w:rsidP="00FB2ED6">
      <w:r>
        <w:rPr>
          <w:i/>
        </w:rPr>
        <w:t>c)</w:t>
      </w:r>
      <w:r>
        <w:tab/>
        <w:t xml:space="preserve">que, en virtud de los números </w:t>
      </w:r>
      <w:r>
        <w:rPr>
          <w:b/>
        </w:rPr>
        <w:t>15.12</w:t>
      </w:r>
      <w:r>
        <w:t xml:space="preserve"> y </w:t>
      </w:r>
      <w:r>
        <w:rPr>
          <w:b/>
        </w:rPr>
        <w:t>15.13</w:t>
      </w:r>
      <w:r>
        <w:t>, las administraciones adoptarán cuantas medidas prácticas sean necesarias para que el funcionamiento de los aparatos e instalaciones eléctricos, incluidos los de TIP, no cause interferencias perjudiciales a un servicio de radiocomunicación y, en particular, a un servicio de radionavegación o cualquier otro servicio de seguridad;</w:t>
      </w:r>
    </w:p>
    <w:p w14:paraId="28E43AD7" w14:textId="1AAD0B57" w:rsidR="00FB2ED6" w:rsidRPr="001E52DF" w:rsidRDefault="00125F6E" w:rsidP="00FB2ED6">
      <w:r>
        <w:rPr>
          <w:i/>
        </w:rPr>
        <w:t>d</w:t>
      </w:r>
      <w:r w:rsidR="00FB2ED6">
        <w:rPr>
          <w:i/>
        </w:rPr>
        <w:t>)</w:t>
      </w:r>
      <w:r w:rsidR="00FB2ED6">
        <w:rPr>
          <w:i/>
        </w:rPr>
        <w:tab/>
      </w:r>
      <w:r w:rsidR="00FB2ED6">
        <w:t>que algunas administraciones consideran la TIP como una aplicación ICM según la definición del RR, y aplican su reglamentación vigente a las aplicaciones y equipos industriales, científicos y médicos (ICM);</w:t>
      </w:r>
    </w:p>
    <w:p w14:paraId="56B221B2" w14:textId="31C131C5" w:rsidR="00FB2ED6" w:rsidRPr="001E52DF" w:rsidRDefault="00125F6E" w:rsidP="00FB2ED6">
      <w:r>
        <w:rPr>
          <w:i/>
        </w:rPr>
        <w:t>e</w:t>
      </w:r>
      <w:r w:rsidR="00FB2ED6">
        <w:rPr>
          <w:i/>
        </w:rPr>
        <w:t>)</w:t>
      </w:r>
      <w:r w:rsidR="00FB2ED6">
        <w:tab/>
        <w:t>que algunas administraciones consideran los equipos de TIP como dispositivos de radiocomunicaciones de corto alcance (SRD) y aplican su reglamentación vigente relativa a los SRD, aunque estos no se definen en el RR, si bien son objeto de algunas Recomendaciones e Informes del UIT-R;</w:t>
      </w:r>
    </w:p>
    <w:p w14:paraId="0AC39078" w14:textId="59BAEF0F" w:rsidR="00FB2ED6" w:rsidRPr="001E52DF" w:rsidRDefault="00125F6E" w:rsidP="00FB2ED6">
      <w:r>
        <w:rPr>
          <w:i/>
        </w:rPr>
        <w:t>f</w:t>
      </w:r>
      <w:r w:rsidR="00FB2ED6">
        <w:rPr>
          <w:i/>
        </w:rPr>
        <w:t>)</w:t>
      </w:r>
      <w:r w:rsidR="00FB2ED6">
        <w:tab/>
        <w:t>que, a fin de no causar interferencias perjudiciales a los servicios de radiocomunicaciones, algunas administraciones clasifican ciertas aplicaciones de TIP como un servicio de radiocomunicaciones que no está definido en el RR,</w:t>
      </w:r>
    </w:p>
    <w:p w14:paraId="0B8A072A" w14:textId="77777777" w:rsidR="00FB2ED6" w:rsidRPr="001E52DF" w:rsidRDefault="00FB2ED6" w:rsidP="00FB2ED6">
      <w:pPr>
        <w:pStyle w:val="Call"/>
      </w:pPr>
      <w:r>
        <w:t>observando</w:t>
      </w:r>
    </w:p>
    <w:p w14:paraId="4941993E" w14:textId="77777777" w:rsidR="00FB2ED6" w:rsidRPr="001E52DF" w:rsidRDefault="00FB2ED6" w:rsidP="00FB2ED6">
      <w:r>
        <w:rPr>
          <w:i/>
          <w:iCs/>
        </w:rPr>
        <w:t>a)</w:t>
      </w:r>
      <w:r>
        <w:t xml:space="preserve"> que la CE 1 del UIT-R está estudiando, basándose en la Cuestión UIT-R 210/1, los requisitos técnicos y operacionales para que los servicios de radiocomunicaciones estén protegidos de interferencias perjudiciales causadas por operaciones de TIP;</w:t>
      </w:r>
    </w:p>
    <w:p w14:paraId="74A0C832" w14:textId="77777777" w:rsidR="00FB2ED6" w:rsidRPr="001E52DF" w:rsidRDefault="00FB2ED6" w:rsidP="00FB2ED6">
      <w:pPr>
        <w:rPr>
          <w:rFonts w:eastAsia="Mincho"/>
        </w:rPr>
      </w:pPr>
      <w:r>
        <w:rPr>
          <w:i/>
        </w:rPr>
        <w:lastRenderedPageBreak/>
        <w:t>b)</w:t>
      </w:r>
      <w:r>
        <w:tab/>
        <w:t>que se han aprobado las Recomendaciones UIT-R sobre gamas de frecuencias para TIP (Recomendaciones UIT-R SM.2110-1, SM.2129-0 y SM.2151-0), y que el UIT-R está llevando a cabo otros estudios sobre diversas aplicaciones y tecnologías de TIP; y</w:t>
      </w:r>
    </w:p>
    <w:p w14:paraId="572D1CD9" w14:textId="77777777" w:rsidR="00FB2ED6" w:rsidRPr="008D51E5" w:rsidRDefault="00FB2ED6" w:rsidP="00FB2ED6">
      <w:r>
        <w:rPr>
          <w:i/>
        </w:rPr>
        <w:t>c)</w:t>
      </w:r>
      <w:r>
        <w:tab/>
        <w:t>que las Recomendaciones UIT-R proporcionan orientación a las administraciones y no son vinculantes para los Estados Miembros de la UIT,</w:t>
      </w:r>
    </w:p>
    <w:p w14:paraId="78B8A63E" w14:textId="77777777" w:rsidR="00FB2ED6" w:rsidRPr="008D51E5" w:rsidRDefault="00FB2ED6" w:rsidP="00FB2ED6">
      <w:pPr>
        <w:pStyle w:val="Call"/>
        <w:rPr>
          <w:rFonts w:eastAsia="MS Mincho"/>
        </w:rPr>
      </w:pPr>
      <w:r>
        <w:t>resuelve invitar a la [CMR-27/CMR-31]:</w:t>
      </w:r>
    </w:p>
    <w:p w14:paraId="5ECE8A90" w14:textId="77777777" w:rsidR="00FB2ED6" w:rsidRPr="008D51E5" w:rsidRDefault="00FB2ED6" w:rsidP="00FB2ED6">
      <w:pPr>
        <w:rPr>
          <w:rFonts w:eastAsiaTheme="minorEastAsia"/>
        </w:rPr>
      </w:pPr>
      <w:r>
        <w:t>a considerar, basándose en los resultados de los estudios del UIT-R, posibles disposiciones reglamentarias para evitar las interferencias perjudiciales causadas a los servicios de radiocomunicaciones por la TIP,</w:t>
      </w:r>
    </w:p>
    <w:p w14:paraId="34A6A1D6" w14:textId="77777777" w:rsidR="00FB2ED6" w:rsidRPr="008D51E5" w:rsidRDefault="00FB2ED6" w:rsidP="00FB2ED6">
      <w:pPr>
        <w:pStyle w:val="Call"/>
      </w:pPr>
      <w:r>
        <w:t>resuelve invitar al UIT-R a realizar y completar a tiempo para la CMR-27</w:t>
      </w:r>
    </w:p>
    <w:p w14:paraId="779B5B51" w14:textId="5423EBD3" w:rsidR="00FB2ED6" w:rsidRPr="008D51E5" w:rsidRDefault="00FB2ED6" w:rsidP="00FB2ED6">
      <w:r>
        <w:t xml:space="preserve">los estudios técnicos, operacionales, de compartición y de compatibilidad, así como posibles estudios reglamentarios, con miras a asegurar la protección de los servicios de radiocomunicaciones a los que está atribuida la banda de frecuencias a título primario y secundario, o </w:t>
      </w:r>
      <w:r w:rsidR="00BA4C14">
        <w:t xml:space="preserve">de </w:t>
      </w:r>
      <w:r>
        <w:t>los servicios en las bandas adyacentes, y que la TIP no reclame la protección contra esos servicios de radiocomunicaciones, respecto de las bandas de frecuencias: 19-21 kHz, 55-57 kHz, 63-65 kHz, 79</w:t>
      </w:r>
      <w:r w:rsidR="009D4543">
        <w:noBreakHyphen/>
      </w:r>
      <w:r>
        <w:t>90 kHz, 100-148,5 kHz, 6 765-6 795 kHz, 2 410-2 483,5/2 486 MHz, 5 725-5 875 MHz, 61</w:t>
      </w:r>
      <w:r w:rsidR="009D4543">
        <w:noBreakHyphen/>
      </w:r>
      <w:r>
        <w:t>61,5</w:t>
      </w:r>
      <w:r w:rsidR="009D4543">
        <w:t> </w:t>
      </w:r>
      <w:r>
        <w:t>GHz,</w:t>
      </w:r>
    </w:p>
    <w:p w14:paraId="1E0B24B2" w14:textId="77777777" w:rsidR="00FB2ED6" w:rsidRPr="001E52DF" w:rsidRDefault="00FB2ED6" w:rsidP="00FB2ED6">
      <w:pPr>
        <w:pStyle w:val="Call"/>
        <w:rPr>
          <w:rFonts w:eastAsia="MS Mincho"/>
        </w:rPr>
      </w:pPr>
      <w:r>
        <w:t>resuelve instar a las administraciones</w:t>
      </w:r>
    </w:p>
    <w:p w14:paraId="2C8B744B" w14:textId="77777777" w:rsidR="00FB2ED6" w:rsidRPr="001E52DF" w:rsidRDefault="00FB2ED6" w:rsidP="00FB2ED6">
      <w:pPr>
        <w:rPr>
          <w:rFonts w:eastAsia="MS Mincho"/>
        </w:rPr>
      </w:pPr>
      <w:r>
        <w:t>a participar activamente en esos estudios presentando contribuciones al UIT-R,</w:t>
      </w:r>
    </w:p>
    <w:p w14:paraId="7CF91A7D" w14:textId="77777777" w:rsidR="00FB2ED6" w:rsidRPr="001E52DF" w:rsidRDefault="00FB2ED6" w:rsidP="00FB2ED6">
      <w:pPr>
        <w:pStyle w:val="Call"/>
        <w:rPr>
          <w:rFonts w:eastAsia="MS Mincho"/>
        </w:rPr>
      </w:pPr>
      <w:r>
        <w:t>invita a los Estados Miembros, Miembros de Sector, Asociados e Instituciones Académicas</w:t>
      </w:r>
    </w:p>
    <w:p w14:paraId="7B7A24EB" w14:textId="77777777" w:rsidR="00FB2ED6" w:rsidRDefault="00FB2ED6" w:rsidP="00FB2ED6">
      <w:pPr>
        <w:rPr>
          <w:rFonts w:eastAsia="MS Mincho"/>
        </w:rPr>
      </w:pPr>
      <w:r>
        <w:t>a participar en los estudios presentando contribuciones al UIT-R.</w:t>
      </w:r>
    </w:p>
    <w:p w14:paraId="17E740C9" w14:textId="77777777" w:rsidR="00FB2ED6" w:rsidRDefault="00FB2ED6" w:rsidP="009D4543">
      <w:pPr>
        <w:pStyle w:val="Reasons"/>
        <w:spacing w:after="240"/>
        <w:rPr>
          <w:rFonts w:eastAsia="MS Mincho"/>
        </w:rPr>
      </w:pPr>
      <w:r>
        <w:rPr>
          <w:b/>
        </w:rPr>
        <w:t>Motivos</w:t>
      </w:r>
      <w:r w:rsidRPr="009D4543">
        <w:rPr>
          <w:b/>
          <w:bCs/>
        </w:rPr>
        <w:t>:</w:t>
      </w:r>
      <w:r>
        <w:tab/>
        <w:t xml:space="preserve">Propuesta </w:t>
      </w:r>
      <w:r w:rsidRPr="009D4543">
        <w:rPr>
          <w:lang w:val="fr-FR"/>
        </w:rPr>
        <w:t>de</w:t>
      </w:r>
      <w:r>
        <w:t xml:space="preserve"> un nuevo punto del orden del día de la CMR-27 para considerar la transmisión inalámbrica de potencia (TIP).</w:t>
      </w:r>
    </w:p>
    <w:tbl>
      <w:tblPr>
        <w:tblpPr w:leftFromText="180" w:rightFromText="180" w:vertAnchor="text" w:tblpX="-84" w:tblpY="1"/>
        <w:tblOverlap w:val="never"/>
        <w:tblW w:w="9923" w:type="dxa"/>
        <w:tblLayout w:type="fixed"/>
        <w:tblLook w:val="04A0" w:firstRow="1" w:lastRow="0" w:firstColumn="1" w:lastColumn="0" w:noHBand="0" w:noVBand="1"/>
      </w:tblPr>
      <w:tblGrid>
        <w:gridCol w:w="4897"/>
        <w:gridCol w:w="5026"/>
      </w:tblGrid>
      <w:tr w:rsidR="00FB2ED6" w:rsidRPr="009D4543" w14:paraId="174EB9E9" w14:textId="77777777" w:rsidTr="00FD42F4">
        <w:trPr>
          <w:cantSplit/>
        </w:trPr>
        <w:tc>
          <w:tcPr>
            <w:tcW w:w="9923" w:type="dxa"/>
            <w:gridSpan w:val="2"/>
          </w:tcPr>
          <w:p w14:paraId="1DAD2AC6" w14:textId="77777777" w:rsidR="00FB2ED6" w:rsidRPr="009D4543" w:rsidRDefault="00FB2ED6" w:rsidP="009D4543">
            <w:pPr>
              <w:rPr>
                <w:b/>
                <w:bCs/>
              </w:rPr>
            </w:pPr>
            <w:r w:rsidRPr="009D4543">
              <w:rPr>
                <w:b/>
                <w:bCs/>
                <w:lang w:val="fr-FR"/>
              </w:rPr>
              <w:t>Asunto</w:t>
            </w:r>
            <w:r w:rsidRPr="009D4543">
              <w:rPr>
                <w:b/>
                <w:bCs/>
              </w:rPr>
              <w:t>: Propuesta de punto del orden del día de la CMR-27 sobre la transmisión inalámbrica de potencia (TIP)</w:t>
            </w:r>
          </w:p>
        </w:tc>
      </w:tr>
      <w:tr w:rsidR="00FB2ED6" w:rsidRPr="00C87DFC" w14:paraId="004451C8" w14:textId="77777777" w:rsidTr="00FD42F4">
        <w:trPr>
          <w:cantSplit/>
        </w:trPr>
        <w:tc>
          <w:tcPr>
            <w:tcW w:w="9923" w:type="dxa"/>
            <w:gridSpan w:val="2"/>
            <w:tcBorders>
              <w:top w:val="nil"/>
              <w:left w:val="nil"/>
              <w:bottom w:val="single" w:sz="4" w:space="0" w:color="auto"/>
              <w:right w:val="nil"/>
            </w:tcBorders>
          </w:tcPr>
          <w:p w14:paraId="423EDA2A" w14:textId="77777777" w:rsidR="00FB2ED6" w:rsidRPr="009D4543" w:rsidRDefault="00FB2ED6" w:rsidP="009D4543">
            <w:pPr>
              <w:spacing w:line="480" w:lineRule="auto"/>
              <w:rPr>
                <w:rFonts w:eastAsia="MS Mincho"/>
                <w:b/>
                <w:bCs/>
              </w:rPr>
            </w:pPr>
            <w:r w:rsidRPr="009D4543">
              <w:rPr>
                <w:b/>
                <w:bCs/>
              </w:rPr>
              <w:t>Origen: APT</w:t>
            </w:r>
          </w:p>
        </w:tc>
      </w:tr>
      <w:tr w:rsidR="00FB2ED6" w:rsidRPr="00C87DFC" w14:paraId="46FF4714" w14:textId="77777777" w:rsidTr="00FD42F4">
        <w:trPr>
          <w:cantSplit/>
        </w:trPr>
        <w:tc>
          <w:tcPr>
            <w:tcW w:w="9923" w:type="dxa"/>
            <w:gridSpan w:val="2"/>
            <w:tcBorders>
              <w:top w:val="single" w:sz="4" w:space="0" w:color="auto"/>
              <w:left w:val="nil"/>
              <w:bottom w:val="single" w:sz="4" w:space="0" w:color="auto"/>
              <w:right w:val="nil"/>
            </w:tcBorders>
          </w:tcPr>
          <w:p w14:paraId="580214EF" w14:textId="77777777" w:rsidR="00FB2ED6" w:rsidRPr="00FB79BC" w:rsidRDefault="00FB2ED6" w:rsidP="00FB79BC">
            <w:pPr>
              <w:pStyle w:val="Headingb"/>
              <w:rPr>
                <w:i/>
                <w:iCs/>
              </w:rPr>
            </w:pPr>
            <w:r w:rsidRPr="00FB79BC">
              <w:rPr>
                <w:i/>
                <w:iCs/>
              </w:rPr>
              <w:t>Propuesta:</w:t>
            </w:r>
          </w:p>
          <w:p w14:paraId="62EA0644" w14:textId="3C97FD33" w:rsidR="00FB2ED6" w:rsidRPr="00C87DFC" w:rsidRDefault="009D4543" w:rsidP="009D4543">
            <w:pPr>
              <w:rPr>
                <w:rFonts w:eastAsiaTheme="minorEastAsia"/>
                <w:i/>
                <w:iCs/>
              </w:rPr>
            </w:pPr>
            <w:r w:rsidRPr="009D4543">
              <w:rPr>
                <w:i/>
              </w:rPr>
              <w:t>Estudios sobre posibles disposiciones reglamentarias para evitar las interferencias perjudiciales causadas a los servicios de radiocomunicaciones por la transmisión inalámbrica de potencia (TIP)</w:t>
            </w:r>
          </w:p>
        </w:tc>
      </w:tr>
      <w:tr w:rsidR="00FB2ED6" w:rsidRPr="00350581" w14:paraId="5898607F" w14:textId="77777777" w:rsidTr="00FD42F4">
        <w:trPr>
          <w:cantSplit/>
        </w:trPr>
        <w:tc>
          <w:tcPr>
            <w:tcW w:w="9923" w:type="dxa"/>
            <w:gridSpan w:val="2"/>
            <w:tcBorders>
              <w:top w:val="single" w:sz="4" w:space="0" w:color="auto"/>
              <w:left w:val="nil"/>
              <w:bottom w:val="single" w:sz="4" w:space="0" w:color="auto"/>
              <w:right w:val="nil"/>
            </w:tcBorders>
          </w:tcPr>
          <w:p w14:paraId="4A56A514" w14:textId="77777777" w:rsidR="00FB2ED6" w:rsidRPr="00A913DF" w:rsidRDefault="00FB2ED6" w:rsidP="00FB79BC">
            <w:pPr>
              <w:pStyle w:val="Headingb"/>
              <w:rPr>
                <w:iCs/>
              </w:rPr>
            </w:pPr>
            <w:r>
              <w:t>Antecedentes/motivos:</w:t>
            </w:r>
          </w:p>
          <w:p w14:paraId="7907CFCC" w14:textId="4865E77F" w:rsidR="00FB2ED6" w:rsidRPr="00A913DF" w:rsidRDefault="00FB2ED6" w:rsidP="00FD42F4">
            <w:pPr>
              <w:rPr>
                <w:rFonts w:eastAsiaTheme="minorEastAsia"/>
              </w:rPr>
            </w:pPr>
            <w:r>
              <w:t>Una amplia variedad de tecnologías y aplicaciones de transmisión inalámbrica de potencia (TIP) están evolucionando, están previstas o ya se han comercializado parcialmente.</w:t>
            </w:r>
          </w:p>
          <w:p w14:paraId="3BBBB5A7" w14:textId="77777777" w:rsidR="00FB2ED6" w:rsidRPr="00A913DF" w:rsidRDefault="00FB2ED6" w:rsidP="00FD42F4">
            <w:pPr>
              <w:rPr>
                <w:rFonts w:eastAsiaTheme="minorEastAsia"/>
              </w:rPr>
            </w:pPr>
            <w:r>
              <w:t>Esta propuesta se basa en la siguiente situación reglamentaria actual en relación con la TIP:</w:t>
            </w:r>
          </w:p>
          <w:p w14:paraId="2B349AEA" w14:textId="77777777" w:rsidR="00FB2ED6" w:rsidRPr="008955A0" w:rsidRDefault="00FB2ED6" w:rsidP="00FF744C">
            <w:pPr>
              <w:pStyle w:val="enumlev1"/>
              <w:rPr>
                <w:rFonts w:eastAsiaTheme="minorEastAsia"/>
              </w:rPr>
            </w:pPr>
            <w:r>
              <w:t>–</w:t>
            </w:r>
            <w:r>
              <w:tab/>
              <w:t xml:space="preserve">Dado que los equipos de TIP constituyen </w:t>
            </w:r>
            <w:proofErr w:type="gramStart"/>
            <w:r>
              <w:t>sin lugar a dudas</w:t>
            </w:r>
            <w:proofErr w:type="gramEnd"/>
            <w:r>
              <w:t xml:space="preserve"> un tipo de aparatos o instalaciones eléctricos, son aplicables los números </w:t>
            </w:r>
            <w:r>
              <w:rPr>
                <w:b/>
              </w:rPr>
              <w:t>15.12</w:t>
            </w:r>
            <w:r>
              <w:t xml:space="preserve"> y </w:t>
            </w:r>
            <w:r>
              <w:rPr>
                <w:b/>
              </w:rPr>
              <w:t>15.13</w:t>
            </w:r>
            <w:r>
              <w:t xml:space="preserve"> del RR y, las administraciones adoptarán cuantas medidas prácticas sean necesarias para que el funcionamiento de los equipos de TIP no cause interferencias perjudiciales a un servicio de radiocomunicación y, en particular, a un servicio de radionavegación o cualquier otro servicio de seguridad. </w:t>
            </w:r>
          </w:p>
          <w:p w14:paraId="1C27D548" w14:textId="77777777" w:rsidR="00FB2ED6" w:rsidRPr="008955A0" w:rsidRDefault="00FB2ED6" w:rsidP="00FF744C">
            <w:pPr>
              <w:pStyle w:val="enumlev1"/>
              <w:rPr>
                <w:rFonts w:eastAsiaTheme="minorEastAsia"/>
              </w:rPr>
            </w:pPr>
            <w:r>
              <w:lastRenderedPageBreak/>
              <w:t>–</w:t>
            </w:r>
            <w:r>
              <w:tab/>
              <w:t>En el marco de la actual situación reglamentaria internacional en materia de TIP, muchos países no disponen de una reglamentación sobre TIP suficiente y necesaria para evitar interferencias perjudiciales a los servicios de radiocomunicaciones, por lo que es necesario mejorar esta situación.</w:t>
            </w:r>
          </w:p>
          <w:p w14:paraId="3F2DEF91" w14:textId="77777777" w:rsidR="00FB2ED6" w:rsidRPr="008955A0" w:rsidRDefault="00FB2ED6" w:rsidP="00FF744C">
            <w:pPr>
              <w:pStyle w:val="enumlev1"/>
              <w:rPr>
                <w:rFonts w:eastAsiaTheme="minorEastAsia"/>
              </w:rPr>
            </w:pPr>
            <w:r>
              <w:t>–</w:t>
            </w:r>
            <w:r>
              <w:tab/>
              <w:t>Las Recomendaciones UIT-R sobre TIP recomiendan que las administraciones consideren como orientación la utilización de las gamas de frecuencias que figuran en las Recomendaciones para el funcionamiento de los sistemas de TIP, o partes de las mismas.</w:t>
            </w:r>
          </w:p>
          <w:p w14:paraId="604C614B" w14:textId="77777777" w:rsidR="00FB2ED6" w:rsidRPr="00A913DF" w:rsidRDefault="00FB2ED6" w:rsidP="00FF744C">
            <w:pPr>
              <w:pStyle w:val="enumlev1"/>
              <w:rPr>
                <w:rFonts w:eastAsiaTheme="minorEastAsia"/>
              </w:rPr>
            </w:pPr>
            <w:r>
              <w:t>–</w:t>
            </w:r>
            <w:r>
              <w:tab/>
              <w:t xml:space="preserve">Las gamas de frecuencias enumeradas en esas Recomendaciones se basan en los resultados de estudios sobre interferencias que tienen en cuenta la situación en algunos países. </w:t>
            </w:r>
          </w:p>
          <w:p w14:paraId="6D3D6F5B" w14:textId="77777777" w:rsidR="00FB2ED6" w:rsidRPr="00A913DF" w:rsidRDefault="00FB2ED6" w:rsidP="00FD42F4">
            <w:r>
              <w:t>A tenor de la situación descrita, la APT propone el siguiente nuevo punto del orden del día para la CMR-27:</w:t>
            </w:r>
          </w:p>
          <w:p w14:paraId="68E5F296" w14:textId="0545D7A1" w:rsidR="00FB2ED6" w:rsidRPr="00350581" w:rsidRDefault="00F715D8" w:rsidP="00FF744C">
            <w:pPr>
              <w:pStyle w:val="enumlev1"/>
              <w:rPr>
                <w:rFonts w:eastAsiaTheme="minorEastAsia"/>
              </w:rPr>
            </w:pPr>
            <w:r>
              <w:rPr>
                <w:rFonts w:eastAsiaTheme="minorEastAsia"/>
              </w:rPr>
              <w:t>–</w:t>
            </w:r>
            <w:r>
              <w:rPr>
                <w:rFonts w:eastAsiaTheme="minorEastAsia"/>
              </w:rPr>
              <w:tab/>
            </w:r>
            <w:r w:rsidR="00FB2ED6">
              <w:t>Estudios sobre posibles disposiciones reglamentarias para evitar las interferencias perjudiciales causadas a los servicios de radiocomunicaciones por la transmisión inalámbrica de potencia (TIP)</w:t>
            </w:r>
          </w:p>
        </w:tc>
      </w:tr>
      <w:tr w:rsidR="00FB2ED6" w:rsidRPr="00A913DF" w14:paraId="3DD6B7B9" w14:textId="77777777" w:rsidTr="00FD42F4">
        <w:trPr>
          <w:cantSplit/>
        </w:trPr>
        <w:tc>
          <w:tcPr>
            <w:tcW w:w="9923" w:type="dxa"/>
            <w:gridSpan w:val="2"/>
            <w:tcBorders>
              <w:top w:val="single" w:sz="4" w:space="0" w:color="auto"/>
              <w:left w:val="nil"/>
              <w:bottom w:val="single" w:sz="4" w:space="0" w:color="auto"/>
              <w:right w:val="nil"/>
            </w:tcBorders>
          </w:tcPr>
          <w:p w14:paraId="68BAD993" w14:textId="77777777" w:rsidR="00FB2ED6" w:rsidRPr="00FB79BC" w:rsidRDefault="00FB2ED6" w:rsidP="00FB79BC">
            <w:pPr>
              <w:pStyle w:val="Headingb"/>
              <w:rPr>
                <w:i/>
                <w:iCs/>
              </w:rPr>
            </w:pPr>
            <w:r w:rsidRPr="00FB79BC">
              <w:rPr>
                <w:i/>
                <w:iCs/>
              </w:rPr>
              <w:lastRenderedPageBreak/>
              <w:t>Servicios de radiocomunicaciones en cuestión:</w:t>
            </w:r>
          </w:p>
          <w:p w14:paraId="6339DCC1" w14:textId="77777777" w:rsidR="00FB2ED6" w:rsidRPr="00A913DF" w:rsidRDefault="00FB2ED6" w:rsidP="00FD42F4">
            <w:pPr>
              <w:keepNext/>
              <w:spacing w:after="120"/>
              <w:rPr>
                <w:b/>
                <w:iCs/>
              </w:rPr>
            </w:pPr>
            <w:r>
              <w:rPr>
                <w:color w:val="000000"/>
              </w:rPr>
              <w:t>Todos los servicios de radiocomunicaciones y los servicios de radioastronomía</w:t>
            </w:r>
          </w:p>
        </w:tc>
      </w:tr>
      <w:tr w:rsidR="00FB2ED6" w:rsidRPr="00350581" w14:paraId="60757521" w14:textId="77777777" w:rsidTr="00FD42F4">
        <w:trPr>
          <w:cantSplit/>
        </w:trPr>
        <w:tc>
          <w:tcPr>
            <w:tcW w:w="9923" w:type="dxa"/>
            <w:gridSpan w:val="2"/>
            <w:tcBorders>
              <w:top w:val="single" w:sz="4" w:space="0" w:color="auto"/>
              <w:left w:val="nil"/>
              <w:bottom w:val="single" w:sz="4" w:space="0" w:color="auto"/>
              <w:right w:val="nil"/>
            </w:tcBorders>
          </w:tcPr>
          <w:p w14:paraId="7153055A" w14:textId="77777777" w:rsidR="00FB2ED6" w:rsidRPr="00FB79BC" w:rsidRDefault="00FB2ED6" w:rsidP="00FB79BC">
            <w:pPr>
              <w:pStyle w:val="Headingb"/>
              <w:rPr>
                <w:i/>
                <w:iCs/>
              </w:rPr>
            </w:pPr>
            <w:r w:rsidRPr="00FB79BC">
              <w:rPr>
                <w:i/>
                <w:iCs/>
              </w:rPr>
              <w:t>Indicación de posibles dificultades:</w:t>
            </w:r>
          </w:p>
          <w:p w14:paraId="19014309" w14:textId="77777777" w:rsidR="00FB2ED6" w:rsidRPr="00350581" w:rsidRDefault="00FB2ED6" w:rsidP="00FD42F4">
            <w:pPr>
              <w:rPr>
                <w:rFonts w:eastAsiaTheme="minorEastAsia"/>
              </w:rPr>
            </w:pPr>
            <w:r>
              <w:t>Ninguna.</w:t>
            </w:r>
          </w:p>
        </w:tc>
      </w:tr>
      <w:tr w:rsidR="00FB2ED6" w:rsidRPr="00A913DF" w14:paraId="46C8331F" w14:textId="77777777" w:rsidTr="00FD42F4">
        <w:trPr>
          <w:cantSplit/>
        </w:trPr>
        <w:tc>
          <w:tcPr>
            <w:tcW w:w="9923" w:type="dxa"/>
            <w:gridSpan w:val="2"/>
            <w:tcBorders>
              <w:top w:val="single" w:sz="4" w:space="0" w:color="auto"/>
              <w:left w:val="nil"/>
              <w:bottom w:val="single" w:sz="4" w:space="0" w:color="auto"/>
              <w:right w:val="nil"/>
            </w:tcBorders>
          </w:tcPr>
          <w:p w14:paraId="151B4A0F" w14:textId="77777777" w:rsidR="00FB2ED6" w:rsidRPr="00FB79BC" w:rsidRDefault="00FB2ED6" w:rsidP="00FB79BC">
            <w:pPr>
              <w:pStyle w:val="Headingb"/>
              <w:rPr>
                <w:bCs/>
                <w:i/>
                <w:iCs/>
              </w:rPr>
            </w:pPr>
            <w:r w:rsidRPr="00FB79BC">
              <w:rPr>
                <w:bCs/>
                <w:i/>
                <w:iCs/>
              </w:rPr>
              <w:t>Estudios previos o en curso sobre el tema:</w:t>
            </w:r>
          </w:p>
          <w:p w14:paraId="52F4D779" w14:textId="77777777" w:rsidR="00FB2ED6" w:rsidRPr="00A913DF" w:rsidRDefault="00FB2ED6" w:rsidP="00FD42F4">
            <w:pPr>
              <w:rPr>
                <w:rFonts w:eastAsiaTheme="minorEastAsia"/>
                <w:bCs/>
                <w:iCs/>
                <w:color w:val="000000"/>
              </w:rPr>
            </w:pPr>
            <w:r>
              <w:rPr>
                <w:color w:val="000000"/>
              </w:rPr>
              <w:t xml:space="preserve">La CMR-15 aprobó la Resolución 958 para la realización de estudios urgentes sobre la TIP para vehículos eléctricos en preparación de la CMR-19. Sin embargo, la CE 1 del UIT-R no logró aprobar una Recomendación UIT-R a tiempo para la CMR-19. En consecuencia, la CMR-19 decidió que </w:t>
            </w:r>
            <w:r>
              <w:t>no era necesario introducir cambios en el RR en la CMR-19 y recomendó al UIT-R que prosiguiera sus estudios sobre TIP</w:t>
            </w:r>
            <w:r>
              <w:rPr>
                <w:color w:val="000000"/>
              </w:rPr>
              <w:t>.</w:t>
            </w:r>
          </w:p>
          <w:p w14:paraId="15FB1560" w14:textId="77777777" w:rsidR="00FB2ED6" w:rsidRPr="00A913DF" w:rsidRDefault="00FB2ED6" w:rsidP="00FD42F4">
            <w:pPr>
              <w:rPr>
                <w:rFonts w:eastAsiaTheme="minorEastAsia"/>
                <w:bCs/>
                <w:iCs/>
                <w:color w:val="000000"/>
              </w:rPr>
            </w:pPr>
            <w:r>
              <w:rPr>
                <w:color w:val="000000"/>
              </w:rPr>
              <w:t>Desde entonces, se han aprobado tres Recomendaciones UIT-R sobre gamas de frecuencias para distintos tipos de TIP, a saber: Recomendaciones UIT-R SM.2110-1</w:t>
            </w:r>
            <w:r>
              <w:t xml:space="preserve"> «Directrices sobre gamas de frecuencias para la explotación de sistemas de transmisión inalámbrica de potencia sin haces para vehículos eléctricos»,</w:t>
            </w:r>
            <w:r>
              <w:rPr>
                <w:color w:val="000000"/>
              </w:rPr>
              <w:t xml:space="preserve"> SM.2129-0 </w:t>
            </w:r>
            <w:r>
              <w:t>«Orientaciones sobre las gamas de frecuencias para la explotación de sistemas de transmisión inalámbrica de potencia sin haces radioeléctricos para dispositivos móviles y portátiles»</w:t>
            </w:r>
            <w:r>
              <w:rPr>
                <w:color w:val="000000"/>
              </w:rPr>
              <w:t xml:space="preserve"> y SM.2151-0 </w:t>
            </w:r>
            <w:r>
              <w:t>«Directrices sobre las gamas de frecuencias para la explotación de la transmisión inalámbrica de potencia por medio de haces de radiofrecuencias para dispositivos móviles y portátiles y redes de sensores».</w:t>
            </w:r>
          </w:p>
          <w:p w14:paraId="5C6FC43D" w14:textId="77777777" w:rsidR="00FB2ED6" w:rsidRPr="00A913DF" w:rsidRDefault="00FB2ED6" w:rsidP="00FB79BC">
            <w:pPr>
              <w:rPr>
                <w:rFonts w:eastAsia="MS Mincho"/>
              </w:rPr>
            </w:pPr>
            <w:r>
              <w:t>Hay varios estudios en curso del UIT-R sobre TIP, en los que se abordan diversas tecnologías y aplicaciones de TIP, y es posible que se aprueben más Recomendaciones antes de la CMR-27.</w:t>
            </w:r>
          </w:p>
        </w:tc>
      </w:tr>
      <w:tr w:rsidR="00FB2ED6" w:rsidRPr="00A913DF" w14:paraId="236B0A79" w14:textId="77777777" w:rsidTr="00FD42F4">
        <w:trPr>
          <w:cantSplit/>
        </w:trPr>
        <w:tc>
          <w:tcPr>
            <w:tcW w:w="4897" w:type="dxa"/>
            <w:tcBorders>
              <w:top w:val="single" w:sz="4" w:space="0" w:color="auto"/>
              <w:left w:val="nil"/>
              <w:bottom w:val="single" w:sz="4" w:space="0" w:color="auto"/>
              <w:right w:val="single" w:sz="4" w:space="0" w:color="auto"/>
            </w:tcBorders>
          </w:tcPr>
          <w:p w14:paraId="095E19BC" w14:textId="77777777" w:rsidR="00FB2ED6" w:rsidRPr="00FB79BC" w:rsidRDefault="00FB2ED6" w:rsidP="00FB79BC">
            <w:pPr>
              <w:pStyle w:val="Headingb"/>
              <w:rPr>
                <w:i/>
                <w:iCs/>
              </w:rPr>
            </w:pPr>
            <w:r w:rsidRPr="00FB79BC">
              <w:rPr>
                <w:i/>
                <w:iCs/>
              </w:rPr>
              <w:t>Estudios que han de efectuarse a cargo de:</w:t>
            </w:r>
          </w:p>
          <w:p w14:paraId="7A0E033B" w14:textId="77777777" w:rsidR="00FB2ED6" w:rsidRPr="00A913DF" w:rsidRDefault="00FB2ED6" w:rsidP="00FB79BC">
            <w:pPr>
              <w:rPr>
                <w:b/>
                <w:iCs/>
              </w:rPr>
            </w:pPr>
            <w:r>
              <w:t>Comisión de Estudio 1 del UIT-R</w:t>
            </w:r>
          </w:p>
        </w:tc>
        <w:tc>
          <w:tcPr>
            <w:tcW w:w="5026" w:type="dxa"/>
            <w:tcBorders>
              <w:top w:val="single" w:sz="4" w:space="0" w:color="auto"/>
              <w:left w:val="single" w:sz="4" w:space="0" w:color="auto"/>
              <w:bottom w:val="single" w:sz="4" w:space="0" w:color="auto"/>
              <w:right w:val="nil"/>
            </w:tcBorders>
          </w:tcPr>
          <w:p w14:paraId="069EE8A5" w14:textId="77777777" w:rsidR="00FB2ED6" w:rsidRPr="00FB79BC" w:rsidRDefault="00FB2ED6" w:rsidP="00FB79BC">
            <w:pPr>
              <w:pStyle w:val="Headingb"/>
              <w:rPr>
                <w:bCs/>
                <w:i/>
                <w:iCs/>
              </w:rPr>
            </w:pPr>
            <w:r w:rsidRPr="00FB79BC">
              <w:rPr>
                <w:bCs/>
                <w:i/>
                <w:iCs/>
              </w:rPr>
              <w:t>con participación de:</w:t>
            </w:r>
          </w:p>
          <w:p w14:paraId="194FBF4F" w14:textId="77777777" w:rsidR="00FB2ED6" w:rsidRPr="00A913DF" w:rsidRDefault="00FB2ED6" w:rsidP="00FB79BC">
            <w:pPr>
              <w:rPr>
                <w:b/>
                <w:iCs/>
              </w:rPr>
            </w:pPr>
            <w:r>
              <w:t>Administraciones, Miembros del Sector, instituciones académicas, etc.</w:t>
            </w:r>
          </w:p>
        </w:tc>
      </w:tr>
      <w:tr w:rsidR="00FB2ED6" w:rsidRPr="00A913DF" w14:paraId="323484C3" w14:textId="77777777" w:rsidTr="00FD42F4">
        <w:trPr>
          <w:cantSplit/>
        </w:trPr>
        <w:tc>
          <w:tcPr>
            <w:tcW w:w="9923" w:type="dxa"/>
            <w:gridSpan w:val="2"/>
            <w:tcBorders>
              <w:top w:val="single" w:sz="4" w:space="0" w:color="auto"/>
              <w:left w:val="nil"/>
              <w:bottom w:val="single" w:sz="4" w:space="0" w:color="auto"/>
              <w:right w:val="nil"/>
            </w:tcBorders>
          </w:tcPr>
          <w:p w14:paraId="5C7D9674" w14:textId="77777777" w:rsidR="00FB2ED6" w:rsidRPr="00FB79BC" w:rsidRDefault="00FB2ED6" w:rsidP="00FB79BC">
            <w:pPr>
              <w:pStyle w:val="Headingb"/>
              <w:rPr>
                <w:bCs/>
                <w:i/>
                <w:iCs/>
              </w:rPr>
            </w:pPr>
            <w:r w:rsidRPr="00FB79BC">
              <w:rPr>
                <w:bCs/>
                <w:i/>
                <w:iCs/>
              </w:rPr>
              <w:t>Comisiones de Estudio del UIT</w:t>
            </w:r>
            <w:r w:rsidRPr="00FB79BC">
              <w:rPr>
                <w:bCs/>
                <w:i/>
                <w:iCs/>
              </w:rPr>
              <w:noBreakHyphen/>
              <w:t>R interesadas:</w:t>
            </w:r>
          </w:p>
          <w:p w14:paraId="5901B974" w14:textId="77777777" w:rsidR="00FB2ED6" w:rsidRPr="00A913DF" w:rsidRDefault="00FB2ED6" w:rsidP="00FB79BC">
            <w:pPr>
              <w:rPr>
                <w:b/>
                <w:iCs/>
              </w:rPr>
            </w:pPr>
            <w:r>
              <w:t>Comisiones de Estudio 3, 4, 5, 6 y 7</w:t>
            </w:r>
          </w:p>
        </w:tc>
      </w:tr>
      <w:tr w:rsidR="00FB2ED6" w:rsidRPr="00A913DF" w14:paraId="130B3E09" w14:textId="77777777" w:rsidTr="00FD42F4">
        <w:trPr>
          <w:cantSplit/>
        </w:trPr>
        <w:tc>
          <w:tcPr>
            <w:tcW w:w="9923" w:type="dxa"/>
            <w:gridSpan w:val="2"/>
            <w:tcBorders>
              <w:top w:val="single" w:sz="4" w:space="0" w:color="auto"/>
              <w:left w:val="nil"/>
              <w:bottom w:val="single" w:sz="4" w:space="0" w:color="auto"/>
              <w:right w:val="nil"/>
            </w:tcBorders>
          </w:tcPr>
          <w:p w14:paraId="23D5FCB7" w14:textId="77777777" w:rsidR="00FB2ED6" w:rsidRPr="00FB79BC" w:rsidRDefault="00FB2ED6" w:rsidP="00FB79BC">
            <w:pPr>
              <w:pStyle w:val="Headingb"/>
              <w:rPr>
                <w:bCs/>
                <w:i/>
                <w:iCs/>
              </w:rPr>
            </w:pPr>
            <w:r w:rsidRPr="00FB79BC">
              <w:rPr>
                <w:bCs/>
                <w:i/>
                <w:iCs/>
              </w:rPr>
              <w:lastRenderedPageBreak/>
              <w:t>Consecuencias en los recursos de la UIT, incluidas las implicaciones financieras (véase el CV126):</w:t>
            </w:r>
          </w:p>
          <w:p w14:paraId="634CC415" w14:textId="77777777" w:rsidR="00FB2ED6" w:rsidRPr="00A913DF" w:rsidRDefault="00FB2ED6" w:rsidP="00FB79BC">
            <w:pPr>
              <w:rPr>
                <w:b/>
                <w:iCs/>
              </w:rPr>
            </w:pPr>
            <w:r>
              <w:t>Esta propuesta de punto del orden del día se examinará en el marco de los procedimientos habituales del UIT-R y de su presupuesto previsto.</w:t>
            </w:r>
          </w:p>
        </w:tc>
      </w:tr>
      <w:tr w:rsidR="00FB2ED6" w:rsidRPr="00A913DF" w14:paraId="3FC53AB2" w14:textId="77777777" w:rsidTr="00FD42F4">
        <w:trPr>
          <w:cantSplit/>
        </w:trPr>
        <w:tc>
          <w:tcPr>
            <w:tcW w:w="4897" w:type="dxa"/>
            <w:tcBorders>
              <w:top w:val="single" w:sz="4" w:space="0" w:color="auto"/>
              <w:left w:val="nil"/>
              <w:bottom w:val="single" w:sz="4" w:space="0" w:color="auto"/>
              <w:right w:val="nil"/>
            </w:tcBorders>
          </w:tcPr>
          <w:p w14:paraId="3157A208" w14:textId="77777777" w:rsidR="00FB2ED6" w:rsidRPr="00FB79BC" w:rsidRDefault="00FB2ED6" w:rsidP="00FB79BC">
            <w:pPr>
              <w:pStyle w:val="Headingb"/>
              <w:rPr>
                <w:bCs/>
                <w:i/>
                <w:iCs/>
              </w:rPr>
            </w:pPr>
            <w:r w:rsidRPr="00FB79BC">
              <w:rPr>
                <w:bCs/>
                <w:i/>
                <w:iCs/>
              </w:rPr>
              <w:t>Propuesta regional común: [Sí]</w:t>
            </w:r>
          </w:p>
        </w:tc>
        <w:tc>
          <w:tcPr>
            <w:tcW w:w="5026" w:type="dxa"/>
            <w:tcBorders>
              <w:top w:val="single" w:sz="4" w:space="0" w:color="auto"/>
              <w:left w:val="nil"/>
              <w:bottom w:val="single" w:sz="4" w:space="0" w:color="auto"/>
              <w:right w:val="nil"/>
            </w:tcBorders>
          </w:tcPr>
          <w:p w14:paraId="09EFE0AE" w14:textId="39E2AF25" w:rsidR="00FB2ED6" w:rsidRPr="00FB79BC" w:rsidRDefault="00FB2ED6" w:rsidP="00FB79BC">
            <w:pPr>
              <w:pStyle w:val="Headingb"/>
              <w:rPr>
                <w:bCs/>
                <w:i/>
                <w:iCs/>
              </w:rPr>
            </w:pPr>
            <w:r w:rsidRPr="00FB79BC">
              <w:rPr>
                <w:bCs/>
                <w:i/>
                <w:iCs/>
              </w:rPr>
              <w:t>Propuesta presentada por más de un país: No</w:t>
            </w:r>
          </w:p>
          <w:p w14:paraId="528B2988" w14:textId="0EBD0DBF" w:rsidR="00FB2ED6" w:rsidRPr="00A913DF" w:rsidRDefault="00FB2ED6" w:rsidP="002B451D">
            <w:pPr>
              <w:spacing w:after="120"/>
            </w:pPr>
            <w:r w:rsidRPr="002B451D">
              <w:rPr>
                <w:b/>
                <w:i/>
                <w:iCs/>
              </w:rPr>
              <w:t>Número de países:</w:t>
            </w:r>
            <w:r>
              <w:t xml:space="preserve"> </w:t>
            </w:r>
            <w:r w:rsidRPr="002B451D">
              <w:rPr>
                <w:bCs/>
              </w:rPr>
              <w:t>Por</w:t>
            </w:r>
            <w:r w:rsidR="00FB79BC" w:rsidRPr="002B451D">
              <w:rPr>
                <w:bCs/>
              </w:rPr>
              <w:t xml:space="preserve"> </w:t>
            </w:r>
            <w:r w:rsidRPr="002B451D">
              <w:rPr>
                <w:bCs/>
                <w:lang w:val="fr-FR"/>
              </w:rPr>
              <w:t>determinar</w:t>
            </w:r>
          </w:p>
        </w:tc>
      </w:tr>
      <w:tr w:rsidR="00FB2ED6" w:rsidRPr="00A913DF" w14:paraId="2A5FAC69" w14:textId="77777777" w:rsidTr="00FD42F4">
        <w:trPr>
          <w:cantSplit/>
        </w:trPr>
        <w:tc>
          <w:tcPr>
            <w:tcW w:w="9923" w:type="dxa"/>
            <w:gridSpan w:val="2"/>
            <w:tcBorders>
              <w:top w:val="single" w:sz="4" w:space="0" w:color="auto"/>
              <w:left w:val="nil"/>
              <w:bottom w:val="nil"/>
              <w:right w:val="nil"/>
            </w:tcBorders>
          </w:tcPr>
          <w:p w14:paraId="0C6994E9" w14:textId="77777777" w:rsidR="00FB2ED6" w:rsidRPr="00A913DF" w:rsidRDefault="00FB2ED6" w:rsidP="00FD42F4">
            <w:pPr>
              <w:spacing w:after="120"/>
              <w:rPr>
                <w:b/>
                <w:i/>
              </w:rPr>
            </w:pPr>
            <w:r>
              <w:rPr>
                <w:b/>
                <w:i/>
              </w:rPr>
              <w:t>Observaciones</w:t>
            </w:r>
          </w:p>
          <w:p w14:paraId="498264BE" w14:textId="77777777" w:rsidR="00FB2ED6" w:rsidRPr="00A913DF" w:rsidRDefault="00FB2ED6" w:rsidP="00FD42F4">
            <w:pPr>
              <w:spacing w:after="120"/>
              <w:rPr>
                <w:b/>
                <w:i/>
              </w:rPr>
            </w:pPr>
          </w:p>
        </w:tc>
      </w:tr>
    </w:tbl>
    <w:p w14:paraId="490671AB" w14:textId="77777777" w:rsidR="00557FF2" w:rsidRDefault="00557FF2" w:rsidP="00411C49">
      <w:pPr>
        <w:pStyle w:val="Reasons"/>
      </w:pPr>
    </w:p>
    <w:p w14:paraId="17439BB8" w14:textId="77777777" w:rsidR="00557FF2" w:rsidRDefault="00557FF2">
      <w:pPr>
        <w:jc w:val="center"/>
      </w:pPr>
      <w:r>
        <w:t>______________</w:t>
      </w:r>
    </w:p>
    <w:sectPr w:rsidR="00557FF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E8E8" w14:textId="77777777" w:rsidR="005A7CE2" w:rsidRDefault="005A7CE2">
      <w:r>
        <w:separator/>
      </w:r>
    </w:p>
  </w:endnote>
  <w:endnote w:type="continuationSeparator" w:id="0">
    <w:p w14:paraId="737E3092" w14:textId="77777777" w:rsidR="005A7CE2" w:rsidRDefault="005A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F7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BF69B5" w14:textId="378DA6D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126FE">
      <w:rPr>
        <w:noProof/>
      </w:rPr>
      <w:t>18.10.23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4A33" w14:textId="0FAFF483" w:rsidR="0077084A" w:rsidRDefault="009253B3" w:rsidP="00B86034">
    <w:pPr>
      <w:pStyle w:val="Footer"/>
      <w:ind w:right="360"/>
      <w:rPr>
        <w:lang w:val="en-US"/>
      </w:rPr>
    </w:pPr>
    <w:r>
      <w:fldChar w:fldCharType="begin"/>
    </w:r>
    <w:r>
      <w:rPr>
        <w:lang w:val="en-US"/>
      </w:rPr>
      <w:instrText xml:space="preserve"> FILENAME \p  \* MERGEFORMAT </w:instrText>
    </w:r>
    <w:r>
      <w:fldChar w:fldCharType="separate"/>
    </w:r>
    <w:r w:rsidR="00FF744C">
      <w:rPr>
        <w:lang w:val="en-US"/>
      </w:rPr>
      <w:t>P:\ESP\ITU-R\CONF-R\CMR23\000\062ADD27ADD08S.docx</w:t>
    </w:r>
    <w:r>
      <w:fldChar w:fldCharType="end"/>
    </w:r>
    <w:r w:rsidRPr="009253B3">
      <w:rPr>
        <w:lang w:val="en-US"/>
      </w:rPr>
      <w:t xml:space="preserve"> (5</w:t>
    </w:r>
    <w:r>
      <w:rPr>
        <w:lang w:val="en-US"/>
      </w:rPr>
      <w:t>29001)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D131" w14:textId="69C6E000" w:rsidR="0077084A" w:rsidRPr="009253B3" w:rsidRDefault="0077084A" w:rsidP="00B47331">
    <w:pPr>
      <w:pStyle w:val="Footer"/>
      <w:rPr>
        <w:lang w:val="en-US"/>
      </w:rPr>
    </w:pPr>
    <w:r>
      <w:fldChar w:fldCharType="begin"/>
    </w:r>
    <w:r>
      <w:rPr>
        <w:lang w:val="en-US"/>
      </w:rPr>
      <w:instrText xml:space="preserve"> FILENAME \p  \* MERGEFORMAT </w:instrText>
    </w:r>
    <w:r>
      <w:fldChar w:fldCharType="separate"/>
    </w:r>
    <w:r w:rsidR="00FF744C">
      <w:rPr>
        <w:lang w:val="en-US"/>
      </w:rPr>
      <w:t>P:\ESP\ITU-R\CONF-R\CMR23\000\062ADD27ADD08S.docx</w:t>
    </w:r>
    <w:r>
      <w:fldChar w:fldCharType="end"/>
    </w:r>
    <w:r w:rsidR="009253B3" w:rsidRPr="009253B3">
      <w:rPr>
        <w:lang w:val="en-US"/>
      </w:rPr>
      <w:t xml:space="preserve"> (5</w:t>
    </w:r>
    <w:r w:rsidR="009253B3">
      <w:rPr>
        <w:lang w:val="en-US"/>
      </w:rPr>
      <w:t>29001)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E71D" w14:textId="77777777" w:rsidR="005A7CE2" w:rsidRDefault="005A7CE2">
      <w:r>
        <w:rPr>
          <w:b/>
        </w:rPr>
        <w:t>_______________</w:t>
      </w:r>
    </w:p>
  </w:footnote>
  <w:footnote w:type="continuationSeparator" w:id="0">
    <w:p w14:paraId="6ABED557" w14:textId="77777777" w:rsidR="005A7CE2" w:rsidRDefault="005A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17E" w14:textId="20030034"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002C">
      <w:rPr>
        <w:rStyle w:val="PageNumber"/>
        <w:noProof/>
      </w:rPr>
      <w:t>5</w:t>
    </w:r>
    <w:r>
      <w:rPr>
        <w:rStyle w:val="PageNumber"/>
      </w:rPr>
      <w:fldChar w:fldCharType="end"/>
    </w:r>
  </w:p>
  <w:p w14:paraId="67E5EAE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34077291">
    <w:abstractNumId w:val="8"/>
  </w:num>
  <w:num w:numId="2" w16cid:durableId="5995282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5977371">
    <w:abstractNumId w:val="9"/>
  </w:num>
  <w:num w:numId="4" w16cid:durableId="142741672">
    <w:abstractNumId w:val="7"/>
  </w:num>
  <w:num w:numId="5" w16cid:durableId="1914273572">
    <w:abstractNumId w:val="6"/>
  </w:num>
  <w:num w:numId="6" w16cid:durableId="139812562">
    <w:abstractNumId w:val="5"/>
  </w:num>
  <w:num w:numId="7" w16cid:durableId="2044137000">
    <w:abstractNumId w:val="4"/>
  </w:num>
  <w:num w:numId="8" w16cid:durableId="1711563866">
    <w:abstractNumId w:val="3"/>
  </w:num>
  <w:num w:numId="9" w16cid:durableId="2020963782">
    <w:abstractNumId w:val="2"/>
  </w:num>
  <w:num w:numId="10" w16cid:durableId="1902783700">
    <w:abstractNumId w:val="1"/>
  </w:num>
  <w:num w:numId="11" w16cid:durableId="41374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748F"/>
    <w:rsid w:val="000A2A7D"/>
    <w:rsid w:val="000A5B9A"/>
    <w:rsid w:val="000E5BF9"/>
    <w:rsid w:val="000F0E6D"/>
    <w:rsid w:val="00121170"/>
    <w:rsid w:val="00123CC5"/>
    <w:rsid w:val="00125F6E"/>
    <w:rsid w:val="0015142D"/>
    <w:rsid w:val="001616DC"/>
    <w:rsid w:val="00163962"/>
    <w:rsid w:val="00191A97"/>
    <w:rsid w:val="0019729C"/>
    <w:rsid w:val="001A083F"/>
    <w:rsid w:val="001C41FA"/>
    <w:rsid w:val="001C6A97"/>
    <w:rsid w:val="001E2B52"/>
    <w:rsid w:val="001E3F27"/>
    <w:rsid w:val="001E7D42"/>
    <w:rsid w:val="0023659C"/>
    <w:rsid w:val="00236D2A"/>
    <w:rsid w:val="0024569E"/>
    <w:rsid w:val="00255F12"/>
    <w:rsid w:val="00262C09"/>
    <w:rsid w:val="002A791F"/>
    <w:rsid w:val="002B451D"/>
    <w:rsid w:val="002C1A52"/>
    <w:rsid w:val="002C1B26"/>
    <w:rsid w:val="002C5D6C"/>
    <w:rsid w:val="002D19B4"/>
    <w:rsid w:val="002E701F"/>
    <w:rsid w:val="003248A9"/>
    <w:rsid w:val="00324FFA"/>
    <w:rsid w:val="0032680B"/>
    <w:rsid w:val="00326F3D"/>
    <w:rsid w:val="00346EBE"/>
    <w:rsid w:val="00363A65"/>
    <w:rsid w:val="003B1E8C"/>
    <w:rsid w:val="003C0613"/>
    <w:rsid w:val="003C2508"/>
    <w:rsid w:val="003D0AA3"/>
    <w:rsid w:val="003D0DEA"/>
    <w:rsid w:val="003E2086"/>
    <w:rsid w:val="003F7F66"/>
    <w:rsid w:val="00440B3A"/>
    <w:rsid w:val="0044375A"/>
    <w:rsid w:val="0045384C"/>
    <w:rsid w:val="00454553"/>
    <w:rsid w:val="00472A86"/>
    <w:rsid w:val="004B124A"/>
    <w:rsid w:val="004B3095"/>
    <w:rsid w:val="004D2749"/>
    <w:rsid w:val="004D2C7C"/>
    <w:rsid w:val="005126FE"/>
    <w:rsid w:val="005133B5"/>
    <w:rsid w:val="00524392"/>
    <w:rsid w:val="00532097"/>
    <w:rsid w:val="00557FF2"/>
    <w:rsid w:val="0058350F"/>
    <w:rsid w:val="00583C7E"/>
    <w:rsid w:val="0059098E"/>
    <w:rsid w:val="005A7CE2"/>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02C"/>
    <w:rsid w:val="0077084A"/>
    <w:rsid w:val="007952C7"/>
    <w:rsid w:val="007C0B95"/>
    <w:rsid w:val="007C2317"/>
    <w:rsid w:val="007D330A"/>
    <w:rsid w:val="0080079E"/>
    <w:rsid w:val="008504C2"/>
    <w:rsid w:val="00866AE6"/>
    <w:rsid w:val="008750A8"/>
    <w:rsid w:val="008C0246"/>
    <w:rsid w:val="008D3316"/>
    <w:rsid w:val="008E5AF2"/>
    <w:rsid w:val="0090121B"/>
    <w:rsid w:val="009144C9"/>
    <w:rsid w:val="009253B3"/>
    <w:rsid w:val="0094091F"/>
    <w:rsid w:val="00962171"/>
    <w:rsid w:val="00973754"/>
    <w:rsid w:val="009C0BED"/>
    <w:rsid w:val="009D4543"/>
    <w:rsid w:val="009E11EC"/>
    <w:rsid w:val="00A021CC"/>
    <w:rsid w:val="00A118DB"/>
    <w:rsid w:val="00A4450C"/>
    <w:rsid w:val="00AA5E6C"/>
    <w:rsid w:val="00AB0658"/>
    <w:rsid w:val="00AC49B1"/>
    <w:rsid w:val="00AE5677"/>
    <w:rsid w:val="00AE658F"/>
    <w:rsid w:val="00AF2F78"/>
    <w:rsid w:val="00AF5C3A"/>
    <w:rsid w:val="00AF5FD1"/>
    <w:rsid w:val="00B239FA"/>
    <w:rsid w:val="00B372AB"/>
    <w:rsid w:val="00B47331"/>
    <w:rsid w:val="00B52D55"/>
    <w:rsid w:val="00B8288C"/>
    <w:rsid w:val="00B86034"/>
    <w:rsid w:val="00BA4C14"/>
    <w:rsid w:val="00BE2E80"/>
    <w:rsid w:val="00BE5EDD"/>
    <w:rsid w:val="00BE6A1F"/>
    <w:rsid w:val="00C126C4"/>
    <w:rsid w:val="00C44E9E"/>
    <w:rsid w:val="00C55D33"/>
    <w:rsid w:val="00C63EB5"/>
    <w:rsid w:val="00C87DA7"/>
    <w:rsid w:val="00CA4945"/>
    <w:rsid w:val="00CC01E0"/>
    <w:rsid w:val="00CD5FEE"/>
    <w:rsid w:val="00CE60D2"/>
    <w:rsid w:val="00CE7431"/>
    <w:rsid w:val="00CF5277"/>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715D8"/>
    <w:rsid w:val="00F8150C"/>
    <w:rsid w:val="00FB2ED6"/>
    <w:rsid w:val="00FB79BC"/>
    <w:rsid w:val="00FD03C4"/>
    <w:rsid w:val="00FE4574"/>
    <w:rsid w:val="00FF7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9D08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6F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5126FE"/>
    <w:pPr>
      <w:keepNext/>
      <w:keepLines/>
      <w:spacing w:before="280"/>
      <w:ind w:left="1134" w:hanging="1134"/>
      <w:outlineLvl w:val="0"/>
    </w:pPr>
    <w:rPr>
      <w:b/>
      <w:sz w:val="28"/>
    </w:rPr>
  </w:style>
  <w:style w:type="paragraph" w:styleId="Heading2">
    <w:name w:val="heading 2"/>
    <w:basedOn w:val="Heading1"/>
    <w:next w:val="Normal"/>
    <w:qFormat/>
    <w:rsid w:val="005126FE"/>
    <w:pPr>
      <w:spacing w:before="200"/>
      <w:outlineLvl w:val="1"/>
    </w:pPr>
    <w:rPr>
      <w:sz w:val="24"/>
    </w:rPr>
  </w:style>
  <w:style w:type="paragraph" w:styleId="Heading3">
    <w:name w:val="heading 3"/>
    <w:basedOn w:val="Heading1"/>
    <w:next w:val="Normal"/>
    <w:qFormat/>
    <w:rsid w:val="005126FE"/>
    <w:pPr>
      <w:tabs>
        <w:tab w:val="clear" w:pos="1134"/>
      </w:tabs>
      <w:spacing w:before="200"/>
      <w:outlineLvl w:val="2"/>
    </w:pPr>
    <w:rPr>
      <w:sz w:val="24"/>
    </w:rPr>
  </w:style>
  <w:style w:type="paragraph" w:styleId="Heading4">
    <w:name w:val="heading 4"/>
    <w:basedOn w:val="Heading3"/>
    <w:next w:val="Normal"/>
    <w:qFormat/>
    <w:rsid w:val="005126FE"/>
    <w:pPr>
      <w:outlineLvl w:val="3"/>
    </w:pPr>
  </w:style>
  <w:style w:type="paragraph" w:styleId="Heading5">
    <w:name w:val="heading 5"/>
    <w:basedOn w:val="Heading4"/>
    <w:next w:val="Normal"/>
    <w:qFormat/>
    <w:rsid w:val="005126FE"/>
    <w:pPr>
      <w:outlineLvl w:val="4"/>
    </w:pPr>
  </w:style>
  <w:style w:type="paragraph" w:styleId="Heading6">
    <w:name w:val="heading 6"/>
    <w:basedOn w:val="Heading4"/>
    <w:next w:val="Normal"/>
    <w:qFormat/>
    <w:rsid w:val="005126FE"/>
    <w:pPr>
      <w:outlineLvl w:val="5"/>
    </w:pPr>
  </w:style>
  <w:style w:type="paragraph" w:styleId="Heading7">
    <w:name w:val="heading 7"/>
    <w:basedOn w:val="Heading6"/>
    <w:next w:val="Normal"/>
    <w:qFormat/>
    <w:rsid w:val="005126FE"/>
    <w:pPr>
      <w:outlineLvl w:val="6"/>
    </w:pPr>
  </w:style>
  <w:style w:type="paragraph" w:styleId="Heading8">
    <w:name w:val="heading 8"/>
    <w:basedOn w:val="Heading6"/>
    <w:next w:val="Normal"/>
    <w:qFormat/>
    <w:rsid w:val="005126FE"/>
    <w:pPr>
      <w:outlineLvl w:val="7"/>
    </w:pPr>
  </w:style>
  <w:style w:type="paragraph" w:styleId="Heading9">
    <w:name w:val="heading 9"/>
    <w:basedOn w:val="Heading6"/>
    <w:next w:val="Normal"/>
    <w:qFormat/>
    <w:rsid w:val="005126FE"/>
    <w:pPr>
      <w:outlineLvl w:val="8"/>
    </w:pPr>
  </w:style>
  <w:style w:type="character" w:default="1" w:styleId="DefaultParagraphFont">
    <w:name w:val="Default Paragraph Font"/>
    <w:uiPriority w:val="1"/>
    <w:semiHidden/>
    <w:unhideWhenUsed/>
    <w:rsid w:val="00512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26FE"/>
  </w:style>
  <w:style w:type="paragraph" w:customStyle="1" w:styleId="AnnexNo">
    <w:name w:val="Annex_No"/>
    <w:basedOn w:val="Normal"/>
    <w:next w:val="Annexref"/>
    <w:rsid w:val="005126FE"/>
    <w:pPr>
      <w:keepNext/>
      <w:keepLines/>
      <w:spacing w:before="480" w:after="80"/>
      <w:jc w:val="center"/>
    </w:pPr>
    <w:rPr>
      <w:caps/>
      <w:sz w:val="28"/>
    </w:rPr>
  </w:style>
  <w:style w:type="paragraph" w:customStyle="1" w:styleId="Annexref">
    <w:name w:val="Annex_ref"/>
    <w:basedOn w:val="Normal"/>
    <w:next w:val="Annextitle"/>
    <w:rsid w:val="005126FE"/>
    <w:pPr>
      <w:keepNext/>
      <w:keepLines/>
      <w:spacing w:after="280"/>
      <w:jc w:val="center"/>
    </w:pPr>
  </w:style>
  <w:style w:type="paragraph" w:customStyle="1" w:styleId="Annextitle">
    <w:name w:val="Annex_title"/>
    <w:basedOn w:val="Normal"/>
    <w:next w:val="Normalaftertitle"/>
    <w:rsid w:val="005126F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5126FE"/>
  </w:style>
  <w:style w:type="paragraph" w:customStyle="1" w:styleId="Appendixref">
    <w:name w:val="Appendix_ref"/>
    <w:basedOn w:val="Annexref"/>
    <w:next w:val="Annextitle"/>
    <w:rsid w:val="005126FE"/>
  </w:style>
  <w:style w:type="paragraph" w:customStyle="1" w:styleId="Appendixtitle">
    <w:name w:val="Appendix_title"/>
    <w:basedOn w:val="Annextitle"/>
    <w:next w:val="Normalaftertitle"/>
    <w:rsid w:val="005126FE"/>
  </w:style>
  <w:style w:type="paragraph" w:customStyle="1" w:styleId="Artheading">
    <w:name w:val="Art_heading"/>
    <w:basedOn w:val="Normal"/>
    <w:next w:val="Normalaftertitle"/>
    <w:rsid w:val="005126FE"/>
    <w:pPr>
      <w:spacing w:before="480"/>
      <w:jc w:val="center"/>
    </w:pPr>
    <w:rPr>
      <w:rFonts w:ascii="Times New Roman Bold" w:hAnsi="Times New Roman Bold"/>
      <w:b/>
      <w:sz w:val="28"/>
    </w:rPr>
  </w:style>
  <w:style w:type="paragraph" w:customStyle="1" w:styleId="ArtNo">
    <w:name w:val="Art_No"/>
    <w:basedOn w:val="Normal"/>
    <w:next w:val="Arttitle"/>
    <w:rsid w:val="005126FE"/>
    <w:pPr>
      <w:keepNext/>
      <w:keepLines/>
      <w:spacing w:before="480"/>
      <w:jc w:val="center"/>
    </w:pPr>
    <w:rPr>
      <w:caps/>
      <w:sz w:val="28"/>
    </w:rPr>
  </w:style>
  <w:style w:type="paragraph" w:customStyle="1" w:styleId="Arttitle">
    <w:name w:val="Art_title"/>
    <w:basedOn w:val="Normal"/>
    <w:next w:val="Normalaftertitle"/>
    <w:rsid w:val="005126FE"/>
    <w:pPr>
      <w:keepNext/>
      <w:keepLines/>
      <w:spacing w:before="240"/>
      <w:jc w:val="center"/>
    </w:pPr>
    <w:rPr>
      <w:b/>
      <w:sz w:val="28"/>
    </w:rPr>
  </w:style>
  <w:style w:type="paragraph" w:customStyle="1" w:styleId="Call">
    <w:name w:val="Call"/>
    <w:basedOn w:val="Normal"/>
    <w:next w:val="Normal"/>
    <w:link w:val="CallChar"/>
    <w:rsid w:val="005126FE"/>
    <w:pPr>
      <w:keepNext/>
      <w:keepLines/>
      <w:spacing w:before="160"/>
      <w:ind w:left="1134"/>
    </w:pPr>
    <w:rPr>
      <w:i/>
    </w:rPr>
  </w:style>
  <w:style w:type="paragraph" w:customStyle="1" w:styleId="ChapNo">
    <w:name w:val="Chap_No"/>
    <w:basedOn w:val="ArtNo"/>
    <w:next w:val="Chaptitle"/>
    <w:rsid w:val="005126FE"/>
    <w:rPr>
      <w:rFonts w:ascii="Times New Roman Bold" w:hAnsi="Times New Roman Bold"/>
      <w:b/>
    </w:rPr>
  </w:style>
  <w:style w:type="paragraph" w:customStyle="1" w:styleId="Chaptitle">
    <w:name w:val="Chap_title"/>
    <w:basedOn w:val="Arttitle"/>
    <w:next w:val="Normalaftertitle"/>
    <w:rsid w:val="005126FE"/>
  </w:style>
  <w:style w:type="paragraph" w:customStyle="1" w:styleId="ddate">
    <w:name w:val="ddate"/>
    <w:basedOn w:val="Normal"/>
    <w:rsid w:val="005126FE"/>
    <w:pPr>
      <w:framePr w:hSpace="181" w:wrap="around" w:vAnchor="page" w:hAnchor="margin" w:y="852"/>
      <w:shd w:val="solid" w:color="FFFFFF" w:fill="FFFFFF"/>
      <w:spacing w:before="0"/>
    </w:pPr>
    <w:rPr>
      <w:b/>
      <w:bCs/>
    </w:rPr>
  </w:style>
  <w:style w:type="paragraph" w:customStyle="1" w:styleId="dnum">
    <w:name w:val="dnum"/>
    <w:basedOn w:val="Normal"/>
    <w:rsid w:val="005126FE"/>
    <w:pPr>
      <w:framePr w:hSpace="181" w:wrap="around" w:vAnchor="page" w:hAnchor="margin" w:y="852"/>
      <w:shd w:val="solid" w:color="FFFFFF" w:fill="FFFFFF"/>
    </w:pPr>
    <w:rPr>
      <w:b/>
      <w:bCs/>
    </w:rPr>
  </w:style>
  <w:style w:type="paragraph" w:customStyle="1" w:styleId="dorlang">
    <w:name w:val="dorlang"/>
    <w:basedOn w:val="Normal"/>
    <w:rsid w:val="005126FE"/>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5126FE"/>
    <w:rPr>
      <w:vertAlign w:val="superscript"/>
    </w:rPr>
  </w:style>
  <w:style w:type="paragraph" w:customStyle="1" w:styleId="enumlev1">
    <w:name w:val="enumlev1"/>
    <w:basedOn w:val="Normal"/>
    <w:link w:val="enumlev1Char"/>
    <w:qFormat/>
    <w:rsid w:val="005126FE"/>
    <w:pPr>
      <w:tabs>
        <w:tab w:val="clear" w:pos="2268"/>
        <w:tab w:val="left" w:pos="2608"/>
        <w:tab w:val="left" w:pos="3345"/>
      </w:tabs>
      <w:spacing w:before="80"/>
      <w:ind w:left="1134" w:hanging="1134"/>
    </w:pPr>
  </w:style>
  <w:style w:type="paragraph" w:customStyle="1" w:styleId="enumlev2">
    <w:name w:val="enumlev2"/>
    <w:basedOn w:val="enumlev1"/>
    <w:rsid w:val="005126FE"/>
    <w:pPr>
      <w:ind w:left="1871" w:hanging="737"/>
    </w:pPr>
  </w:style>
  <w:style w:type="paragraph" w:customStyle="1" w:styleId="enumlev3">
    <w:name w:val="enumlev3"/>
    <w:basedOn w:val="enumlev2"/>
    <w:rsid w:val="005126FE"/>
    <w:pPr>
      <w:ind w:left="2268" w:hanging="397"/>
    </w:pPr>
  </w:style>
  <w:style w:type="paragraph" w:customStyle="1" w:styleId="Equation">
    <w:name w:val="Equation"/>
    <w:basedOn w:val="Normal"/>
    <w:rsid w:val="005126FE"/>
    <w:pPr>
      <w:tabs>
        <w:tab w:val="clear" w:pos="1871"/>
        <w:tab w:val="clear" w:pos="2268"/>
        <w:tab w:val="center" w:pos="4820"/>
        <w:tab w:val="right" w:pos="9639"/>
      </w:tabs>
    </w:pPr>
  </w:style>
  <w:style w:type="paragraph" w:styleId="NormalIndent">
    <w:name w:val="Normal Indent"/>
    <w:basedOn w:val="Normal"/>
    <w:rsid w:val="005126FE"/>
    <w:pPr>
      <w:ind w:left="1134"/>
    </w:pPr>
  </w:style>
  <w:style w:type="paragraph" w:customStyle="1" w:styleId="Equationlegend">
    <w:name w:val="Equation_legend"/>
    <w:basedOn w:val="NormalIndent"/>
    <w:rsid w:val="005126F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126FE"/>
    <w:pPr>
      <w:keepNext/>
      <w:keepLines/>
      <w:spacing w:before="20" w:after="20"/>
    </w:pPr>
    <w:rPr>
      <w:sz w:val="18"/>
    </w:rPr>
  </w:style>
  <w:style w:type="paragraph" w:customStyle="1" w:styleId="FigureNo">
    <w:name w:val="Figure_No"/>
    <w:basedOn w:val="Normal"/>
    <w:next w:val="Figuretitle"/>
    <w:rsid w:val="005126FE"/>
    <w:pPr>
      <w:keepNext/>
      <w:keepLines/>
      <w:spacing w:before="480" w:after="120"/>
      <w:jc w:val="center"/>
    </w:pPr>
    <w:rPr>
      <w:caps/>
      <w:sz w:val="20"/>
    </w:rPr>
  </w:style>
  <w:style w:type="paragraph" w:customStyle="1" w:styleId="Figuretitle">
    <w:name w:val="Figure_title"/>
    <w:basedOn w:val="Normal"/>
    <w:next w:val="Normal"/>
    <w:rsid w:val="005126FE"/>
    <w:pPr>
      <w:spacing w:after="480"/>
      <w:jc w:val="center"/>
    </w:pPr>
    <w:rPr>
      <w:b/>
      <w:sz w:val="20"/>
    </w:rPr>
  </w:style>
  <w:style w:type="paragraph" w:customStyle="1" w:styleId="Figurewithouttitle">
    <w:name w:val="Figure_without_title"/>
    <w:basedOn w:val="FigureNo"/>
    <w:next w:val="Normal"/>
    <w:rsid w:val="005126FE"/>
    <w:pPr>
      <w:keepNext w:val="0"/>
    </w:pPr>
  </w:style>
  <w:style w:type="paragraph" w:styleId="Footer">
    <w:name w:val="footer"/>
    <w:basedOn w:val="Normal"/>
    <w:rsid w:val="005126FE"/>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126F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126FE"/>
    <w:rPr>
      <w:position w:val="6"/>
      <w:sz w:val="18"/>
    </w:rPr>
  </w:style>
  <w:style w:type="paragraph" w:styleId="FootnoteText">
    <w:name w:val="footnote text"/>
    <w:basedOn w:val="Normal"/>
    <w:rsid w:val="005126FE"/>
    <w:pPr>
      <w:keepLines/>
      <w:tabs>
        <w:tab w:val="left" w:pos="255"/>
      </w:tabs>
    </w:pPr>
  </w:style>
  <w:style w:type="paragraph" w:styleId="Header">
    <w:name w:val="header"/>
    <w:basedOn w:val="Normal"/>
    <w:rsid w:val="005126FE"/>
    <w:pPr>
      <w:spacing w:before="0"/>
      <w:jc w:val="center"/>
    </w:pPr>
    <w:rPr>
      <w:sz w:val="18"/>
    </w:rPr>
  </w:style>
  <w:style w:type="paragraph" w:customStyle="1" w:styleId="Headingb">
    <w:name w:val="Heading_b"/>
    <w:basedOn w:val="Normal"/>
    <w:next w:val="Normal"/>
    <w:rsid w:val="005126FE"/>
    <w:pPr>
      <w:keepNext/>
      <w:spacing w:before="160"/>
    </w:pPr>
    <w:rPr>
      <w:rFonts w:ascii="Times" w:hAnsi="Times"/>
      <w:b/>
    </w:rPr>
  </w:style>
  <w:style w:type="paragraph" w:customStyle="1" w:styleId="Headingi">
    <w:name w:val="Heading_i"/>
    <w:basedOn w:val="Normal"/>
    <w:next w:val="Normal"/>
    <w:rsid w:val="005126FE"/>
    <w:pPr>
      <w:keepNext/>
      <w:spacing w:before="160"/>
    </w:pPr>
    <w:rPr>
      <w:rFonts w:ascii="Times" w:hAnsi="Times"/>
      <w:i/>
    </w:rPr>
  </w:style>
  <w:style w:type="paragraph" w:styleId="Index1">
    <w:name w:val="index 1"/>
    <w:basedOn w:val="Normal"/>
    <w:next w:val="Normal"/>
    <w:semiHidden/>
    <w:rsid w:val="005126FE"/>
  </w:style>
  <w:style w:type="paragraph" w:styleId="Index2">
    <w:name w:val="index 2"/>
    <w:basedOn w:val="Normal"/>
    <w:next w:val="Normal"/>
    <w:semiHidden/>
    <w:rsid w:val="005126FE"/>
    <w:pPr>
      <w:ind w:left="283"/>
    </w:pPr>
  </w:style>
  <w:style w:type="paragraph" w:styleId="Index3">
    <w:name w:val="index 3"/>
    <w:basedOn w:val="Normal"/>
    <w:next w:val="Normal"/>
    <w:semiHidden/>
    <w:rsid w:val="005126FE"/>
    <w:pPr>
      <w:ind w:left="566"/>
    </w:pPr>
  </w:style>
  <w:style w:type="paragraph" w:styleId="Index4">
    <w:name w:val="index 4"/>
    <w:basedOn w:val="Normal"/>
    <w:next w:val="Normal"/>
    <w:semiHidden/>
    <w:rsid w:val="005126FE"/>
    <w:pPr>
      <w:ind w:left="849"/>
    </w:pPr>
  </w:style>
  <w:style w:type="paragraph" w:styleId="Index5">
    <w:name w:val="index 5"/>
    <w:basedOn w:val="Normal"/>
    <w:next w:val="Normal"/>
    <w:semiHidden/>
    <w:rsid w:val="005126FE"/>
    <w:pPr>
      <w:ind w:left="1132"/>
    </w:pPr>
  </w:style>
  <w:style w:type="paragraph" w:styleId="Index6">
    <w:name w:val="index 6"/>
    <w:basedOn w:val="Normal"/>
    <w:next w:val="Normal"/>
    <w:semiHidden/>
    <w:rsid w:val="005126FE"/>
    <w:pPr>
      <w:ind w:left="1415"/>
    </w:pPr>
  </w:style>
  <w:style w:type="paragraph" w:styleId="Index7">
    <w:name w:val="index 7"/>
    <w:basedOn w:val="Normal"/>
    <w:next w:val="Normal"/>
    <w:semiHidden/>
    <w:rsid w:val="005126FE"/>
    <w:pPr>
      <w:ind w:left="1698"/>
    </w:pPr>
  </w:style>
  <w:style w:type="paragraph" w:styleId="IndexHeading">
    <w:name w:val="index heading"/>
    <w:basedOn w:val="Normal"/>
    <w:next w:val="Index1"/>
    <w:semiHidden/>
    <w:rsid w:val="005126FE"/>
  </w:style>
  <w:style w:type="character" w:styleId="LineNumber">
    <w:name w:val="line number"/>
    <w:basedOn w:val="DefaultParagraphFont"/>
    <w:rsid w:val="005126FE"/>
  </w:style>
  <w:style w:type="paragraph" w:customStyle="1" w:styleId="Normalaftertitle">
    <w:name w:val="Normal after title"/>
    <w:basedOn w:val="Normal"/>
    <w:next w:val="Normal"/>
    <w:rsid w:val="005126FE"/>
    <w:pPr>
      <w:spacing w:before="280"/>
    </w:pPr>
  </w:style>
  <w:style w:type="paragraph" w:customStyle="1" w:styleId="Note">
    <w:name w:val="Note"/>
    <w:basedOn w:val="Normal"/>
    <w:rsid w:val="005126FE"/>
    <w:pPr>
      <w:tabs>
        <w:tab w:val="left" w:pos="284"/>
      </w:tabs>
      <w:spacing w:before="80"/>
    </w:pPr>
  </w:style>
  <w:style w:type="paragraph" w:customStyle="1" w:styleId="PartNo">
    <w:name w:val="Part_No"/>
    <w:basedOn w:val="AnnexNo"/>
    <w:next w:val="Normal"/>
    <w:rsid w:val="005126FE"/>
  </w:style>
  <w:style w:type="paragraph" w:customStyle="1" w:styleId="Parttitle">
    <w:name w:val="Part_title"/>
    <w:basedOn w:val="Annextitle"/>
    <w:next w:val="Normalaftertitle"/>
    <w:rsid w:val="005126FE"/>
  </w:style>
  <w:style w:type="paragraph" w:customStyle="1" w:styleId="RecNo">
    <w:name w:val="Rec_No"/>
    <w:basedOn w:val="Normal"/>
    <w:next w:val="Rectitle"/>
    <w:rsid w:val="005126FE"/>
    <w:pPr>
      <w:keepNext/>
      <w:keepLines/>
      <w:spacing w:before="480"/>
      <w:jc w:val="center"/>
    </w:pPr>
    <w:rPr>
      <w:caps/>
      <w:sz w:val="28"/>
    </w:rPr>
  </w:style>
  <w:style w:type="paragraph" w:customStyle="1" w:styleId="Rectitle">
    <w:name w:val="Rec_title"/>
    <w:basedOn w:val="RecNo"/>
    <w:next w:val="Recref"/>
    <w:rsid w:val="005126FE"/>
    <w:pPr>
      <w:spacing w:before="240"/>
    </w:pPr>
    <w:rPr>
      <w:rFonts w:ascii="Times New Roman Bold" w:hAnsi="Times New Roman Bold"/>
      <w:b/>
      <w:caps w:val="0"/>
    </w:rPr>
  </w:style>
  <w:style w:type="paragraph" w:customStyle="1" w:styleId="Recref">
    <w:name w:val="Rec_ref"/>
    <w:basedOn w:val="Rectitle"/>
    <w:next w:val="Recdate"/>
    <w:rsid w:val="005126FE"/>
    <w:pPr>
      <w:spacing w:before="120"/>
    </w:pPr>
    <w:rPr>
      <w:rFonts w:ascii="Times New Roman" w:hAnsi="Times New Roman"/>
      <w:b w:val="0"/>
      <w:sz w:val="24"/>
    </w:rPr>
  </w:style>
  <w:style w:type="paragraph" w:customStyle="1" w:styleId="Recdate">
    <w:name w:val="Rec_date"/>
    <w:basedOn w:val="Recref"/>
    <w:next w:val="Normalaftertitle"/>
    <w:rsid w:val="005126FE"/>
    <w:pPr>
      <w:jc w:val="right"/>
    </w:pPr>
    <w:rPr>
      <w:sz w:val="22"/>
    </w:rPr>
  </w:style>
  <w:style w:type="paragraph" w:customStyle="1" w:styleId="Questiondate">
    <w:name w:val="Question_date"/>
    <w:basedOn w:val="Recdate"/>
    <w:next w:val="Normalaftertitle"/>
    <w:rsid w:val="005126FE"/>
  </w:style>
  <w:style w:type="paragraph" w:customStyle="1" w:styleId="QuestionNo">
    <w:name w:val="Question_No"/>
    <w:basedOn w:val="RecNo"/>
    <w:next w:val="Questiontitle"/>
    <w:rsid w:val="005126FE"/>
  </w:style>
  <w:style w:type="paragraph" w:customStyle="1" w:styleId="Questiontitle">
    <w:name w:val="Question_title"/>
    <w:basedOn w:val="Rectitle"/>
    <w:next w:val="Normal"/>
    <w:rsid w:val="005126FE"/>
  </w:style>
  <w:style w:type="paragraph" w:customStyle="1" w:styleId="Reftext">
    <w:name w:val="Ref_text"/>
    <w:basedOn w:val="Normal"/>
    <w:rsid w:val="005126FE"/>
    <w:pPr>
      <w:ind w:left="1134" w:hanging="1134"/>
    </w:pPr>
  </w:style>
  <w:style w:type="paragraph" w:customStyle="1" w:styleId="Reftitle">
    <w:name w:val="Ref_title"/>
    <w:basedOn w:val="Normal"/>
    <w:next w:val="Reftext"/>
    <w:rsid w:val="005126FE"/>
    <w:pPr>
      <w:spacing w:before="480"/>
      <w:jc w:val="center"/>
    </w:pPr>
    <w:rPr>
      <w:caps/>
    </w:rPr>
  </w:style>
  <w:style w:type="paragraph" w:customStyle="1" w:styleId="Repdate">
    <w:name w:val="Rep_date"/>
    <w:basedOn w:val="Recdate"/>
    <w:next w:val="Normalaftertitle"/>
    <w:rsid w:val="005126FE"/>
  </w:style>
  <w:style w:type="paragraph" w:customStyle="1" w:styleId="RepNo">
    <w:name w:val="Rep_No"/>
    <w:basedOn w:val="RecNo"/>
    <w:next w:val="Reptitle"/>
    <w:rsid w:val="005126FE"/>
  </w:style>
  <w:style w:type="paragraph" w:customStyle="1" w:styleId="Repref">
    <w:name w:val="Rep_ref"/>
    <w:basedOn w:val="Recref"/>
    <w:next w:val="Repdate"/>
    <w:rsid w:val="005126FE"/>
  </w:style>
  <w:style w:type="paragraph" w:customStyle="1" w:styleId="Reptitle">
    <w:name w:val="Rep_title"/>
    <w:basedOn w:val="Rectitle"/>
    <w:next w:val="Repref"/>
    <w:rsid w:val="005126FE"/>
  </w:style>
  <w:style w:type="paragraph" w:customStyle="1" w:styleId="Resdate">
    <w:name w:val="Res_date"/>
    <w:basedOn w:val="Recdate"/>
    <w:next w:val="Normalaftertitle"/>
    <w:rsid w:val="005126FE"/>
  </w:style>
  <w:style w:type="paragraph" w:customStyle="1" w:styleId="ResNo">
    <w:name w:val="Res_No"/>
    <w:basedOn w:val="RecNo"/>
    <w:next w:val="Normal"/>
    <w:rsid w:val="005126FE"/>
  </w:style>
  <w:style w:type="paragraph" w:customStyle="1" w:styleId="Resref">
    <w:name w:val="Res_ref"/>
    <w:basedOn w:val="Recref"/>
    <w:next w:val="Resdate"/>
    <w:rsid w:val="005126FE"/>
  </w:style>
  <w:style w:type="character" w:customStyle="1" w:styleId="Appdef">
    <w:name w:val="App_def"/>
    <w:basedOn w:val="DefaultParagraphFont"/>
    <w:rsid w:val="005126FE"/>
    <w:rPr>
      <w:rFonts w:ascii="Times New Roman" w:hAnsi="Times New Roman"/>
      <w:b/>
    </w:rPr>
  </w:style>
  <w:style w:type="character" w:customStyle="1" w:styleId="Appref">
    <w:name w:val="App_ref"/>
    <w:basedOn w:val="DefaultParagraphFont"/>
    <w:rsid w:val="005126FE"/>
  </w:style>
  <w:style w:type="character" w:customStyle="1" w:styleId="Artdef">
    <w:name w:val="Art_def"/>
    <w:basedOn w:val="DefaultParagraphFont"/>
    <w:rsid w:val="005126FE"/>
    <w:rPr>
      <w:rFonts w:ascii="Times New Roman" w:hAnsi="Times New Roman"/>
      <w:b/>
    </w:rPr>
  </w:style>
  <w:style w:type="character" w:customStyle="1" w:styleId="Artref">
    <w:name w:val="Art_ref"/>
    <w:basedOn w:val="DefaultParagraphFont"/>
    <w:rsid w:val="005126FE"/>
  </w:style>
  <w:style w:type="character" w:customStyle="1" w:styleId="Recdef">
    <w:name w:val="Rec_def"/>
    <w:basedOn w:val="DefaultParagraphFont"/>
    <w:rsid w:val="005126FE"/>
    <w:rPr>
      <w:b/>
    </w:rPr>
  </w:style>
  <w:style w:type="character" w:customStyle="1" w:styleId="Resdef">
    <w:name w:val="Res_def"/>
    <w:basedOn w:val="DefaultParagraphFont"/>
    <w:rsid w:val="005126FE"/>
    <w:rPr>
      <w:rFonts w:ascii="Times New Roman" w:hAnsi="Times New Roman"/>
      <w:b/>
    </w:rPr>
  </w:style>
  <w:style w:type="character" w:styleId="PageNumber">
    <w:name w:val="page number"/>
    <w:basedOn w:val="DefaultParagraphFont"/>
    <w:rsid w:val="005126FE"/>
  </w:style>
  <w:style w:type="paragraph" w:customStyle="1" w:styleId="Reasons">
    <w:name w:val="Reasons"/>
    <w:basedOn w:val="Normal"/>
    <w:qFormat/>
    <w:rsid w:val="005126FE"/>
    <w:pPr>
      <w:tabs>
        <w:tab w:val="clear" w:pos="1871"/>
        <w:tab w:val="clear" w:pos="2268"/>
        <w:tab w:val="left" w:pos="1588"/>
        <w:tab w:val="left" w:pos="1985"/>
      </w:tabs>
    </w:pPr>
  </w:style>
  <w:style w:type="paragraph" w:customStyle="1" w:styleId="Border">
    <w:name w:val="Border"/>
    <w:basedOn w:val="Normal"/>
    <w:rsid w:val="005126FE"/>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5126FE"/>
    <w:rPr>
      <w:sz w:val="16"/>
      <w:szCs w:val="16"/>
    </w:rPr>
  </w:style>
  <w:style w:type="paragraph" w:customStyle="1" w:styleId="Proposal">
    <w:name w:val="Proposal"/>
    <w:basedOn w:val="Normal"/>
    <w:next w:val="Normal"/>
    <w:rsid w:val="005126FE"/>
    <w:pPr>
      <w:keepNext/>
      <w:spacing w:before="240"/>
    </w:pPr>
    <w:rPr>
      <w:rFonts w:hAnsi="Times New Roman Bold"/>
      <w:b/>
    </w:rPr>
  </w:style>
  <w:style w:type="paragraph" w:styleId="CommentText">
    <w:name w:val="annotation text"/>
    <w:basedOn w:val="Normal"/>
    <w:semiHidden/>
    <w:rsid w:val="005126FE"/>
    <w:rPr>
      <w:sz w:val="20"/>
    </w:rPr>
  </w:style>
  <w:style w:type="paragraph" w:customStyle="1" w:styleId="Figure">
    <w:name w:val="Figure"/>
    <w:basedOn w:val="Normal"/>
    <w:next w:val="Figuretitle"/>
    <w:rsid w:val="005126FE"/>
    <w:pPr>
      <w:keepNext/>
      <w:keepLines/>
      <w:jc w:val="center"/>
    </w:pPr>
  </w:style>
  <w:style w:type="paragraph" w:customStyle="1" w:styleId="Agendaitem">
    <w:name w:val="Agenda_item"/>
    <w:basedOn w:val="Normal"/>
    <w:next w:val="Normalaftertitle"/>
    <w:qFormat/>
    <w:rsid w:val="005126FE"/>
    <w:pPr>
      <w:overflowPunct/>
      <w:autoSpaceDE/>
      <w:autoSpaceDN/>
      <w:adjustRightInd/>
      <w:spacing w:before="240"/>
      <w:jc w:val="center"/>
      <w:textAlignment w:val="auto"/>
    </w:pPr>
    <w:rPr>
      <w:sz w:val="28"/>
    </w:rPr>
  </w:style>
  <w:style w:type="paragraph" w:customStyle="1" w:styleId="Part1">
    <w:name w:val="Part_1"/>
    <w:basedOn w:val="Normal"/>
    <w:qFormat/>
    <w:rsid w:val="005126FE"/>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5126FE"/>
  </w:style>
  <w:style w:type="paragraph" w:customStyle="1" w:styleId="ApptoAnnex">
    <w:name w:val="App_to_Annex"/>
    <w:basedOn w:val="AppendixNo"/>
    <w:qFormat/>
    <w:rsid w:val="005126FE"/>
  </w:style>
  <w:style w:type="character" w:customStyle="1" w:styleId="Tablefreq">
    <w:name w:val="Table_freq"/>
    <w:basedOn w:val="DefaultParagraphFont"/>
    <w:rsid w:val="005126FE"/>
    <w:rPr>
      <w:b/>
      <w:color w:val="auto"/>
      <w:sz w:val="20"/>
    </w:rPr>
  </w:style>
  <w:style w:type="paragraph" w:customStyle="1" w:styleId="Tabletext">
    <w:name w:val="Table_text"/>
    <w:basedOn w:val="Normal"/>
    <w:rsid w:val="005126F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5126FE"/>
    <w:pPr>
      <w:keepNext/>
      <w:spacing w:before="80" w:after="80"/>
      <w:jc w:val="center"/>
    </w:pPr>
    <w:rPr>
      <w:b/>
    </w:rPr>
  </w:style>
  <w:style w:type="paragraph" w:customStyle="1" w:styleId="Tablelegend">
    <w:name w:val="Table_legend"/>
    <w:basedOn w:val="Tabletext"/>
    <w:rsid w:val="005126FE"/>
    <w:pPr>
      <w:tabs>
        <w:tab w:val="clear" w:pos="284"/>
      </w:tabs>
      <w:spacing w:before="120"/>
    </w:pPr>
  </w:style>
  <w:style w:type="paragraph" w:customStyle="1" w:styleId="TableNo">
    <w:name w:val="Table_No"/>
    <w:basedOn w:val="Normal"/>
    <w:next w:val="Normal"/>
    <w:rsid w:val="005126FE"/>
    <w:pPr>
      <w:keepNext/>
      <w:spacing w:before="560" w:after="120"/>
      <w:jc w:val="center"/>
    </w:pPr>
    <w:rPr>
      <w:caps/>
      <w:sz w:val="20"/>
    </w:rPr>
  </w:style>
  <w:style w:type="paragraph" w:customStyle="1" w:styleId="Tableref">
    <w:name w:val="Table_ref"/>
    <w:basedOn w:val="Normal"/>
    <w:next w:val="Normal"/>
    <w:rsid w:val="005126FE"/>
    <w:pPr>
      <w:keepNext/>
      <w:spacing w:before="560"/>
      <w:jc w:val="center"/>
    </w:pPr>
    <w:rPr>
      <w:sz w:val="20"/>
    </w:rPr>
  </w:style>
  <w:style w:type="paragraph" w:customStyle="1" w:styleId="TableTextS5">
    <w:name w:val="Table_TextS5"/>
    <w:basedOn w:val="Normal"/>
    <w:rsid w:val="005126F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5126FE"/>
    <w:pPr>
      <w:keepNext/>
      <w:keepLines/>
      <w:spacing w:before="0" w:after="120"/>
      <w:jc w:val="center"/>
    </w:pPr>
    <w:rPr>
      <w:rFonts w:ascii="Times New Roman Bold" w:hAnsi="Times New Roman Bold"/>
      <w:b/>
      <w:sz w:val="20"/>
    </w:rPr>
  </w:style>
  <w:style w:type="paragraph" w:customStyle="1" w:styleId="Section1">
    <w:name w:val="Section_1"/>
    <w:basedOn w:val="Normal"/>
    <w:rsid w:val="005126F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5126FE"/>
    <w:rPr>
      <w:b w:val="0"/>
      <w:i/>
    </w:rPr>
  </w:style>
  <w:style w:type="paragraph" w:customStyle="1" w:styleId="Section3">
    <w:name w:val="Section_3"/>
    <w:basedOn w:val="Section1"/>
    <w:rsid w:val="005126FE"/>
    <w:rPr>
      <w:b w:val="0"/>
    </w:rPr>
  </w:style>
  <w:style w:type="paragraph" w:customStyle="1" w:styleId="SectionNo">
    <w:name w:val="Section_No"/>
    <w:basedOn w:val="AnnexNo"/>
    <w:next w:val="Normal"/>
    <w:rsid w:val="005126FE"/>
  </w:style>
  <w:style w:type="paragraph" w:customStyle="1" w:styleId="Sectiontitle">
    <w:name w:val="Section_title"/>
    <w:basedOn w:val="Annextitle"/>
    <w:next w:val="Normalaftertitle"/>
    <w:rsid w:val="005126FE"/>
  </w:style>
  <w:style w:type="paragraph" w:customStyle="1" w:styleId="Source">
    <w:name w:val="Source"/>
    <w:basedOn w:val="Normal"/>
    <w:next w:val="Normal"/>
    <w:rsid w:val="005126FE"/>
    <w:pPr>
      <w:spacing w:before="840"/>
      <w:jc w:val="center"/>
    </w:pPr>
    <w:rPr>
      <w:b/>
      <w:sz w:val="28"/>
    </w:rPr>
  </w:style>
  <w:style w:type="paragraph" w:customStyle="1" w:styleId="Title1">
    <w:name w:val="Title 1"/>
    <w:basedOn w:val="Source"/>
    <w:next w:val="Normal"/>
    <w:rsid w:val="005126FE"/>
    <w:pPr>
      <w:tabs>
        <w:tab w:val="left" w:pos="567"/>
        <w:tab w:val="left" w:pos="1701"/>
        <w:tab w:val="left" w:pos="2835"/>
      </w:tabs>
      <w:spacing w:before="240"/>
    </w:pPr>
    <w:rPr>
      <w:b w:val="0"/>
      <w:caps/>
    </w:rPr>
  </w:style>
  <w:style w:type="paragraph" w:customStyle="1" w:styleId="Title2">
    <w:name w:val="Title 2"/>
    <w:basedOn w:val="Source"/>
    <w:next w:val="Normal"/>
    <w:rsid w:val="005126FE"/>
    <w:pPr>
      <w:overflowPunct/>
      <w:autoSpaceDE/>
      <w:autoSpaceDN/>
      <w:adjustRightInd/>
      <w:spacing w:before="480"/>
      <w:textAlignment w:val="auto"/>
    </w:pPr>
    <w:rPr>
      <w:b w:val="0"/>
      <w:caps/>
    </w:rPr>
  </w:style>
  <w:style w:type="paragraph" w:customStyle="1" w:styleId="Title3">
    <w:name w:val="Title 3"/>
    <w:basedOn w:val="Title2"/>
    <w:next w:val="Normal"/>
    <w:rsid w:val="005126FE"/>
    <w:pPr>
      <w:spacing w:before="240"/>
    </w:pPr>
    <w:rPr>
      <w:caps w:val="0"/>
    </w:rPr>
  </w:style>
  <w:style w:type="paragraph" w:customStyle="1" w:styleId="Title4">
    <w:name w:val="Title 4"/>
    <w:basedOn w:val="Title3"/>
    <w:next w:val="Heading1"/>
    <w:rsid w:val="005126FE"/>
    <w:rPr>
      <w:b/>
    </w:rPr>
  </w:style>
  <w:style w:type="paragraph" w:customStyle="1" w:styleId="toc0">
    <w:name w:val="toc 0"/>
    <w:basedOn w:val="Normal"/>
    <w:next w:val="TOC1"/>
    <w:rsid w:val="005126FE"/>
    <w:pPr>
      <w:tabs>
        <w:tab w:val="clear" w:pos="1134"/>
        <w:tab w:val="clear" w:pos="1871"/>
        <w:tab w:val="clear" w:pos="2268"/>
        <w:tab w:val="right" w:pos="9781"/>
      </w:tabs>
    </w:pPr>
    <w:rPr>
      <w:b/>
    </w:rPr>
  </w:style>
  <w:style w:type="paragraph" w:styleId="TOC1">
    <w:name w:val="toc 1"/>
    <w:basedOn w:val="Normal"/>
    <w:rsid w:val="005126F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126FE"/>
    <w:pPr>
      <w:spacing w:before="120"/>
    </w:pPr>
  </w:style>
  <w:style w:type="paragraph" w:styleId="TOC3">
    <w:name w:val="toc 3"/>
    <w:basedOn w:val="TOC2"/>
    <w:rsid w:val="005126FE"/>
  </w:style>
  <w:style w:type="paragraph" w:styleId="TOC4">
    <w:name w:val="toc 4"/>
    <w:basedOn w:val="TOC3"/>
    <w:rsid w:val="005126FE"/>
  </w:style>
  <w:style w:type="paragraph" w:styleId="TOC5">
    <w:name w:val="toc 5"/>
    <w:basedOn w:val="TOC4"/>
    <w:rsid w:val="005126FE"/>
  </w:style>
  <w:style w:type="paragraph" w:styleId="TOC6">
    <w:name w:val="toc 6"/>
    <w:basedOn w:val="TOC4"/>
    <w:rsid w:val="005126FE"/>
  </w:style>
  <w:style w:type="paragraph" w:styleId="TOC7">
    <w:name w:val="toc 7"/>
    <w:basedOn w:val="TOC4"/>
    <w:rsid w:val="005126FE"/>
  </w:style>
  <w:style w:type="paragraph" w:styleId="TOC8">
    <w:name w:val="toc 8"/>
    <w:basedOn w:val="TOC4"/>
    <w:rsid w:val="005126FE"/>
  </w:style>
  <w:style w:type="paragraph" w:customStyle="1" w:styleId="Partref">
    <w:name w:val="Part_ref"/>
    <w:basedOn w:val="Annexref"/>
    <w:next w:val="Parttitle"/>
    <w:rsid w:val="005126FE"/>
  </w:style>
  <w:style w:type="paragraph" w:customStyle="1" w:styleId="Questionref">
    <w:name w:val="Question_ref"/>
    <w:basedOn w:val="Recref"/>
    <w:next w:val="Questiondate"/>
    <w:rsid w:val="005126FE"/>
  </w:style>
  <w:style w:type="paragraph" w:customStyle="1" w:styleId="Restitle">
    <w:name w:val="Res_title"/>
    <w:basedOn w:val="Rectitle"/>
    <w:next w:val="Resref"/>
    <w:link w:val="RestitleChar"/>
    <w:rsid w:val="005126FE"/>
  </w:style>
  <w:style w:type="paragraph" w:customStyle="1" w:styleId="SpecialFooter">
    <w:name w:val="Special Footer"/>
    <w:basedOn w:val="Footer"/>
    <w:rsid w:val="005126FE"/>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5126FE"/>
  </w:style>
  <w:style w:type="paragraph" w:customStyle="1" w:styleId="AppArttitle">
    <w:name w:val="App_Art_title"/>
    <w:basedOn w:val="Arttitle"/>
    <w:next w:val="Normalaftertitle"/>
    <w:qFormat/>
    <w:rsid w:val="005126FE"/>
  </w:style>
  <w:style w:type="paragraph" w:customStyle="1" w:styleId="AppArtNo">
    <w:name w:val="App_Art_No"/>
    <w:basedOn w:val="ArtNo"/>
    <w:next w:val="AppArttitle"/>
    <w:qFormat/>
    <w:rsid w:val="005126FE"/>
  </w:style>
  <w:style w:type="paragraph" w:customStyle="1" w:styleId="Volumetitle">
    <w:name w:val="Volume_title"/>
    <w:basedOn w:val="ArtNo"/>
    <w:qFormat/>
    <w:rsid w:val="005126FE"/>
  </w:style>
  <w:style w:type="paragraph" w:customStyle="1" w:styleId="Committee">
    <w:name w:val="Committee"/>
    <w:basedOn w:val="Normal"/>
    <w:qFormat/>
    <w:rsid w:val="005126FE"/>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5126FE"/>
    <w:rPr>
      <w:color w:val="000000"/>
    </w:rPr>
  </w:style>
  <w:style w:type="character" w:customStyle="1" w:styleId="Provsplit">
    <w:name w:val="Prov_split"/>
    <w:basedOn w:val="DefaultParagraphFont"/>
    <w:uiPriority w:val="1"/>
    <w:qFormat/>
    <w:rsid w:val="005126FE"/>
  </w:style>
  <w:style w:type="paragraph" w:customStyle="1" w:styleId="MethodHeadingb">
    <w:name w:val="Method_Headingb"/>
    <w:basedOn w:val="Headingb"/>
    <w:qFormat/>
    <w:rsid w:val="005126FE"/>
  </w:style>
  <w:style w:type="paragraph" w:customStyle="1" w:styleId="Methodheading1">
    <w:name w:val="Method_heading1"/>
    <w:basedOn w:val="Heading1"/>
    <w:next w:val="Normal"/>
    <w:qFormat/>
    <w:rsid w:val="005126FE"/>
  </w:style>
  <w:style w:type="paragraph" w:customStyle="1" w:styleId="Methodheading2">
    <w:name w:val="Method_heading2"/>
    <w:basedOn w:val="Heading2"/>
    <w:next w:val="Normal"/>
    <w:qFormat/>
    <w:rsid w:val="005126FE"/>
  </w:style>
  <w:style w:type="paragraph" w:customStyle="1" w:styleId="Methodheading3">
    <w:name w:val="Method_heading3"/>
    <w:basedOn w:val="Heading3"/>
    <w:next w:val="Normal"/>
    <w:qFormat/>
    <w:rsid w:val="005126FE"/>
  </w:style>
  <w:style w:type="paragraph" w:customStyle="1" w:styleId="Methodheading4">
    <w:name w:val="Method_heading4"/>
    <w:basedOn w:val="Heading4"/>
    <w:next w:val="Normal"/>
    <w:qFormat/>
    <w:rsid w:val="005126F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FB2ED6"/>
    <w:rPr>
      <w:rFonts w:ascii="Times New Roman" w:hAnsi="Times New Roman"/>
      <w:i/>
      <w:sz w:val="24"/>
      <w:lang w:val="es-ES_tradnl" w:eastAsia="en-US"/>
    </w:rPr>
  </w:style>
  <w:style w:type="character" w:customStyle="1" w:styleId="RestitleChar">
    <w:name w:val="Res_title Char"/>
    <w:link w:val="Restitle"/>
    <w:qFormat/>
    <w:rsid w:val="00FB2ED6"/>
    <w:rPr>
      <w:rFonts w:ascii="Times New Roman Bold" w:hAnsi="Times New Roman Bold"/>
      <w:b/>
      <w:sz w:val="28"/>
      <w:lang w:val="es-ES_tradnl" w:eastAsia="en-US"/>
    </w:rPr>
  </w:style>
  <w:style w:type="character" w:customStyle="1" w:styleId="enumlev1Char">
    <w:name w:val="enumlev1 Char"/>
    <w:basedOn w:val="DefaultParagraphFont"/>
    <w:link w:val="enumlev1"/>
    <w:locked/>
    <w:rsid w:val="001C6A9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29AECDB-ACF2-401E-992E-F25D32DA9998}">
  <ds:schemaRefs>
    <ds:schemaRef ds:uri="http://schemas.microsoft.com/sharepoint/v3/contenttype/forms"/>
  </ds:schemaRefs>
</ds:datastoreItem>
</file>

<file path=customXml/itemProps2.xml><?xml version="1.0" encoding="utf-8"?>
<ds:datastoreItem xmlns:ds="http://schemas.openxmlformats.org/officeDocument/2006/customXml" ds:itemID="{E6FCB867-18F1-4548-9A90-A93945C1EFD7}">
  <ds:schemaRefs>
    <ds:schemaRef ds:uri="http://schemas.openxmlformats.org/officeDocument/2006/bibliography"/>
  </ds:schemaRefs>
</ds:datastoreItem>
</file>

<file path=customXml/itemProps3.xml><?xml version="1.0" encoding="utf-8"?>
<ds:datastoreItem xmlns:ds="http://schemas.openxmlformats.org/officeDocument/2006/customXml" ds:itemID="{E321DCF6-A1BD-413A-A2EB-5545B01E7E7E}">
  <ds:schemaRefs>
    <ds:schemaRef ds:uri="http://schemas.microsoft.com/sharepoint/events"/>
  </ds:schemaRefs>
</ds:datastoreItem>
</file>

<file path=customXml/itemProps4.xml><?xml version="1.0" encoding="utf-8"?>
<ds:datastoreItem xmlns:ds="http://schemas.openxmlformats.org/officeDocument/2006/customXml" ds:itemID="{A9F64B83-5797-43A8-8096-4BEC6237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5B5F7A-961C-4EDE-B93B-1F39FA5DCC40}">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PS_WRC23.dotx</Template>
  <TotalTime>171</TotalTime>
  <Pages>5</Pages>
  <Words>1439</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R23-WRC23-C-0062!A27-A8!MSW-S</vt:lpstr>
    </vt:vector>
  </TitlesOfParts>
  <Manager>Secretaría General - Pool</Manager>
  <Company>Unión Internacional de Telecomunicaciones (UIT)</Company>
  <LinksUpToDate>false</LinksUpToDate>
  <CharactersWithSpaces>9734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R23-WRC23-C-0062!A27-A8!MSW-S</dc:title>
  <dc:subject>Conferencia Mundial de Radiocomunicaciones - 2019</dc:subject>
  <dc:creator>Documents Proposals Manager (DPM)</dc:creator>
  <cp:keywords>DPM_v2023.8.1.1_prod</cp:keywords>
  <dc:description/>
  <cp:lastModifiedBy>Catalano Moreira, Rossana</cp:lastModifiedBy>
  <cp:revision>10</cp:revision>
  <cp:lastPrinted>2003-02-19T20:20:00Z</cp:lastPrinted>
  <dcterms:created xsi:type="dcterms:W3CDTF">2023-10-18T10:06:00Z</dcterms:created>
  <dcterms:modified xsi:type="dcterms:W3CDTF">2023-10-25T10:33:00Z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