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095200" w14:paraId="7BDFADBE" w14:textId="77777777" w:rsidTr="00C1305F">
        <w:trPr>
          <w:cantSplit/>
        </w:trPr>
        <w:tc>
          <w:tcPr>
            <w:tcW w:w="1418" w:type="dxa"/>
            <w:vAlign w:val="center"/>
          </w:tcPr>
          <w:p w14:paraId="29BD44F1" w14:textId="77777777" w:rsidR="00C1305F" w:rsidRPr="00095200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95200">
              <w:rPr>
                <w:noProof/>
              </w:rPr>
              <w:drawing>
                <wp:inline distT="0" distB="0" distL="0" distR="0" wp14:anchorId="582852F4" wp14:editId="1E032E30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D0AA7B8" w14:textId="3B449A8A" w:rsidR="00C1305F" w:rsidRPr="00095200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95200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095200">
              <w:rPr>
                <w:rFonts w:ascii="Verdana" w:hAnsi="Verdana"/>
                <w:b/>
                <w:bCs/>
                <w:sz w:val="20"/>
              </w:rPr>
              <w:br/>
            </w:r>
            <w:r w:rsidRPr="00095200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FE3622" w:rsidRPr="0009520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95200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CD11355" w14:textId="77777777" w:rsidR="00C1305F" w:rsidRPr="00095200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095200">
              <w:rPr>
                <w:noProof/>
              </w:rPr>
              <w:drawing>
                <wp:inline distT="0" distB="0" distL="0" distR="0" wp14:anchorId="7B0FAF37" wp14:editId="23C1D1A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95200" w14:paraId="5C82220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F195A9E" w14:textId="77777777" w:rsidR="00BB1D82" w:rsidRPr="00095200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AB63E56" w14:textId="77777777" w:rsidR="00BB1D82" w:rsidRPr="00095200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095200" w14:paraId="00F9C998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760A756" w14:textId="77777777" w:rsidR="00BB1D82" w:rsidRPr="00095200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2004F95" w14:textId="77777777" w:rsidR="00BB1D82" w:rsidRPr="00095200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095200" w14:paraId="1A36ACAF" w14:textId="77777777" w:rsidTr="00BB1D82">
        <w:trPr>
          <w:cantSplit/>
        </w:trPr>
        <w:tc>
          <w:tcPr>
            <w:tcW w:w="6911" w:type="dxa"/>
            <w:gridSpan w:val="2"/>
          </w:tcPr>
          <w:p w14:paraId="09B7841E" w14:textId="77777777" w:rsidR="00BB1D82" w:rsidRPr="00095200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5200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05439B5" w14:textId="77777777" w:rsidR="00BB1D82" w:rsidRPr="00095200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095200">
              <w:rPr>
                <w:rFonts w:ascii="Verdana" w:hAnsi="Verdana"/>
                <w:b/>
                <w:sz w:val="20"/>
              </w:rPr>
              <w:t>Addendum 8 au</w:t>
            </w:r>
            <w:r w:rsidRPr="00095200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BB1D82" w:rsidRPr="00095200">
              <w:rPr>
                <w:rFonts w:ascii="Verdana" w:hAnsi="Verdana"/>
                <w:b/>
                <w:sz w:val="20"/>
              </w:rPr>
              <w:t>-</w:t>
            </w:r>
            <w:r w:rsidRPr="00095200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095200" w14:paraId="4DB03274" w14:textId="77777777" w:rsidTr="00BB1D82">
        <w:trPr>
          <w:cantSplit/>
        </w:trPr>
        <w:tc>
          <w:tcPr>
            <w:tcW w:w="6911" w:type="dxa"/>
            <w:gridSpan w:val="2"/>
          </w:tcPr>
          <w:p w14:paraId="3E8B8227" w14:textId="77777777" w:rsidR="00690C7B" w:rsidRPr="00095200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090CDE13" w14:textId="77777777" w:rsidR="00690C7B" w:rsidRPr="00095200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5200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095200" w14:paraId="17394FDA" w14:textId="77777777" w:rsidTr="00BB1D82">
        <w:trPr>
          <w:cantSplit/>
        </w:trPr>
        <w:tc>
          <w:tcPr>
            <w:tcW w:w="6911" w:type="dxa"/>
            <w:gridSpan w:val="2"/>
          </w:tcPr>
          <w:p w14:paraId="7B8C64C7" w14:textId="77777777" w:rsidR="00690C7B" w:rsidRPr="00095200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40321EC" w14:textId="77777777" w:rsidR="00690C7B" w:rsidRPr="00095200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9520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95200" w14:paraId="325AEB7F" w14:textId="77777777" w:rsidTr="00C11970">
        <w:trPr>
          <w:cantSplit/>
        </w:trPr>
        <w:tc>
          <w:tcPr>
            <w:tcW w:w="10031" w:type="dxa"/>
            <w:gridSpan w:val="4"/>
          </w:tcPr>
          <w:p w14:paraId="0CB90E01" w14:textId="77777777" w:rsidR="00690C7B" w:rsidRPr="00095200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95200" w14:paraId="2AC19A07" w14:textId="77777777" w:rsidTr="0050008E">
        <w:trPr>
          <w:cantSplit/>
        </w:trPr>
        <w:tc>
          <w:tcPr>
            <w:tcW w:w="10031" w:type="dxa"/>
            <w:gridSpan w:val="4"/>
          </w:tcPr>
          <w:p w14:paraId="65092447" w14:textId="77777777" w:rsidR="00690C7B" w:rsidRPr="00095200" w:rsidRDefault="00690C7B" w:rsidP="00690C7B">
            <w:pPr>
              <w:pStyle w:val="Source"/>
            </w:pPr>
            <w:bookmarkStart w:id="2" w:name="dsource" w:colFirst="0" w:colLast="0"/>
            <w:r w:rsidRPr="00095200">
              <w:t>Propositions communes de la Télécommunauté Asie-Pacifique</w:t>
            </w:r>
          </w:p>
        </w:tc>
      </w:tr>
      <w:tr w:rsidR="00690C7B" w:rsidRPr="00095200" w14:paraId="6100D2D2" w14:textId="77777777" w:rsidTr="0050008E">
        <w:trPr>
          <w:cantSplit/>
        </w:trPr>
        <w:tc>
          <w:tcPr>
            <w:tcW w:w="10031" w:type="dxa"/>
            <w:gridSpan w:val="4"/>
          </w:tcPr>
          <w:p w14:paraId="603EB70A" w14:textId="42EF2B8E" w:rsidR="00690C7B" w:rsidRPr="00095200" w:rsidRDefault="00FE3622" w:rsidP="00690C7B">
            <w:pPr>
              <w:pStyle w:val="Title1"/>
            </w:pPr>
            <w:bookmarkStart w:id="3" w:name="dtitle1" w:colFirst="0" w:colLast="0"/>
            <w:bookmarkEnd w:id="2"/>
            <w:r w:rsidRPr="00095200">
              <w:t>propositions pour les travaux de la conférence</w:t>
            </w:r>
          </w:p>
        </w:tc>
      </w:tr>
      <w:tr w:rsidR="00690C7B" w:rsidRPr="00095200" w14:paraId="05929B49" w14:textId="77777777" w:rsidTr="0050008E">
        <w:trPr>
          <w:cantSplit/>
        </w:trPr>
        <w:tc>
          <w:tcPr>
            <w:tcW w:w="10031" w:type="dxa"/>
            <w:gridSpan w:val="4"/>
          </w:tcPr>
          <w:p w14:paraId="77A4BA79" w14:textId="77777777" w:rsidR="00690C7B" w:rsidRPr="00095200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095200" w14:paraId="394ED23D" w14:textId="77777777" w:rsidTr="0050008E">
        <w:trPr>
          <w:cantSplit/>
        </w:trPr>
        <w:tc>
          <w:tcPr>
            <w:tcW w:w="10031" w:type="dxa"/>
            <w:gridSpan w:val="4"/>
          </w:tcPr>
          <w:p w14:paraId="645C0593" w14:textId="1AA88C68" w:rsidR="00690C7B" w:rsidRPr="00095200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095200">
              <w:rPr>
                <w:lang w:val="fr-FR"/>
              </w:rPr>
              <w:t>Point 10 de l</w:t>
            </w:r>
            <w:r w:rsidR="001B0960" w:rsidRPr="00095200">
              <w:rPr>
                <w:lang w:val="fr-FR"/>
              </w:rPr>
              <w:t>'</w:t>
            </w:r>
            <w:r w:rsidRPr="00095200">
              <w:rPr>
                <w:lang w:val="fr-FR"/>
              </w:rPr>
              <w:t>ordre du jour</w:t>
            </w:r>
          </w:p>
        </w:tc>
      </w:tr>
    </w:tbl>
    <w:bookmarkEnd w:id="5"/>
    <w:p w14:paraId="1FE42EFA" w14:textId="22306E16" w:rsidR="0020694E" w:rsidRPr="00095200" w:rsidRDefault="0020694E" w:rsidP="002E6998">
      <w:r w:rsidRPr="00095200">
        <w:t>10</w:t>
      </w:r>
      <w:r w:rsidRPr="00095200">
        <w:tab/>
        <w:t>recommander au Conseil de l</w:t>
      </w:r>
      <w:r w:rsidR="001B0960" w:rsidRPr="00095200">
        <w:t>'</w:t>
      </w:r>
      <w:r w:rsidRPr="00095200">
        <w:t>UIT des points à inscrire à l</w:t>
      </w:r>
      <w:r w:rsidR="001B0960" w:rsidRPr="00095200">
        <w:t>'</w:t>
      </w:r>
      <w:r w:rsidRPr="00095200">
        <w:t>ordre du jour de la Conférence mondiale des radiocommunications suivante et des points de l</w:t>
      </w:r>
      <w:r w:rsidR="001B0960" w:rsidRPr="00095200">
        <w:t>'</w:t>
      </w:r>
      <w:r w:rsidRPr="00095200">
        <w:t>ordre du jour préliminaire de conférences futures, conformément à l</w:t>
      </w:r>
      <w:r w:rsidR="001B0960" w:rsidRPr="00095200">
        <w:t>'</w:t>
      </w:r>
      <w:r w:rsidRPr="00095200">
        <w:t>article 7 de la Convention de l</w:t>
      </w:r>
      <w:r w:rsidR="001B0960" w:rsidRPr="00095200">
        <w:t>'</w:t>
      </w:r>
      <w:r w:rsidRPr="00095200">
        <w:t xml:space="preserve">UIT et à la Résolution </w:t>
      </w:r>
      <w:r w:rsidRPr="00095200">
        <w:rPr>
          <w:b/>
        </w:rPr>
        <w:t>804 (Rév.CMR-19)</w:t>
      </w:r>
      <w:r w:rsidRPr="00095200">
        <w:t>,</w:t>
      </w:r>
    </w:p>
    <w:p w14:paraId="0FEAE4DF" w14:textId="5E0E3CB4" w:rsidR="003A583E" w:rsidRPr="00095200" w:rsidRDefault="00FE3622" w:rsidP="00FE3622">
      <w:pPr>
        <w:pStyle w:val="Headingb"/>
      </w:pPr>
      <w:r w:rsidRPr="00095200">
        <w:t>Introduction</w:t>
      </w:r>
    </w:p>
    <w:p w14:paraId="03411620" w14:textId="69DB95F2" w:rsidR="00FE3622" w:rsidRPr="00F310A6" w:rsidRDefault="00C43DCE" w:rsidP="00FE3622">
      <w:r w:rsidRPr="00095200">
        <w:t>Les Membres de l</w:t>
      </w:r>
      <w:r w:rsidR="001B0960" w:rsidRPr="00095200">
        <w:t>'</w:t>
      </w:r>
      <w:r w:rsidRPr="00095200">
        <w:t xml:space="preserve">APT sont </w:t>
      </w:r>
      <w:r w:rsidR="00532811" w:rsidRPr="00095200">
        <w:t>favorables à l</w:t>
      </w:r>
      <w:r w:rsidR="001B0960" w:rsidRPr="00095200">
        <w:t>'</w:t>
      </w:r>
      <w:r w:rsidR="00532811" w:rsidRPr="00095200">
        <w:t xml:space="preserve">examen du </w:t>
      </w:r>
      <w:r w:rsidR="008326B0" w:rsidRPr="00095200">
        <w:t>point suivant en vue de son inscription à l</w:t>
      </w:r>
      <w:r w:rsidR="001B0960" w:rsidRPr="00095200">
        <w:t>'</w:t>
      </w:r>
      <w:r w:rsidR="008326B0" w:rsidRPr="00095200">
        <w:t xml:space="preserve">ordre du jour de la </w:t>
      </w:r>
      <w:r w:rsidR="00FE3622" w:rsidRPr="00F310A6">
        <w:t>CMR-31:</w:t>
      </w:r>
    </w:p>
    <w:p w14:paraId="1C809A8C" w14:textId="4D1DEF19" w:rsidR="00FE3622" w:rsidRPr="005939B2" w:rsidRDefault="00FE3622" w:rsidP="001642CF">
      <w:pPr>
        <w:pStyle w:val="enumlev1"/>
        <w:rPr>
          <w:i/>
          <w:iCs/>
        </w:rPr>
      </w:pPr>
      <w:r w:rsidRPr="00F310A6">
        <w:tab/>
      </w:r>
      <w:r w:rsidR="005939B2" w:rsidRPr="005939B2">
        <w:rPr>
          <w:i/>
          <w:iCs/>
        </w:rPr>
        <w:t>e</w:t>
      </w:r>
      <w:r w:rsidR="009D402B" w:rsidRPr="005939B2">
        <w:rPr>
          <w:i/>
          <w:iCs/>
        </w:rPr>
        <w:t xml:space="preserve">xaminer les dispositions réglementaires </w:t>
      </w:r>
      <w:r w:rsidR="005336F3" w:rsidRPr="005939B2">
        <w:rPr>
          <w:i/>
          <w:iCs/>
        </w:rPr>
        <w:t xml:space="preserve">qui pourraient être adoptées </w:t>
      </w:r>
      <w:r w:rsidR="009D402B" w:rsidRPr="005939B2">
        <w:rPr>
          <w:i/>
          <w:iCs/>
        </w:rPr>
        <w:t>pour éviter que des</w:t>
      </w:r>
      <w:r w:rsidR="001642CF" w:rsidRPr="005939B2">
        <w:rPr>
          <w:i/>
          <w:iCs/>
        </w:rPr>
        <w:t xml:space="preserve"> </w:t>
      </w:r>
      <w:r w:rsidR="009D402B" w:rsidRPr="005939B2">
        <w:rPr>
          <w:i/>
          <w:iCs/>
        </w:rPr>
        <w:t xml:space="preserve">brouillages préjudiciables soient causés </w:t>
      </w:r>
      <w:r w:rsidR="00D6291A" w:rsidRPr="005939B2">
        <w:rPr>
          <w:i/>
          <w:iCs/>
        </w:rPr>
        <w:t>aux services de radiocommunication par la transmission d</w:t>
      </w:r>
      <w:r w:rsidR="001B0960" w:rsidRPr="005939B2">
        <w:rPr>
          <w:i/>
          <w:iCs/>
        </w:rPr>
        <w:t>'</w:t>
      </w:r>
      <w:r w:rsidR="00D6291A" w:rsidRPr="005939B2">
        <w:rPr>
          <w:i/>
          <w:iCs/>
        </w:rPr>
        <w:t>énergie sans fil (WPT), conformément à la Résolution </w:t>
      </w:r>
      <w:r w:rsidR="00D6291A" w:rsidRPr="005939B2">
        <w:rPr>
          <w:b/>
          <w:bCs/>
          <w:i/>
          <w:iCs/>
        </w:rPr>
        <w:t>[ACP-AI10-6] (CMR-23)</w:t>
      </w:r>
      <w:r w:rsidR="00D6291A" w:rsidRPr="005939B2">
        <w:rPr>
          <w:i/>
          <w:iCs/>
        </w:rPr>
        <w:t>;</w:t>
      </w:r>
    </w:p>
    <w:p w14:paraId="58895582" w14:textId="49B676CD" w:rsidR="00FE3622" w:rsidRPr="00F310A6" w:rsidRDefault="00D6291A" w:rsidP="00FE3622">
      <w:r w:rsidRPr="00095200">
        <w:t>En fonction de la charge de travail de la CMR-27, les Membres de l</w:t>
      </w:r>
      <w:r w:rsidR="001B0960" w:rsidRPr="00095200">
        <w:t>'</w:t>
      </w:r>
      <w:r w:rsidRPr="00095200">
        <w:t>APT peuvent envisager de transférer ce point de l</w:t>
      </w:r>
      <w:r w:rsidR="001B0960" w:rsidRPr="00095200">
        <w:t>'</w:t>
      </w:r>
      <w:r w:rsidRPr="00095200">
        <w:t xml:space="preserve">ordre du jour de la CMR-31 à </w:t>
      </w:r>
      <w:r w:rsidR="00DA2DDC" w:rsidRPr="00095200">
        <w:t>celui</w:t>
      </w:r>
      <w:r w:rsidRPr="00095200">
        <w:t xml:space="preserve"> de la CMR-27.</w:t>
      </w:r>
    </w:p>
    <w:p w14:paraId="36089FAD" w14:textId="3D070D65" w:rsidR="00FE3622" w:rsidRPr="00F310A6" w:rsidRDefault="00FE3622" w:rsidP="00FE3622">
      <w:pPr>
        <w:pStyle w:val="Headingb"/>
      </w:pPr>
      <w:r w:rsidRPr="00F310A6">
        <w:t>Proposition</w:t>
      </w:r>
      <w:r w:rsidR="00D6291A" w:rsidRPr="00095200">
        <w:t>s</w:t>
      </w:r>
    </w:p>
    <w:p w14:paraId="415AED65" w14:textId="6AA93C4C" w:rsidR="0015203F" w:rsidRPr="00F310A6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310A6">
        <w:br w:type="page"/>
      </w:r>
    </w:p>
    <w:p w14:paraId="5851FFE0" w14:textId="77777777" w:rsidR="006A2C06" w:rsidRPr="00F310A6" w:rsidRDefault="0020694E" w:rsidP="002274D8">
      <w:pPr>
        <w:pStyle w:val="Proposal"/>
      </w:pPr>
      <w:r w:rsidRPr="00F310A6">
        <w:lastRenderedPageBreak/>
        <w:t>ADD</w:t>
      </w:r>
      <w:r w:rsidRPr="00F310A6">
        <w:tab/>
        <w:t>ACP/62A27A8/1</w:t>
      </w:r>
    </w:p>
    <w:p w14:paraId="5CD21974" w14:textId="309215D1" w:rsidR="006A2C06" w:rsidRPr="00095200" w:rsidRDefault="0020694E" w:rsidP="00F310A6">
      <w:pPr>
        <w:pStyle w:val="ResNo"/>
      </w:pPr>
      <w:r w:rsidRPr="00095200">
        <w:t>Projet de nouvelle Résolution [ACP-</w:t>
      </w:r>
      <w:r w:rsidR="00FE3622" w:rsidRPr="00095200">
        <w:t>AI10-6] (CMR-23)</w:t>
      </w:r>
    </w:p>
    <w:p w14:paraId="03275242" w14:textId="126F2DED" w:rsidR="006A2C06" w:rsidRPr="006A4748" w:rsidRDefault="00D6291A" w:rsidP="006A4748">
      <w:pPr>
        <w:pStyle w:val="Restitle"/>
      </w:pPr>
      <w:r w:rsidRPr="006A4748">
        <w:t xml:space="preserve">Études relatives aux dispositions réglementaires qui pourraient être adoptées pour éviter que des brouillages </w:t>
      </w:r>
      <w:r w:rsidR="0084520D" w:rsidRPr="006A4748">
        <w:t>préjudiciables</w:t>
      </w:r>
      <w:r w:rsidRPr="006A4748">
        <w:t xml:space="preserve"> soient causés aux services de radiocommunication par la transmission d</w:t>
      </w:r>
      <w:r w:rsidR="001B0960" w:rsidRPr="006A4748">
        <w:t>'</w:t>
      </w:r>
      <w:r w:rsidRPr="006A4748">
        <w:t>énergie sans fil</w:t>
      </w:r>
      <w:r w:rsidR="00FE3622" w:rsidRPr="006A4748">
        <w:t xml:space="preserve"> (WPT)</w:t>
      </w:r>
    </w:p>
    <w:p w14:paraId="168B5CA9" w14:textId="27B69C5E" w:rsidR="006A2C06" w:rsidRPr="00095200" w:rsidRDefault="00FE3622" w:rsidP="00F310A6">
      <w:pPr>
        <w:pStyle w:val="Normalaftertitle"/>
      </w:pPr>
      <w:r w:rsidRPr="00095200">
        <w:t>La Conférence mondiale des radiocommunications (Dubaï, 2023),</w:t>
      </w:r>
    </w:p>
    <w:p w14:paraId="0327C1B4" w14:textId="3347D24C" w:rsidR="00FE3622" w:rsidRPr="00095200" w:rsidRDefault="00FE3622" w:rsidP="002274D8">
      <w:pPr>
        <w:pStyle w:val="Call"/>
      </w:pPr>
      <w:r w:rsidRPr="00095200">
        <w:t>considérant</w:t>
      </w:r>
    </w:p>
    <w:p w14:paraId="5728127D" w14:textId="5A2A819E" w:rsidR="00FE3622" w:rsidRPr="00095200" w:rsidRDefault="00FE3622" w:rsidP="00F310A6">
      <w:pPr>
        <w:rPr>
          <w:iCs/>
        </w:rPr>
      </w:pPr>
      <w:r w:rsidRPr="00095200">
        <w:rPr>
          <w:i/>
        </w:rPr>
        <w:t>a)</w:t>
      </w:r>
      <w:r w:rsidRPr="00095200">
        <w:rPr>
          <w:i/>
        </w:rPr>
        <w:tab/>
      </w:r>
      <w:r w:rsidRPr="00095200">
        <w:t>que la transmission d</w:t>
      </w:r>
      <w:r w:rsidR="001B0960" w:rsidRPr="00095200">
        <w:t>'</w:t>
      </w:r>
      <w:r w:rsidRPr="00095200">
        <w:t>énergie sans fil (WPT) est définie comme étant la transmission sans fil d</w:t>
      </w:r>
      <w:r w:rsidR="001B0960" w:rsidRPr="00095200">
        <w:t>'</w:t>
      </w:r>
      <w:r w:rsidRPr="00095200">
        <w:t>énergie entre une source d</w:t>
      </w:r>
      <w:r w:rsidR="001B0960" w:rsidRPr="00095200">
        <w:t>'</w:t>
      </w:r>
      <w:r w:rsidRPr="00095200">
        <w:t>énergie et une charge électrique utilisant un champ électromagnétique</w:t>
      </w:r>
      <w:r w:rsidR="00D6291A" w:rsidRPr="00095200">
        <w:t>, à l</w:t>
      </w:r>
      <w:r w:rsidR="001B0960" w:rsidRPr="00095200">
        <w:t>'</w:t>
      </w:r>
      <w:r w:rsidR="00D6291A" w:rsidRPr="00095200">
        <w:t>exclusion de</w:t>
      </w:r>
      <w:r w:rsidR="0051351F" w:rsidRPr="00095200">
        <w:t xml:space="preserve"> la</w:t>
      </w:r>
      <w:r w:rsidR="00D6291A" w:rsidRPr="00095200">
        <w:t xml:space="preserve"> transmission</w:t>
      </w:r>
      <w:r w:rsidR="0051351F" w:rsidRPr="00095200">
        <w:t xml:space="preserve"> de radiocommunications</w:t>
      </w:r>
      <w:r w:rsidRPr="00095200">
        <w:t>;</w:t>
      </w:r>
    </w:p>
    <w:p w14:paraId="475FA624" w14:textId="3E5EC7BD" w:rsidR="00FE3622" w:rsidRPr="00095200" w:rsidRDefault="00FE3622" w:rsidP="002274D8">
      <w:pPr>
        <w:rPr>
          <w:iCs/>
        </w:rPr>
      </w:pPr>
      <w:r w:rsidRPr="00095200">
        <w:rPr>
          <w:i/>
        </w:rPr>
        <w:t>b)</w:t>
      </w:r>
      <w:r w:rsidRPr="00095200">
        <w:rPr>
          <w:i/>
        </w:rPr>
        <w:tab/>
      </w:r>
      <w:r w:rsidR="0051351F" w:rsidRPr="00095200">
        <w:rPr>
          <w:iCs/>
        </w:rPr>
        <w:t>qu</w:t>
      </w:r>
      <w:r w:rsidR="001B0960" w:rsidRPr="00095200">
        <w:rPr>
          <w:iCs/>
        </w:rPr>
        <w:t>'</w:t>
      </w:r>
      <w:r w:rsidR="00532811" w:rsidRPr="00095200">
        <w:rPr>
          <w:iCs/>
        </w:rPr>
        <w:t>une large gamme</w:t>
      </w:r>
      <w:r w:rsidR="0051351F" w:rsidRPr="00095200">
        <w:rPr>
          <w:iCs/>
        </w:rPr>
        <w:t xml:space="preserve"> </w:t>
      </w:r>
      <w:r w:rsidR="00532811" w:rsidRPr="00095200">
        <w:rPr>
          <w:iCs/>
        </w:rPr>
        <w:t xml:space="preserve">de </w:t>
      </w:r>
      <w:r w:rsidR="0051351F" w:rsidRPr="00095200">
        <w:rPr>
          <w:iCs/>
        </w:rPr>
        <w:t xml:space="preserve">techniques et </w:t>
      </w:r>
      <w:r w:rsidR="00532811" w:rsidRPr="00095200">
        <w:rPr>
          <w:iCs/>
        </w:rPr>
        <w:t>d</w:t>
      </w:r>
      <w:r w:rsidR="001B0960" w:rsidRPr="00095200">
        <w:rPr>
          <w:iCs/>
        </w:rPr>
        <w:t>'</w:t>
      </w:r>
      <w:r w:rsidR="0051351F" w:rsidRPr="00095200">
        <w:rPr>
          <w:iCs/>
        </w:rPr>
        <w:t xml:space="preserve">applications WPT </w:t>
      </w:r>
      <w:r w:rsidR="005C3BB0" w:rsidRPr="00095200">
        <w:rPr>
          <w:iCs/>
        </w:rPr>
        <w:t>est en cours d</w:t>
      </w:r>
      <w:r w:rsidR="001B0960" w:rsidRPr="00095200">
        <w:rPr>
          <w:iCs/>
        </w:rPr>
        <w:t>'</w:t>
      </w:r>
      <w:r w:rsidR="0051351F" w:rsidRPr="00095200">
        <w:rPr>
          <w:iCs/>
        </w:rPr>
        <w:t>évolu</w:t>
      </w:r>
      <w:r w:rsidR="005C3BB0" w:rsidRPr="00095200">
        <w:rPr>
          <w:iCs/>
        </w:rPr>
        <w:t>tion</w:t>
      </w:r>
      <w:r w:rsidR="0051351F" w:rsidRPr="00095200">
        <w:rPr>
          <w:iCs/>
        </w:rPr>
        <w:t xml:space="preserve">, </w:t>
      </w:r>
      <w:r w:rsidR="005C3BB0" w:rsidRPr="00095200">
        <w:rPr>
          <w:iCs/>
        </w:rPr>
        <w:t>est prévue</w:t>
      </w:r>
      <w:r w:rsidR="00532811" w:rsidRPr="00095200">
        <w:rPr>
          <w:iCs/>
        </w:rPr>
        <w:t xml:space="preserve"> </w:t>
      </w:r>
      <w:r w:rsidR="0051351F" w:rsidRPr="00095200">
        <w:rPr>
          <w:iCs/>
        </w:rPr>
        <w:t xml:space="preserve">ou </w:t>
      </w:r>
      <w:r w:rsidR="005C3BB0" w:rsidRPr="00095200">
        <w:rPr>
          <w:iCs/>
        </w:rPr>
        <w:t xml:space="preserve">a </w:t>
      </w:r>
      <w:r w:rsidR="0051351F" w:rsidRPr="00095200">
        <w:rPr>
          <w:iCs/>
        </w:rPr>
        <w:t>déjà été partiellement mise sur le marché; et</w:t>
      </w:r>
    </w:p>
    <w:p w14:paraId="43F407B6" w14:textId="7E267A07" w:rsidR="00FE3622" w:rsidRPr="00095200" w:rsidRDefault="00FE3622" w:rsidP="00F310A6">
      <w:pPr>
        <w:rPr>
          <w:iCs/>
        </w:rPr>
      </w:pPr>
      <w:r w:rsidRPr="00095200">
        <w:rPr>
          <w:i/>
        </w:rPr>
        <w:t>c)</w:t>
      </w:r>
      <w:r w:rsidRPr="00095200">
        <w:rPr>
          <w:i/>
        </w:rPr>
        <w:tab/>
      </w:r>
      <w:r w:rsidRPr="00095200">
        <w:rPr>
          <w:iCs/>
        </w:rPr>
        <w:t xml:space="preserve">que ces techniques WPT peuvent être utiles dans </w:t>
      </w:r>
      <w:r w:rsidR="0051351F" w:rsidRPr="00095200">
        <w:rPr>
          <w:iCs/>
        </w:rPr>
        <w:t xml:space="preserve">des </w:t>
      </w:r>
      <w:r w:rsidRPr="00095200">
        <w:rPr>
          <w:iCs/>
        </w:rPr>
        <w:t>applications</w:t>
      </w:r>
      <w:r w:rsidR="0051351F" w:rsidRPr="00095200">
        <w:rPr>
          <w:iCs/>
        </w:rPr>
        <w:t xml:space="preserve"> diverses, y compris</w:t>
      </w:r>
      <w:r w:rsidRPr="00095200">
        <w:rPr>
          <w:iCs/>
        </w:rPr>
        <w:t xml:space="preserve"> </w:t>
      </w:r>
      <w:r w:rsidR="0051351F" w:rsidRPr="00095200">
        <w:rPr>
          <w:iCs/>
        </w:rPr>
        <w:t>l</w:t>
      </w:r>
      <w:r w:rsidR="001B0960" w:rsidRPr="00095200">
        <w:rPr>
          <w:iCs/>
        </w:rPr>
        <w:t>'</w:t>
      </w:r>
      <w:r w:rsidRPr="00095200">
        <w:rPr>
          <w:iCs/>
        </w:rPr>
        <w:t xml:space="preserve">énergie solaire, </w:t>
      </w:r>
      <w:r w:rsidR="0051351F" w:rsidRPr="00095200">
        <w:rPr>
          <w:iCs/>
        </w:rPr>
        <w:t xml:space="preserve">les </w:t>
      </w:r>
      <w:r w:rsidRPr="00095200">
        <w:rPr>
          <w:iCs/>
        </w:rPr>
        <w:t xml:space="preserve">plates-formes aéroportées, </w:t>
      </w:r>
      <w:r w:rsidR="0051351F" w:rsidRPr="00095200">
        <w:rPr>
          <w:iCs/>
        </w:rPr>
        <w:t xml:space="preserve">les </w:t>
      </w:r>
      <w:r w:rsidRPr="00095200">
        <w:rPr>
          <w:iCs/>
        </w:rPr>
        <w:t xml:space="preserve">véhicules électriques, </w:t>
      </w:r>
      <w:r w:rsidR="0051351F" w:rsidRPr="00095200">
        <w:rPr>
          <w:iCs/>
        </w:rPr>
        <w:t xml:space="preserve">les </w:t>
      </w:r>
      <w:r w:rsidRPr="00095200">
        <w:rPr>
          <w:iCs/>
        </w:rPr>
        <w:t>dispositifs de l</w:t>
      </w:r>
      <w:r w:rsidR="001B0960" w:rsidRPr="00095200">
        <w:rPr>
          <w:iCs/>
        </w:rPr>
        <w:t>'</w:t>
      </w:r>
      <w:r w:rsidRPr="00095200">
        <w:rPr>
          <w:iCs/>
        </w:rPr>
        <w:t xml:space="preserve">Internet des objets (IoT) et </w:t>
      </w:r>
      <w:r w:rsidR="0051351F" w:rsidRPr="00095200">
        <w:rPr>
          <w:iCs/>
        </w:rPr>
        <w:t xml:space="preserve">les </w:t>
      </w:r>
      <w:r w:rsidRPr="00095200">
        <w:rPr>
          <w:iCs/>
        </w:rPr>
        <w:t>chargeurs sans fil de dispositifs mobiles/portables</w:t>
      </w:r>
      <w:r w:rsidR="00AD05E1">
        <w:rPr>
          <w:iCs/>
        </w:rPr>
        <w:t>,</w:t>
      </w:r>
    </w:p>
    <w:p w14:paraId="1C1E951D" w14:textId="28D9D726" w:rsidR="00FE3622" w:rsidRPr="00095200" w:rsidRDefault="00FE3622" w:rsidP="002274D8">
      <w:pPr>
        <w:pStyle w:val="Call"/>
      </w:pPr>
      <w:r w:rsidRPr="00095200">
        <w:t>reconnaissant</w:t>
      </w:r>
    </w:p>
    <w:p w14:paraId="41F682F1" w14:textId="288EA83E" w:rsidR="00FE3622" w:rsidRPr="00095200" w:rsidRDefault="00FE3622" w:rsidP="002274D8">
      <w:r w:rsidRPr="00095200">
        <w:rPr>
          <w:i/>
          <w:iCs/>
        </w:rPr>
        <w:t>a)</w:t>
      </w:r>
      <w:r w:rsidRPr="00095200">
        <w:rPr>
          <w:i/>
          <w:iCs/>
        </w:rPr>
        <w:tab/>
      </w:r>
      <w:r w:rsidRPr="00095200">
        <w:t>que la transmission WPT n</w:t>
      </w:r>
      <w:r w:rsidR="001B0960" w:rsidRPr="00095200">
        <w:t>'</w:t>
      </w:r>
      <w:r w:rsidRPr="00095200">
        <w:t>est pas définie comme étant un service de radiocommunication dans le Règlement des radiocommunications (RR);</w:t>
      </w:r>
    </w:p>
    <w:p w14:paraId="4995E51E" w14:textId="39071151" w:rsidR="00FE3622" w:rsidRPr="00095200" w:rsidRDefault="00FE3622" w:rsidP="00FE3622">
      <w:pPr>
        <w:rPr>
          <w:i/>
          <w:iCs/>
        </w:rPr>
      </w:pPr>
      <w:r w:rsidRPr="00095200">
        <w:rPr>
          <w:i/>
          <w:iCs/>
        </w:rPr>
        <w:t>b)</w:t>
      </w:r>
      <w:r w:rsidRPr="00095200">
        <w:rPr>
          <w:i/>
          <w:iCs/>
        </w:rPr>
        <w:tab/>
      </w:r>
      <w:r w:rsidR="00125580" w:rsidRPr="00095200">
        <w:t>qu</w:t>
      </w:r>
      <w:r w:rsidR="001B0960" w:rsidRPr="00095200">
        <w:t>'</w:t>
      </w:r>
      <w:r w:rsidR="00125580" w:rsidRPr="00095200">
        <w:t xml:space="preserve">aucune réglementation internationale ne régit </w:t>
      </w:r>
      <w:r w:rsidR="0053539D" w:rsidRPr="00095200">
        <w:t xml:space="preserve">les rayonnements </w:t>
      </w:r>
      <w:r w:rsidR="00532811" w:rsidRPr="00095200">
        <w:t>émis par</w:t>
      </w:r>
      <w:r w:rsidR="0053539D" w:rsidRPr="00095200">
        <w:t xml:space="preserve"> la transmission WPT</w:t>
      </w:r>
      <w:r w:rsidR="00532811" w:rsidRPr="00095200">
        <w:t>;</w:t>
      </w:r>
    </w:p>
    <w:p w14:paraId="7F6CCD7D" w14:textId="2751D5B7" w:rsidR="00FE3622" w:rsidRPr="00095200" w:rsidRDefault="00FE3622" w:rsidP="00FE3622">
      <w:pPr>
        <w:rPr>
          <w:i/>
          <w:iCs/>
        </w:rPr>
      </w:pPr>
      <w:r w:rsidRPr="00095200">
        <w:rPr>
          <w:i/>
          <w:iCs/>
        </w:rPr>
        <w:t>c)</w:t>
      </w:r>
      <w:r w:rsidRPr="00095200">
        <w:rPr>
          <w:i/>
          <w:iCs/>
        </w:rPr>
        <w:tab/>
      </w:r>
      <w:r w:rsidR="0053539D" w:rsidRPr="00095200">
        <w:t xml:space="preserve">que, conformément aux numéros </w:t>
      </w:r>
      <w:r w:rsidR="0053539D" w:rsidRPr="00F310A6">
        <w:rPr>
          <w:b/>
          <w:bCs/>
        </w:rPr>
        <w:t>15.12</w:t>
      </w:r>
      <w:r w:rsidR="0053539D" w:rsidRPr="00F310A6">
        <w:t xml:space="preserve"> et </w:t>
      </w:r>
      <w:r w:rsidR="0053539D" w:rsidRPr="00F310A6">
        <w:rPr>
          <w:b/>
          <w:bCs/>
        </w:rPr>
        <w:t>15.13</w:t>
      </w:r>
      <w:r w:rsidR="0053539D" w:rsidRPr="00095200">
        <w:t>, les administrations doivent prendre toutes les mesures pratiques nécessaires pour que le fonctionnement des appareils ou installations électriques, y compris ceux destinés à la transmission WPT</w:t>
      </w:r>
      <w:r w:rsidR="0053539D" w:rsidRPr="00F310A6">
        <w:t xml:space="preserve">, ne cause pas de brouillage préjudiciable </w:t>
      </w:r>
      <w:r w:rsidR="00532811" w:rsidRPr="00095200">
        <w:t>aux</w:t>
      </w:r>
      <w:r w:rsidR="0053539D" w:rsidRPr="00F310A6">
        <w:t xml:space="preserve"> service</w:t>
      </w:r>
      <w:r w:rsidR="00532811" w:rsidRPr="00095200">
        <w:t>s</w:t>
      </w:r>
      <w:r w:rsidR="0053539D" w:rsidRPr="00095200">
        <w:t xml:space="preserve"> de radiocommunication,</w:t>
      </w:r>
      <w:r w:rsidR="0053539D" w:rsidRPr="00F310A6">
        <w:t xml:space="preserve"> et en particulier aux services de radionavigation </w:t>
      </w:r>
      <w:r w:rsidR="0053539D" w:rsidRPr="00095200">
        <w:t>et</w:t>
      </w:r>
      <w:r w:rsidR="0053539D" w:rsidRPr="00F310A6">
        <w:t xml:space="preserve"> autre</w:t>
      </w:r>
      <w:r w:rsidR="0053539D" w:rsidRPr="00095200">
        <w:t>s</w:t>
      </w:r>
      <w:r w:rsidR="0053539D" w:rsidRPr="00F310A6">
        <w:t xml:space="preserve"> service</w:t>
      </w:r>
      <w:r w:rsidR="0053539D" w:rsidRPr="00095200">
        <w:t>s</w:t>
      </w:r>
      <w:r w:rsidR="0053539D" w:rsidRPr="00F310A6">
        <w:t xml:space="preserve"> de sécurité;</w:t>
      </w:r>
    </w:p>
    <w:p w14:paraId="3A34319B" w14:textId="512AD500" w:rsidR="00FE3622" w:rsidRPr="00095200" w:rsidRDefault="00FE3622" w:rsidP="00FE3622">
      <w:pPr>
        <w:rPr>
          <w:i/>
          <w:iCs/>
        </w:rPr>
      </w:pPr>
      <w:r w:rsidRPr="00095200">
        <w:rPr>
          <w:i/>
          <w:iCs/>
        </w:rPr>
        <w:t>d)</w:t>
      </w:r>
      <w:r w:rsidRPr="00095200">
        <w:rPr>
          <w:i/>
          <w:iCs/>
        </w:rPr>
        <w:tab/>
      </w:r>
      <w:r w:rsidR="00EA0655" w:rsidRPr="00095200">
        <w:t>que certaines administrations considèrent la transmission WPT comme une application</w:t>
      </w:r>
      <w:r w:rsidR="005F020D">
        <w:t xml:space="preserve"> industrielle, scientifique et médicale (ISM) </w:t>
      </w:r>
      <w:r w:rsidR="00EA0655" w:rsidRPr="00095200">
        <w:t xml:space="preserve">définie par le RR et appliquent à cette </w:t>
      </w:r>
      <w:r w:rsidR="0084520D" w:rsidRPr="00095200">
        <w:t xml:space="preserve">technique </w:t>
      </w:r>
      <w:r w:rsidR="00EA0655" w:rsidRPr="00095200">
        <w:t>leur réglementation actuelle relative aux applications et appareils ISM;</w:t>
      </w:r>
    </w:p>
    <w:p w14:paraId="6DE8BFE7" w14:textId="77151841" w:rsidR="00FE3622" w:rsidRPr="00095200" w:rsidRDefault="00FE3622" w:rsidP="00FE3622">
      <w:pPr>
        <w:rPr>
          <w:i/>
          <w:iCs/>
        </w:rPr>
      </w:pPr>
      <w:r w:rsidRPr="00095200">
        <w:rPr>
          <w:i/>
          <w:iCs/>
        </w:rPr>
        <w:t>e)</w:t>
      </w:r>
      <w:r w:rsidRPr="00095200">
        <w:rPr>
          <w:i/>
          <w:iCs/>
        </w:rPr>
        <w:tab/>
      </w:r>
      <w:r w:rsidR="00716C16" w:rsidRPr="00F310A6">
        <w:t>que certaines administrations considèrent l</w:t>
      </w:r>
      <w:r w:rsidR="00716C16" w:rsidRPr="00095200">
        <w:t>es</w:t>
      </w:r>
      <w:r w:rsidR="00716C16" w:rsidRPr="00F310A6">
        <w:t xml:space="preserve"> </w:t>
      </w:r>
      <w:r w:rsidR="00716C16" w:rsidRPr="00095200">
        <w:t xml:space="preserve">appareils </w:t>
      </w:r>
      <w:r w:rsidR="00716C16" w:rsidRPr="00F310A6">
        <w:t>WPT</w:t>
      </w:r>
      <w:r w:rsidR="00716C16" w:rsidRPr="00095200">
        <w:t xml:space="preserve"> comme des dispositifs de radiocommunication à courte portée (SRD) et appliquent à ces équipements leur réglementation actuelle </w:t>
      </w:r>
      <w:r w:rsidR="00FA0618" w:rsidRPr="00095200">
        <w:t>relative aux</w:t>
      </w:r>
      <w:r w:rsidR="00716C16" w:rsidRPr="00095200">
        <w:t xml:space="preserve"> SRD, même si de tels dispositifs ne sont pas définis dans le RR et sont simplement examinés dans certaines Recommandations et certains rapports UIT-R;</w:t>
      </w:r>
    </w:p>
    <w:p w14:paraId="6922B52E" w14:textId="7D5C8DB0" w:rsidR="00FE3622" w:rsidRPr="00095200" w:rsidRDefault="00FE3622" w:rsidP="00FE3622">
      <w:pPr>
        <w:rPr>
          <w:i/>
          <w:iCs/>
        </w:rPr>
      </w:pPr>
      <w:r w:rsidRPr="00095200">
        <w:rPr>
          <w:i/>
          <w:iCs/>
        </w:rPr>
        <w:t>f)</w:t>
      </w:r>
      <w:r w:rsidRPr="00095200">
        <w:rPr>
          <w:i/>
          <w:iCs/>
        </w:rPr>
        <w:tab/>
      </w:r>
      <w:r w:rsidR="00716C16" w:rsidRPr="00095200">
        <w:t xml:space="preserve">que, pour éviter </w:t>
      </w:r>
      <w:r w:rsidR="00ED318F" w:rsidRPr="00095200">
        <w:t>que</w:t>
      </w:r>
      <w:r w:rsidR="00716C16" w:rsidRPr="00095200">
        <w:t xml:space="preserve"> des brouillages préjudiciables </w:t>
      </w:r>
      <w:r w:rsidR="00ED318F" w:rsidRPr="00095200">
        <w:t xml:space="preserve">soient causés </w:t>
      </w:r>
      <w:r w:rsidR="00716C16" w:rsidRPr="00095200">
        <w:t>aux services de radiocommunication, certain</w:t>
      </w:r>
      <w:r w:rsidR="009257A0" w:rsidRPr="00095200">
        <w:t>e</w:t>
      </w:r>
      <w:r w:rsidR="00716C16" w:rsidRPr="00095200">
        <w:t xml:space="preserve">s administrations </w:t>
      </w:r>
      <w:r w:rsidR="00ED318F" w:rsidRPr="00095200">
        <w:t>considèrent l</w:t>
      </w:r>
      <w:r w:rsidR="001B0960" w:rsidRPr="00095200">
        <w:t>'</w:t>
      </w:r>
      <w:r w:rsidR="00ED318F" w:rsidRPr="00095200">
        <w:t>exploitation de certaines applications</w:t>
      </w:r>
      <w:r w:rsidR="00F310A6">
        <w:t> </w:t>
      </w:r>
      <w:r w:rsidR="00ED318F" w:rsidRPr="00095200">
        <w:t>WPT comme un service de radiocommunication non défini dans le RR</w:t>
      </w:r>
      <w:r w:rsidR="00AD05E1">
        <w:t>,</w:t>
      </w:r>
    </w:p>
    <w:p w14:paraId="065AC369" w14:textId="549E8E9C" w:rsidR="00FE3622" w:rsidRPr="00095200" w:rsidRDefault="00FE3622" w:rsidP="002274D8">
      <w:pPr>
        <w:pStyle w:val="Call"/>
      </w:pPr>
      <w:r w:rsidRPr="00095200">
        <w:t>notant</w:t>
      </w:r>
    </w:p>
    <w:p w14:paraId="2901F560" w14:textId="4605859F" w:rsidR="00FE3622" w:rsidRPr="00095200" w:rsidRDefault="00FE3622" w:rsidP="00F310A6">
      <w:r w:rsidRPr="00095200">
        <w:rPr>
          <w:i/>
          <w:iCs/>
        </w:rPr>
        <w:t>a)</w:t>
      </w:r>
      <w:r w:rsidRPr="00095200">
        <w:tab/>
      </w:r>
      <w:r w:rsidR="00ED318F" w:rsidRPr="00095200">
        <w:t>que la CE 1 de l</w:t>
      </w:r>
      <w:r w:rsidR="001B0960" w:rsidRPr="00095200">
        <w:t>'</w:t>
      </w:r>
      <w:r w:rsidR="00ED318F" w:rsidRPr="00095200">
        <w:t xml:space="preserve">UIT-R étudie, sur la base de la Question UIT-R 210/1, </w:t>
      </w:r>
      <w:r w:rsidRPr="00095200">
        <w:t>les exigences techniques et opérationnelles propres à garantir la protection des services de radiocommunication contre les brouillages préjudiciables causés par la transmission WPT</w:t>
      </w:r>
      <w:r w:rsidR="00ED318F" w:rsidRPr="00095200">
        <w:t>;</w:t>
      </w:r>
    </w:p>
    <w:p w14:paraId="6C1221A9" w14:textId="2F63A5DF" w:rsidR="00FE3622" w:rsidRPr="00095200" w:rsidRDefault="00FE3622" w:rsidP="00FE3622">
      <w:r w:rsidRPr="00095200">
        <w:rPr>
          <w:i/>
          <w:iCs/>
        </w:rPr>
        <w:lastRenderedPageBreak/>
        <w:t>b)</w:t>
      </w:r>
      <w:r w:rsidRPr="00095200">
        <w:rPr>
          <w:i/>
          <w:iCs/>
        </w:rPr>
        <w:tab/>
      </w:r>
      <w:r w:rsidR="00ED318F" w:rsidRPr="00095200">
        <w:t xml:space="preserve">que les Recommandations UIT-R relatives aux gammes de fréquences pour </w:t>
      </w:r>
      <w:r w:rsidR="005336F3" w:rsidRPr="00095200">
        <w:t xml:space="preserve">la transmission WPT (Recommandations UIT-R </w:t>
      </w:r>
      <w:r w:rsidR="005336F3" w:rsidRPr="00095200">
        <w:rPr>
          <w:rFonts w:eastAsia="MS Mincho"/>
          <w:lang w:eastAsia="ja-JP"/>
        </w:rPr>
        <w:t xml:space="preserve">SM.2110-1, SM.2129-0 et SM.2151-0) ont été approuvées </w:t>
      </w:r>
      <w:r w:rsidR="00FA0618" w:rsidRPr="00095200">
        <w:rPr>
          <w:rFonts w:eastAsia="MS Mincho"/>
          <w:lang w:eastAsia="ja-JP"/>
        </w:rPr>
        <w:t xml:space="preserve">et </w:t>
      </w:r>
      <w:r w:rsidR="005336F3" w:rsidRPr="00095200">
        <w:rPr>
          <w:rFonts w:eastAsia="MS Mincho"/>
          <w:lang w:eastAsia="ja-JP"/>
        </w:rPr>
        <w:t>que l</w:t>
      </w:r>
      <w:r w:rsidR="001B0960" w:rsidRPr="00095200">
        <w:rPr>
          <w:rFonts w:eastAsia="MS Mincho"/>
          <w:lang w:eastAsia="ja-JP"/>
        </w:rPr>
        <w:t>'</w:t>
      </w:r>
      <w:r w:rsidR="005336F3" w:rsidRPr="00095200">
        <w:rPr>
          <w:rFonts w:eastAsia="MS Mincho"/>
          <w:lang w:eastAsia="ja-JP"/>
        </w:rPr>
        <w:t xml:space="preserve">UIT-R poursuit ses études sur diverses applications et </w:t>
      </w:r>
      <w:r w:rsidR="0084520D" w:rsidRPr="00095200">
        <w:rPr>
          <w:rFonts w:eastAsia="MS Mincho"/>
          <w:lang w:eastAsia="ja-JP"/>
        </w:rPr>
        <w:t>techniques</w:t>
      </w:r>
      <w:r w:rsidR="005336F3" w:rsidRPr="00095200">
        <w:rPr>
          <w:rFonts w:eastAsia="MS Mincho"/>
          <w:lang w:eastAsia="ja-JP"/>
        </w:rPr>
        <w:t xml:space="preserve"> WPT</w:t>
      </w:r>
      <w:r w:rsidRPr="00095200">
        <w:t>; et</w:t>
      </w:r>
    </w:p>
    <w:p w14:paraId="2FDFC284" w14:textId="38F3EB72" w:rsidR="00FE3622" w:rsidRPr="00095200" w:rsidRDefault="00FE3622" w:rsidP="00FE3622">
      <w:r w:rsidRPr="00095200">
        <w:rPr>
          <w:i/>
          <w:iCs/>
        </w:rPr>
        <w:t>c)</w:t>
      </w:r>
      <w:r w:rsidRPr="00095200">
        <w:tab/>
      </w:r>
      <w:r w:rsidR="005336F3" w:rsidRPr="00095200">
        <w:t>que les Recommandations UIT-R donnent des indications aux administrations et ne lient pas les États Membres de l</w:t>
      </w:r>
      <w:r w:rsidR="001B0960" w:rsidRPr="00095200">
        <w:t>'</w:t>
      </w:r>
      <w:r w:rsidR="005336F3" w:rsidRPr="00095200">
        <w:t>UIT,</w:t>
      </w:r>
    </w:p>
    <w:p w14:paraId="1579C4D7" w14:textId="08FCB392" w:rsidR="00FE3622" w:rsidRPr="00095200" w:rsidRDefault="00FE3622" w:rsidP="00FE3622">
      <w:pPr>
        <w:pStyle w:val="Call"/>
      </w:pPr>
      <w:r w:rsidRPr="00095200">
        <w:t>décide d</w:t>
      </w:r>
      <w:r w:rsidR="001B0960" w:rsidRPr="00095200">
        <w:t>'</w:t>
      </w:r>
      <w:r w:rsidRPr="00095200">
        <w:t xml:space="preserve">inviter </w:t>
      </w:r>
      <w:r w:rsidR="005336F3" w:rsidRPr="00095200">
        <w:t xml:space="preserve">la </w:t>
      </w:r>
      <w:r w:rsidRPr="00095200">
        <w:t>[CMR-27/CMR-31]</w:t>
      </w:r>
    </w:p>
    <w:p w14:paraId="04092E9C" w14:textId="12E37D73" w:rsidR="00FE3622" w:rsidRPr="00095200" w:rsidRDefault="005336F3" w:rsidP="00FE3622">
      <w:r w:rsidRPr="00095200">
        <w:t>à examiner, compte tenu des résultats des études de l</w:t>
      </w:r>
      <w:r w:rsidR="001B0960" w:rsidRPr="00095200">
        <w:t>'</w:t>
      </w:r>
      <w:r w:rsidRPr="00095200">
        <w:t>UIT-R, les dispositions réglementaires qu</w:t>
      </w:r>
      <w:r w:rsidR="001B0960" w:rsidRPr="00095200">
        <w:t>'</w:t>
      </w:r>
      <w:r w:rsidRPr="00095200">
        <w:t>il serait possible d</w:t>
      </w:r>
      <w:r w:rsidR="001B0960" w:rsidRPr="00095200">
        <w:t>'</w:t>
      </w:r>
      <w:r w:rsidRPr="00095200">
        <w:t>adopter pour éviter que des brouillages préjudiciables soient causés aux services de radiocommunication par la transmission WPT,</w:t>
      </w:r>
    </w:p>
    <w:p w14:paraId="43D25A7B" w14:textId="71499AEA" w:rsidR="00FE3622" w:rsidRPr="00095200" w:rsidRDefault="00FE3622" w:rsidP="002274D8">
      <w:pPr>
        <w:pStyle w:val="Call"/>
      </w:pPr>
      <w:r w:rsidRPr="00095200">
        <w:t>décide d</w:t>
      </w:r>
      <w:r w:rsidR="001B0960" w:rsidRPr="00095200">
        <w:t>'</w:t>
      </w:r>
      <w:r w:rsidRPr="00095200">
        <w:t xml:space="preserve">inviter </w:t>
      </w:r>
      <w:r w:rsidR="00BC67C4" w:rsidRPr="00095200">
        <w:t>l</w:t>
      </w:r>
      <w:r w:rsidR="001B0960" w:rsidRPr="00095200">
        <w:t>'</w:t>
      </w:r>
      <w:r w:rsidR="00BC67C4" w:rsidRPr="00095200">
        <w:t xml:space="preserve">UIT-R à mener et à achever à temps pour la </w:t>
      </w:r>
      <w:r w:rsidRPr="00095200">
        <w:t>CMR-27</w:t>
      </w:r>
    </w:p>
    <w:p w14:paraId="068C6FA4" w14:textId="2A4C59F4" w:rsidR="00FE3622" w:rsidRPr="00095200" w:rsidRDefault="00BC67C4" w:rsidP="002274D8">
      <w:r w:rsidRPr="00095200">
        <w:t>les études techniques, opérationnelles, de partage et de compatibilité, et les études réglementaires éventuelles, en vue d</w:t>
      </w:r>
      <w:r w:rsidR="001B0960" w:rsidRPr="00095200">
        <w:t>'</w:t>
      </w:r>
      <w:r w:rsidRPr="00095200">
        <w:t xml:space="preserve">assurer la protection des services de radiocommunication auxquels la bande de fréquences est attribuée à titre primaire ou secondaire ou des services exploités dans les bandes de fréquences adjacentes et de veiller à ce que les </w:t>
      </w:r>
      <w:r w:rsidR="00FF50D4" w:rsidRPr="00095200">
        <w:t xml:space="preserve">équipements </w:t>
      </w:r>
      <w:r w:rsidRPr="00095200">
        <w:t>WPT</w:t>
      </w:r>
      <w:r w:rsidR="00FF50D4" w:rsidRPr="00095200">
        <w:t xml:space="preserve"> ne demandent pas à être protégés vis-à-vis des services de radiocommunication en question dans les bandes de fréquences suivantes: 19-21 kHz, 55-57 kHz, 63-65 kHz, 79-90 kHz, 100-148,5 kHz, 6 765-6 795 kHz,</w:t>
      </w:r>
      <w:r w:rsidR="001B0960" w:rsidRPr="00095200">
        <w:t xml:space="preserve"> </w:t>
      </w:r>
      <w:r w:rsidR="00222781">
        <w:t>2 410</w:t>
      </w:r>
      <w:r w:rsidR="00222781">
        <w:noBreakHyphen/>
      </w:r>
      <w:r w:rsidR="00FF50D4" w:rsidRPr="00095200">
        <w:t>2 483,5/2 486</w:t>
      </w:r>
      <w:r w:rsidR="001B0960" w:rsidRPr="00095200">
        <w:t> </w:t>
      </w:r>
      <w:r w:rsidR="00FF50D4" w:rsidRPr="00095200">
        <w:t>MHz, 5 725-5 875 MHz</w:t>
      </w:r>
      <w:r w:rsidR="00FA0618" w:rsidRPr="00095200">
        <w:t xml:space="preserve"> et</w:t>
      </w:r>
      <w:r w:rsidR="00FF50D4" w:rsidRPr="00095200">
        <w:t xml:space="preserve"> 61-61,5 GHz,</w:t>
      </w:r>
    </w:p>
    <w:p w14:paraId="25FD5E5E" w14:textId="15D463A9" w:rsidR="00FE3622" w:rsidRPr="00095200" w:rsidRDefault="00FE3622" w:rsidP="002274D8">
      <w:pPr>
        <w:pStyle w:val="Call"/>
      </w:pPr>
      <w:r w:rsidRPr="00095200">
        <w:t>décide d</w:t>
      </w:r>
      <w:r w:rsidR="001B0960" w:rsidRPr="00095200">
        <w:t>'</w:t>
      </w:r>
      <w:r w:rsidRPr="00095200">
        <w:t>encourager les administrations</w:t>
      </w:r>
    </w:p>
    <w:p w14:paraId="7651CD85" w14:textId="4BF0D37A" w:rsidR="00FE3622" w:rsidRPr="00095200" w:rsidRDefault="003D0D20" w:rsidP="00F310A6">
      <w:r w:rsidRPr="00095200">
        <w:t>à participer activement à ces études en soumettant des contributions à l</w:t>
      </w:r>
      <w:r w:rsidR="001B0960" w:rsidRPr="00095200">
        <w:t>'</w:t>
      </w:r>
      <w:r w:rsidRPr="00095200">
        <w:t>UIT-R</w:t>
      </w:r>
      <w:r w:rsidR="00FF50D4" w:rsidRPr="00095200">
        <w:t>,</w:t>
      </w:r>
    </w:p>
    <w:p w14:paraId="17574722" w14:textId="5BD50EA5" w:rsidR="00FE3622" w:rsidRPr="00095200" w:rsidRDefault="003D0D20" w:rsidP="002274D8">
      <w:pPr>
        <w:pStyle w:val="Call"/>
      </w:pPr>
      <w:r w:rsidRPr="00095200">
        <w:t xml:space="preserve">invite les États Membres, les Membres </w:t>
      </w:r>
      <w:r w:rsidR="00FA0618" w:rsidRPr="00095200">
        <w:t xml:space="preserve">du </w:t>
      </w:r>
      <w:r w:rsidRPr="00095200">
        <w:t>Secteur, les établissements universitaires et les Associés</w:t>
      </w:r>
    </w:p>
    <w:p w14:paraId="50D6B344" w14:textId="40E903FE" w:rsidR="00FE3622" w:rsidRPr="00095200" w:rsidRDefault="003D0D20" w:rsidP="002274D8">
      <w:r w:rsidRPr="00095200">
        <w:t>à participer aux études en soumettant des contributions à l</w:t>
      </w:r>
      <w:r w:rsidR="001B0960" w:rsidRPr="00095200">
        <w:t>'</w:t>
      </w:r>
      <w:r w:rsidRPr="00095200">
        <w:t>UIT-R</w:t>
      </w:r>
      <w:r w:rsidR="00222781">
        <w:t>.</w:t>
      </w:r>
    </w:p>
    <w:p w14:paraId="6E9FB4ED" w14:textId="4D4CA67E" w:rsidR="003D0D20" w:rsidRPr="00095200" w:rsidRDefault="0020694E" w:rsidP="00222781">
      <w:pPr>
        <w:pStyle w:val="Reasons"/>
        <w:spacing w:after="240"/>
      </w:pPr>
      <w:r w:rsidRPr="00095200">
        <w:rPr>
          <w:b/>
        </w:rPr>
        <w:t>Motifs:</w:t>
      </w:r>
      <w:r w:rsidRPr="00095200">
        <w:tab/>
      </w:r>
      <w:r w:rsidR="000633D8" w:rsidRPr="00095200">
        <w:t>Proposition de nouveau point à inscrire à l</w:t>
      </w:r>
      <w:r w:rsidR="001B0960" w:rsidRPr="00095200">
        <w:t>'</w:t>
      </w:r>
      <w:r w:rsidR="000633D8" w:rsidRPr="00095200">
        <w:t>ordre du jour de la CMR-27 en vue d</w:t>
      </w:r>
      <w:r w:rsidR="001B0960" w:rsidRPr="00095200">
        <w:t>'</w:t>
      </w:r>
      <w:r w:rsidR="000633D8" w:rsidRPr="00095200">
        <w:t>examiner la transmission d</w:t>
      </w:r>
      <w:r w:rsidR="001B0960" w:rsidRPr="00095200">
        <w:t>'</w:t>
      </w:r>
      <w:r w:rsidR="000633D8" w:rsidRPr="00095200">
        <w:t>énergie sans fil (WPT).</w:t>
      </w:r>
    </w:p>
    <w:tbl>
      <w:tblPr>
        <w:tblStyle w:val="TableGrid"/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536"/>
        <w:gridCol w:w="5187"/>
      </w:tblGrid>
      <w:tr w:rsidR="003D0D20" w:rsidRPr="00095200" w14:paraId="12C29ABB" w14:textId="77777777" w:rsidTr="00BE07EF">
        <w:tc>
          <w:tcPr>
            <w:tcW w:w="9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01496" w14:textId="2FF87018" w:rsidR="003D0D20" w:rsidRPr="00095200" w:rsidRDefault="003D0D20" w:rsidP="00F310A6">
            <w:r w:rsidRPr="00095200">
              <w:rPr>
                <w:b/>
                <w:bCs/>
              </w:rPr>
              <w:t>Objet</w:t>
            </w:r>
            <w:r w:rsidRPr="00ED20B6">
              <w:rPr>
                <w:b/>
                <w:bCs/>
              </w:rPr>
              <w:t xml:space="preserve">: </w:t>
            </w:r>
            <w:r w:rsidR="0084520D" w:rsidRPr="00095200">
              <w:rPr>
                <w:b/>
                <w:bCs/>
              </w:rPr>
              <w:t>Proposition de nouveau point à l</w:t>
            </w:r>
            <w:r w:rsidR="001B0960" w:rsidRPr="00095200">
              <w:rPr>
                <w:b/>
                <w:bCs/>
              </w:rPr>
              <w:t>'</w:t>
            </w:r>
            <w:r w:rsidR="0084520D" w:rsidRPr="00095200">
              <w:rPr>
                <w:b/>
                <w:bCs/>
              </w:rPr>
              <w:t>ordre du jour de la CMR-27 concernant la transmission d</w:t>
            </w:r>
            <w:r w:rsidR="001B0960" w:rsidRPr="00095200">
              <w:rPr>
                <w:b/>
                <w:bCs/>
              </w:rPr>
              <w:t>'</w:t>
            </w:r>
            <w:r w:rsidR="0084520D" w:rsidRPr="00095200">
              <w:rPr>
                <w:b/>
                <w:bCs/>
              </w:rPr>
              <w:t>énergie sans fil (WPT)</w:t>
            </w:r>
          </w:p>
        </w:tc>
      </w:tr>
      <w:tr w:rsidR="003D0D20" w:rsidRPr="00095200" w14:paraId="544D251D" w14:textId="77777777" w:rsidTr="00BE07EF"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6C269" w14:textId="5F603E56" w:rsidR="003D0D20" w:rsidRPr="00095200" w:rsidRDefault="003D0D20" w:rsidP="003D0D20">
            <w:pPr>
              <w:spacing w:line="480" w:lineRule="auto"/>
              <w:rPr>
                <w:b/>
                <w:bCs/>
              </w:rPr>
            </w:pPr>
            <w:r w:rsidRPr="00095200">
              <w:rPr>
                <w:b/>
                <w:bCs/>
              </w:rPr>
              <w:t>Origine: APT</w:t>
            </w:r>
          </w:p>
        </w:tc>
      </w:tr>
      <w:tr w:rsidR="003D0D20" w:rsidRPr="00095200" w14:paraId="4EEFC4B4" w14:textId="77777777" w:rsidTr="00BE07EF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5A3C0" w14:textId="4FD268FF" w:rsidR="003D0D20" w:rsidRPr="00095200" w:rsidRDefault="003D0D20" w:rsidP="00BE07EF">
            <w:r w:rsidRPr="00095200">
              <w:rPr>
                <w:b/>
                <w:bCs/>
                <w:i/>
                <w:iCs/>
              </w:rPr>
              <w:t>Proposition</w:t>
            </w:r>
            <w:r w:rsidRPr="00ED20B6">
              <w:rPr>
                <w:b/>
                <w:bCs/>
              </w:rPr>
              <w:t>:</w:t>
            </w:r>
          </w:p>
          <w:p w14:paraId="3DB7CAE7" w14:textId="01A0097A" w:rsidR="003D0D20" w:rsidRPr="00095200" w:rsidRDefault="0084520D" w:rsidP="00BE07EF">
            <w:pPr>
              <w:rPr>
                <w:b/>
                <w:bCs/>
                <w:i/>
                <w:iCs/>
              </w:rPr>
            </w:pPr>
            <w:r w:rsidRPr="00095200">
              <w:rPr>
                <w:i/>
                <w:iCs/>
              </w:rPr>
              <w:t>Études relatives aux dispositions réglementaires qui pourraient être adoptées pour éviter que des brouillages préjudiciables soient causés aux services de radiocommunication par la transmission d</w:t>
            </w:r>
            <w:r w:rsidR="001B0960" w:rsidRPr="00095200">
              <w:rPr>
                <w:i/>
                <w:iCs/>
              </w:rPr>
              <w:t>'</w:t>
            </w:r>
            <w:r w:rsidRPr="00095200">
              <w:rPr>
                <w:i/>
                <w:iCs/>
              </w:rPr>
              <w:t>énergie sans fil (WPT)</w:t>
            </w:r>
          </w:p>
        </w:tc>
      </w:tr>
      <w:tr w:rsidR="003D0D20" w:rsidRPr="00095200" w14:paraId="251966D0" w14:textId="77777777" w:rsidTr="00BE07EF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9FD7D" w14:textId="77777777" w:rsidR="003D0D20" w:rsidRPr="00095200" w:rsidRDefault="003D0D20" w:rsidP="002274D8">
            <w:r w:rsidRPr="00095200">
              <w:rPr>
                <w:b/>
                <w:bCs/>
              </w:rPr>
              <w:t>Contexte/motif</w:t>
            </w:r>
            <w:r w:rsidRPr="00ED20B6">
              <w:rPr>
                <w:b/>
                <w:bCs/>
              </w:rPr>
              <w:t>:</w:t>
            </w:r>
          </w:p>
          <w:p w14:paraId="0308294C" w14:textId="0D2275D1" w:rsidR="003D0D20" w:rsidRPr="00095200" w:rsidRDefault="00FA0618" w:rsidP="002274D8">
            <w:pPr>
              <w:spacing w:after="120"/>
            </w:pPr>
            <w:r w:rsidRPr="00095200">
              <w:t>Une large gamme</w:t>
            </w:r>
            <w:r w:rsidR="0084520D" w:rsidRPr="00095200">
              <w:t xml:space="preserve"> </w:t>
            </w:r>
            <w:r w:rsidRPr="00095200">
              <w:t xml:space="preserve">de </w:t>
            </w:r>
            <w:r w:rsidR="0084520D" w:rsidRPr="00095200">
              <w:t xml:space="preserve">techniques et </w:t>
            </w:r>
            <w:r w:rsidRPr="00095200">
              <w:t>d</w:t>
            </w:r>
            <w:r w:rsidR="001B0960" w:rsidRPr="00095200">
              <w:t>'</w:t>
            </w:r>
            <w:r w:rsidR="0084520D" w:rsidRPr="00095200">
              <w:t>applications de transmission d</w:t>
            </w:r>
            <w:r w:rsidR="001B0960" w:rsidRPr="00095200">
              <w:t>'</w:t>
            </w:r>
            <w:r w:rsidR="0084520D" w:rsidRPr="00095200">
              <w:t>énergie sans fil</w:t>
            </w:r>
            <w:r w:rsidR="00645687" w:rsidRPr="00095200">
              <w:t xml:space="preserve"> </w:t>
            </w:r>
            <w:r w:rsidR="00AB5367" w:rsidRPr="00095200">
              <w:t>est en cours d</w:t>
            </w:r>
            <w:r w:rsidR="001B0960" w:rsidRPr="00095200">
              <w:t>'</w:t>
            </w:r>
            <w:r w:rsidR="00AB5367" w:rsidRPr="00095200">
              <w:t>évolution</w:t>
            </w:r>
            <w:r w:rsidR="00645687" w:rsidRPr="00095200">
              <w:t xml:space="preserve">, </w:t>
            </w:r>
            <w:r w:rsidR="00AB5367" w:rsidRPr="00095200">
              <w:t>est prévue</w:t>
            </w:r>
            <w:r w:rsidRPr="00095200">
              <w:t xml:space="preserve"> </w:t>
            </w:r>
            <w:r w:rsidR="00645687" w:rsidRPr="00095200">
              <w:t xml:space="preserve">ou </w:t>
            </w:r>
            <w:r w:rsidR="00AB5367" w:rsidRPr="00095200">
              <w:t xml:space="preserve">a </w:t>
            </w:r>
            <w:r w:rsidR="00645687" w:rsidRPr="00095200">
              <w:t>déjà été partiellement mise sur le marché</w:t>
            </w:r>
            <w:r w:rsidR="003D0D20" w:rsidRPr="00095200">
              <w:t>.</w:t>
            </w:r>
          </w:p>
          <w:p w14:paraId="312FAC57" w14:textId="1994BFC8" w:rsidR="003D0D20" w:rsidRPr="00095200" w:rsidRDefault="00645687" w:rsidP="002274D8">
            <w:pPr>
              <w:spacing w:after="120"/>
            </w:pPr>
            <w:r w:rsidRPr="00095200">
              <w:t>Cette proposition est basée sur l</w:t>
            </w:r>
            <w:r w:rsidR="00C3234D" w:rsidRPr="00095200">
              <w:t>a situation réglementaire concernant la transmission WPT décrite ci-après</w:t>
            </w:r>
            <w:r w:rsidR="003D0D20" w:rsidRPr="00095200">
              <w:t>:</w:t>
            </w:r>
          </w:p>
          <w:p w14:paraId="61ABBBC1" w14:textId="2DD2F6E2" w:rsidR="003D0D20" w:rsidRPr="00095200" w:rsidRDefault="003D0D20" w:rsidP="00ED20B6">
            <w:pPr>
              <w:pStyle w:val="enumlev1"/>
            </w:pPr>
            <w:r w:rsidRPr="00095200">
              <w:t>–</w:t>
            </w:r>
            <w:r w:rsidRPr="00095200">
              <w:tab/>
            </w:r>
            <w:r w:rsidR="004823A9" w:rsidRPr="00095200">
              <w:t>É</w:t>
            </w:r>
            <w:r w:rsidR="00C3234D" w:rsidRPr="00095200">
              <w:t>tant donné qu</w:t>
            </w:r>
            <w:r w:rsidR="001B0960" w:rsidRPr="00095200">
              <w:t>'</w:t>
            </w:r>
            <w:r w:rsidR="00C3234D" w:rsidRPr="00095200">
              <w:t>un équipement WPT est manifestement une sorte d</w:t>
            </w:r>
            <w:r w:rsidR="001B0960" w:rsidRPr="00095200">
              <w:t>'</w:t>
            </w:r>
            <w:r w:rsidR="00C3234D" w:rsidRPr="00095200">
              <w:t>appareil ou d</w:t>
            </w:r>
            <w:r w:rsidR="001B0960" w:rsidRPr="00095200">
              <w:t>'</w:t>
            </w:r>
            <w:r w:rsidR="00C3234D" w:rsidRPr="00095200">
              <w:t xml:space="preserve">installation électrique, les numéros </w:t>
            </w:r>
            <w:r w:rsidR="00C3234D" w:rsidRPr="00095200">
              <w:rPr>
                <w:b/>
                <w:bCs/>
              </w:rPr>
              <w:t>15.12</w:t>
            </w:r>
            <w:r w:rsidR="00C3234D" w:rsidRPr="00095200">
              <w:t xml:space="preserve"> et </w:t>
            </w:r>
            <w:r w:rsidR="00C3234D" w:rsidRPr="00095200">
              <w:rPr>
                <w:b/>
                <w:bCs/>
              </w:rPr>
              <w:t>15.13</w:t>
            </w:r>
            <w:r w:rsidR="00C3234D" w:rsidRPr="00ED20B6">
              <w:t xml:space="preserve"> </w:t>
            </w:r>
            <w:r w:rsidR="00C3234D" w:rsidRPr="00095200">
              <w:t>du RR s</w:t>
            </w:r>
            <w:r w:rsidR="001B0960" w:rsidRPr="00095200">
              <w:t>'</w:t>
            </w:r>
            <w:r w:rsidR="00C3234D" w:rsidRPr="00095200">
              <w:t>appliquent et les administrations doivent prendre toutes les mesures pratiques nécessaires pour que l</w:t>
            </w:r>
            <w:r w:rsidR="001B0960" w:rsidRPr="00095200">
              <w:t>'</w:t>
            </w:r>
            <w:r w:rsidR="00C3234D" w:rsidRPr="00095200">
              <w:t>exploitation des équipements WPT ne cause pas de brouillages préjudiciables au</w:t>
            </w:r>
            <w:r w:rsidR="00FA0618" w:rsidRPr="00095200">
              <w:t>x</w:t>
            </w:r>
            <w:r w:rsidR="00C3234D" w:rsidRPr="00095200">
              <w:t xml:space="preserve"> </w:t>
            </w:r>
            <w:r w:rsidR="00C3234D" w:rsidRPr="00095200">
              <w:lastRenderedPageBreak/>
              <w:t>service</w:t>
            </w:r>
            <w:r w:rsidR="00FA0618" w:rsidRPr="00095200">
              <w:t>s</w:t>
            </w:r>
            <w:r w:rsidR="00C3234D" w:rsidRPr="00095200">
              <w:t xml:space="preserve"> de radiocommunication, en particulier au</w:t>
            </w:r>
            <w:r w:rsidR="00AD7C1E" w:rsidRPr="00095200">
              <w:t>x</w:t>
            </w:r>
            <w:r w:rsidR="00C3234D" w:rsidRPr="00095200">
              <w:t xml:space="preserve"> services de radionavigation et autres services de sécurité</w:t>
            </w:r>
            <w:r w:rsidR="004823A9" w:rsidRPr="00095200">
              <w:t>.</w:t>
            </w:r>
          </w:p>
          <w:p w14:paraId="2B0C8B69" w14:textId="43C8C431" w:rsidR="003D0D20" w:rsidRPr="00095200" w:rsidRDefault="003D0D20" w:rsidP="002274D8">
            <w:pPr>
              <w:pStyle w:val="enumlev1"/>
            </w:pPr>
            <w:r w:rsidRPr="00095200">
              <w:t>–</w:t>
            </w:r>
            <w:r w:rsidRPr="00095200">
              <w:tab/>
            </w:r>
            <w:r w:rsidR="004823A9" w:rsidRPr="00095200">
              <w:t>C</w:t>
            </w:r>
            <w:r w:rsidR="00AD7C1E" w:rsidRPr="00095200">
              <w:t xml:space="preserve">ompte tenu de la situation réglementaire internationale actuelle </w:t>
            </w:r>
            <w:r w:rsidR="004823A9" w:rsidRPr="00095200">
              <w:t xml:space="preserve">de </w:t>
            </w:r>
            <w:r w:rsidR="00AD7C1E" w:rsidRPr="00095200">
              <w:t>la transmission</w:t>
            </w:r>
            <w:r w:rsidR="00ED20B6">
              <w:t> </w:t>
            </w:r>
            <w:r w:rsidR="00AD7C1E" w:rsidRPr="00095200">
              <w:t>WPT, de nombreux pays ne disposent pas d</w:t>
            </w:r>
            <w:r w:rsidR="001B0960" w:rsidRPr="00095200">
              <w:t>'</w:t>
            </w:r>
            <w:r w:rsidR="00AD7C1E" w:rsidRPr="00095200">
              <w:t xml:space="preserve">une réglementation suffisante en matière de transmission WPT pour éviter que des brouillages préjudiciables soient causés aux services de radiocommunication, </w:t>
            </w:r>
            <w:r w:rsidR="003E27C3" w:rsidRPr="003E27C3">
              <w:t>il convient donc d'apporter des améliorations à cet égard</w:t>
            </w:r>
            <w:r w:rsidR="00AD7C1E" w:rsidRPr="003E27C3">
              <w:t>.</w:t>
            </w:r>
          </w:p>
          <w:p w14:paraId="794D1071" w14:textId="3E9D643B" w:rsidR="003D0D20" w:rsidRPr="00095200" w:rsidRDefault="003D0D20" w:rsidP="002274D8">
            <w:pPr>
              <w:pStyle w:val="enumlev1"/>
            </w:pPr>
            <w:r w:rsidRPr="00095200">
              <w:t>–</w:t>
            </w:r>
            <w:r w:rsidRPr="00095200">
              <w:tab/>
            </w:r>
            <w:r w:rsidR="00D41F7E" w:rsidRPr="00095200">
              <w:t>Dans les</w:t>
            </w:r>
            <w:r w:rsidR="008204F8" w:rsidRPr="00095200">
              <w:t xml:space="preserve"> Recommandations UIT-R relatives à la transmission WPT</w:t>
            </w:r>
            <w:r w:rsidR="00D41F7E" w:rsidRPr="00095200">
              <w:t>, il est recommandé que les administrations retiennent comme principe directeur l</w:t>
            </w:r>
            <w:r w:rsidR="001B0960" w:rsidRPr="00095200">
              <w:t>'</w:t>
            </w:r>
            <w:r w:rsidR="00D41F7E" w:rsidRPr="00095200">
              <w:t>utilisation des gammes de fréquences, ou de parties de ces gammes, indiquées dans les Recommandations relatives à l</w:t>
            </w:r>
            <w:r w:rsidR="001B0960" w:rsidRPr="00095200">
              <w:t>'</w:t>
            </w:r>
            <w:r w:rsidR="00D41F7E" w:rsidRPr="00095200">
              <w:t>exploitation des systèmes WPT.</w:t>
            </w:r>
          </w:p>
          <w:p w14:paraId="1BFC6539" w14:textId="1F9E0306" w:rsidR="003D0D20" w:rsidRPr="00095200" w:rsidRDefault="003D0D20" w:rsidP="002274D8">
            <w:pPr>
              <w:pStyle w:val="enumlev1"/>
            </w:pPr>
            <w:r w:rsidRPr="00095200">
              <w:t>–</w:t>
            </w:r>
            <w:r w:rsidRPr="00095200">
              <w:tab/>
            </w:r>
            <w:r w:rsidR="00D41F7E" w:rsidRPr="00095200">
              <w:t>Les gammes de fréquences indiquées dans ces Recommandations sont fondées sur les résultats d</w:t>
            </w:r>
            <w:r w:rsidR="001B0960" w:rsidRPr="00095200">
              <w:t>'</w:t>
            </w:r>
            <w:r w:rsidR="00D41F7E" w:rsidRPr="00095200">
              <w:t>études de brouillage compte tenu de la situation de certains pays</w:t>
            </w:r>
            <w:r w:rsidR="003A3330" w:rsidRPr="00095200">
              <w:t>.</w:t>
            </w:r>
          </w:p>
          <w:p w14:paraId="0818F2EA" w14:textId="643FD4E9" w:rsidR="003D0D20" w:rsidRPr="00095200" w:rsidRDefault="004823A9" w:rsidP="002274D8">
            <w:pPr>
              <w:spacing w:after="120"/>
            </w:pPr>
            <w:r w:rsidRPr="00095200">
              <w:t xml:space="preserve">Compte tenu </w:t>
            </w:r>
            <w:r w:rsidR="003A3330" w:rsidRPr="00095200">
              <w:t>de cette situation, l</w:t>
            </w:r>
            <w:r w:rsidR="001B0960" w:rsidRPr="00095200">
              <w:t>'</w:t>
            </w:r>
            <w:r w:rsidR="003A3330" w:rsidRPr="00095200">
              <w:t>APT propose d</w:t>
            </w:r>
            <w:r w:rsidR="001B0960" w:rsidRPr="00095200">
              <w:t>'</w:t>
            </w:r>
            <w:r w:rsidR="003A3330" w:rsidRPr="00095200">
              <w:t>inscrire le nouveau point suivant à l</w:t>
            </w:r>
            <w:r w:rsidR="001B0960" w:rsidRPr="00095200">
              <w:t>'</w:t>
            </w:r>
            <w:r w:rsidR="003A3330" w:rsidRPr="00095200">
              <w:t>ordre du jour de la CMR-27</w:t>
            </w:r>
            <w:r w:rsidR="003D0D20" w:rsidRPr="00095200">
              <w:t>:</w:t>
            </w:r>
          </w:p>
          <w:p w14:paraId="67182A3D" w14:textId="1421CF7F" w:rsidR="003D0D20" w:rsidRPr="00095200" w:rsidRDefault="003D0D20" w:rsidP="002274D8">
            <w:pPr>
              <w:pStyle w:val="enumlev1"/>
            </w:pPr>
            <w:r w:rsidRPr="00095200">
              <w:t>–</w:t>
            </w:r>
            <w:r w:rsidRPr="00095200">
              <w:tab/>
            </w:r>
            <w:r w:rsidR="003A3330" w:rsidRPr="00095200">
              <w:t>Études relatives aux dispositions réglementaires qui pourraient être adoptées pour éviter que des brouillages préjudiciables soient causés aux services de radiocommunication par la transmission d</w:t>
            </w:r>
            <w:r w:rsidR="001B0960" w:rsidRPr="00095200">
              <w:t>'</w:t>
            </w:r>
            <w:r w:rsidR="003A3330" w:rsidRPr="00095200">
              <w:t>énergie sans fil (WPT)</w:t>
            </w:r>
          </w:p>
        </w:tc>
      </w:tr>
      <w:tr w:rsidR="003D0D20" w:rsidRPr="00095200" w14:paraId="77D3EC2F" w14:textId="77777777" w:rsidTr="00BE07EF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A0EAE" w14:textId="77777777" w:rsidR="003D0D20" w:rsidRPr="00095200" w:rsidRDefault="003D0D20" w:rsidP="002274D8">
            <w:r w:rsidRPr="00095200">
              <w:rPr>
                <w:b/>
                <w:bCs/>
                <w:i/>
                <w:iCs/>
              </w:rPr>
              <w:lastRenderedPageBreak/>
              <w:t>Services de radiocommunication concernés</w:t>
            </w:r>
            <w:r w:rsidRPr="00095200">
              <w:rPr>
                <w:b/>
                <w:bCs/>
              </w:rPr>
              <w:t>:</w:t>
            </w:r>
          </w:p>
          <w:p w14:paraId="3FAD5648" w14:textId="02DE8307" w:rsidR="003D0D20" w:rsidRPr="00095200" w:rsidRDefault="00690358" w:rsidP="002274D8">
            <w:pPr>
              <w:pStyle w:val="enumlev1"/>
              <w:tabs>
                <w:tab w:val="clear" w:pos="1134"/>
                <w:tab w:val="left" w:pos="602"/>
              </w:tabs>
              <w:rPr>
                <w:bCs/>
              </w:rPr>
            </w:pPr>
            <w:r w:rsidRPr="00095200">
              <w:rPr>
                <w:bCs/>
              </w:rPr>
              <w:t>Tous les services de radiocommunication et les services de radioastronomie</w:t>
            </w:r>
          </w:p>
        </w:tc>
      </w:tr>
      <w:tr w:rsidR="003D0D20" w:rsidRPr="00095200" w14:paraId="3D9CA6D9" w14:textId="77777777" w:rsidTr="00BE07EF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B3B9" w14:textId="77777777" w:rsidR="003D0D20" w:rsidRPr="00095200" w:rsidRDefault="003D0D20" w:rsidP="002274D8">
            <w:r w:rsidRPr="00095200">
              <w:rPr>
                <w:b/>
                <w:bCs/>
                <w:i/>
                <w:iCs/>
              </w:rPr>
              <w:t>Indication des difficultés éventuelles</w:t>
            </w:r>
            <w:r w:rsidRPr="00095200">
              <w:rPr>
                <w:b/>
                <w:bCs/>
              </w:rPr>
              <w:t>:</w:t>
            </w:r>
          </w:p>
          <w:p w14:paraId="2F9D38E6" w14:textId="17CB0F8D" w:rsidR="003D0D20" w:rsidRPr="00095200" w:rsidRDefault="003D0D20" w:rsidP="00F310A6">
            <w:pPr>
              <w:rPr>
                <w:b/>
                <w:i/>
              </w:rPr>
            </w:pPr>
            <w:r w:rsidRPr="00095200">
              <w:rPr>
                <w:rFonts w:eastAsia="SimSun"/>
                <w:kern w:val="2"/>
                <w:szCs w:val="24"/>
                <w:lang w:eastAsia="ko-KR"/>
              </w:rPr>
              <w:t>Aucune.</w:t>
            </w:r>
          </w:p>
        </w:tc>
      </w:tr>
      <w:tr w:rsidR="003D0D20" w:rsidRPr="00095200" w14:paraId="1E791DDC" w14:textId="77777777" w:rsidTr="00BE07EF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99DC3" w14:textId="77777777" w:rsidR="003D0D20" w:rsidRPr="00095200" w:rsidRDefault="003D0D20" w:rsidP="002274D8">
            <w:r w:rsidRPr="00095200">
              <w:rPr>
                <w:b/>
                <w:bCs/>
                <w:i/>
                <w:iCs/>
              </w:rPr>
              <w:t>Études précédentes ou en cours sur la question</w:t>
            </w:r>
            <w:r w:rsidRPr="00095200">
              <w:rPr>
                <w:b/>
                <w:bCs/>
              </w:rPr>
              <w:t>:</w:t>
            </w:r>
          </w:p>
          <w:p w14:paraId="567B81DC" w14:textId="66FC838F" w:rsidR="003D0D20" w:rsidRPr="00095200" w:rsidRDefault="00690358" w:rsidP="00A476DC">
            <w:pPr>
              <w:rPr>
                <w:rFonts w:eastAsia="Malgun Gothic"/>
                <w:lang w:eastAsia="ko-KR"/>
              </w:rPr>
            </w:pPr>
            <w:r w:rsidRPr="00095200">
              <w:rPr>
                <w:rFonts w:eastAsia="Malgun Gothic"/>
                <w:lang w:eastAsia="ko-KR"/>
              </w:rPr>
              <w:t xml:space="preserve">La CMR-15 a approuvé la Résolution 958 relative </w:t>
            </w:r>
            <w:r w:rsidR="003F1705" w:rsidRPr="00095200">
              <w:rPr>
                <w:rFonts w:eastAsia="Malgun Gothic"/>
                <w:lang w:eastAsia="ko-KR"/>
              </w:rPr>
              <w:t xml:space="preserve">aux </w:t>
            </w:r>
            <w:r w:rsidRPr="00F310A6">
              <w:rPr>
                <w:rFonts w:eastAsia="Malgun Gothic"/>
                <w:lang w:eastAsia="ko-KR"/>
              </w:rPr>
              <w:t xml:space="preserve">études </w:t>
            </w:r>
            <w:r w:rsidR="003F1705" w:rsidRPr="00095200">
              <w:rPr>
                <w:rFonts w:eastAsia="Malgun Gothic"/>
                <w:lang w:eastAsia="ko-KR"/>
              </w:rPr>
              <w:t>à entreprendre d</w:t>
            </w:r>
            <w:r w:rsidR="001B0960" w:rsidRPr="00095200">
              <w:rPr>
                <w:rFonts w:eastAsia="Malgun Gothic"/>
                <w:lang w:eastAsia="ko-KR"/>
              </w:rPr>
              <w:t>'</w:t>
            </w:r>
            <w:r w:rsidR="003F1705" w:rsidRPr="00095200">
              <w:rPr>
                <w:rFonts w:eastAsia="Malgun Gothic"/>
                <w:lang w:eastAsia="ko-KR"/>
              </w:rPr>
              <w:t xml:space="preserve">urgence en vue de </w:t>
            </w:r>
            <w:r w:rsidR="003F1705" w:rsidRPr="00095200">
              <w:rPr>
                <w:rFonts w:eastAsia="Malgun Gothic"/>
              </w:rPr>
              <w:t xml:space="preserve">la CMR-19 en ce qui concerne </w:t>
            </w:r>
            <w:r w:rsidRPr="00095200">
              <w:rPr>
                <w:rFonts w:eastAsia="Malgun Gothic"/>
              </w:rPr>
              <w:t>la transmission WPT pour les véhicules électrique</w:t>
            </w:r>
            <w:r w:rsidR="003F1705" w:rsidRPr="00095200">
              <w:rPr>
                <w:rFonts w:eastAsia="Malgun Gothic"/>
              </w:rPr>
              <w:t>s</w:t>
            </w:r>
            <w:r w:rsidRPr="00095200">
              <w:rPr>
                <w:rFonts w:eastAsia="Malgun Gothic"/>
              </w:rPr>
              <w:t>.</w:t>
            </w:r>
            <w:r w:rsidR="003F1705" w:rsidRPr="00095200">
              <w:t xml:space="preserve"> </w:t>
            </w:r>
            <w:r w:rsidR="003F1705" w:rsidRPr="00095200">
              <w:rPr>
                <w:rFonts w:eastAsia="Malgun Gothic"/>
              </w:rPr>
              <w:t>Toutefois, la</w:t>
            </w:r>
            <w:r w:rsidR="007F7293">
              <w:rPr>
                <w:rFonts w:eastAsia="Malgun Gothic"/>
              </w:rPr>
              <w:t> </w:t>
            </w:r>
            <w:r w:rsidR="003F1705" w:rsidRPr="00095200">
              <w:rPr>
                <w:rFonts w:eastAsia="Malgun Gothic"/>
              </w:rPr>
              <w:t>CE 1 de l</w:t>
            </w:r>
            <w:r w:rsidR="001B0960" w:rsidRPr="00095200">
              <w:rPr>
                <w:rFonts w:eastAsia="Malgun Gothic"/>
              </w:rPr>
              <w:t>'</w:t>
            </w:r>
            <w:r w:rsidR="003F1705" w:rsidRPr="00095200">
              <w:rPr>
                <w:rFonts w:eastAsia="Malgun Gothic"/>
              </w:rPr>
              <w:t>UIT-R n</w:t>
            </w:r>
            <w:r w:rsidR="001B0960" w:rsidRPr="00095200">
              <w:rPr>
                <w:rFonts w:eastAsia="Malgun Gothic"/>
              </w:rPr>
              <w:t>'</w:t>
            </w:r>
            <w:r w:rsidR="003F1705" w:rsidRPr="00095200">
              <w:rPr>
                <w:rFonts w:eastAsia="Malgun Gothic"/>
              </w:rPr>
              <w:t>a pas pu approuver une Recommandation UIT-R à temps pour la CMR-19.</w:t>
            </w:r>
            <w:r w:rsidR="003F1705" w:rsidRPr="00095200">
              <w:t xml:space="preserve"> </w:t>
            </w:r>
            <w:r w:rsidR="003F1705" w:rsidRPr="00095200">
              <w:rPr>
                <w:rFonts w:eastAsia="Malgun Gothic"/>
              </w:rPr>
              <w:t xml:space="preserve">Par conséquent, </w:t>
            </w:r>
            <w:r w:rsidR="00AB5367" w:rsidRPr="00095200">
              <w:rPr>
                <w:rFonts w:eastAsia="Malgun Gothic"/>
              </w:rPr>
              <w:t>celle-ci</w:t>
            </w:r>
            <w:r w:rsidR="003F1705" w:rsidRPr="00095200">
              <w:rPr>
                <w:rFonts w:eastAsia="Malgun Gothic"/>
              </w:rPr>
              <w:t xml:space="preserve"> a décidé qu</w:t>
            </w:r>
            <w:r w:rsidR="001B0960" w:rsidRPr="00095200">
              <w:rPr>
                <w:rFonts w:eastAsia="Malgun Gothic"/>
              </w:rPr>
              <w:t>'</w:t>
            </w:r>
            <w:r w:rsidR="003F1705" w:rsidRPr="00095200">
              <w:rPr>
                <w:rFonts w:eastAsia="Malgun Gothic"/>
              </w:rPr>
              <w:t>aucune modification du RR n</w:t>
            </w:r>
            <w:r w:rsidR="001B0960" w:rsidRPr="00095200">
              <w:rPr>
                <w:rFonts w:eastAsia="Malgun Gothic"/>
              </w:rPr>
              <w:t>'</w:t>
            </w:r>
            <w:r w:rsidR="003F1705" w:rsidRPr="00095200">
              <w:rPr>
                <w:rFonts w:eastAsia="Malgun Gothic"/>
              </w:rPr>
              <w:t>était nécessaire à la CMR-19 et a recommandé à l</w:t>
            </w:r>
            <w:r w:rsidR="001B0960" w:rsidRPr="00095200">
              <w:rPr>
                <w:rFonts w:eastAsia="Malgun Gothic"/>
              </w:rPr>
              <w:t>'</w:t>
            </w:r>
            <w:r w:rsidR="003F1705" w:rsidRPr="00095200">
              <w:rPr>
                <w:rFonts w:eastAsia="Malgun Gothic"/>
              </w:rPr>
              <w:t>UIT-R de poursuivre ses études sur la transmission WPT.</w:t>
            </w:r>
          </w:p>
          <w:p w14:paraId="6D5B925A" w14:textId="2AD8534F" w:rsidR="003D0D20" w:rsidRPr="00095200" w:rsidRDefault="003F1705" w:rsidP="00F310A6">
            <w:pPr>
              <w:rPr>
                <w:rFonts w:eastAsia="Malgun Gothic"/>
              </w:rPr>
            </w:pPr>
            <w:r w:rsidRPr="00095200">
              <w:rPr>
                <w:rFonts w:eastAsia="Malgun Gothic"/>
              </w:rPr>
              <w:t>Depuis lors, trois Recommandations UIT-R ont été approuvées concernant les gammes de fréquences pour différents types d</w:t>
            </w:r>
            <w:r w:rsidR="001B0960" w:rsidRPr="00095200">
              <w:rPr>
                <w:rFonts w:eastAsia="Malgun Gothic"/>
              </w:rPr>
              <w:t>'</w:t>
            </w:r>
            <w:r w:rsidR="004823A9" w:rsidRPr="00095200">
              <w:rPr>
                <w:rFonts w:eastAsia="Malgun Gothic"/>
              </w:rPr>
              <w:t>équipements</w:t>
            </w:r>
            <w:r w:rsidRPr="00095200">
              <w:rPr>
                <w:rFonts w:eastAsia="Malgun Gothic"/>
              </w:rPr>
              <w:t xml:space="preserve"> WPT: les </w:t>
            </w:r>
            <w:r w:rsidR="003D0D20" w:rsidRPr="00095200">
              <w:rPr>
                <w:rFonts w:eastAsia="Malgun Gothic"/>
              </w:rPr>
              <w:t>Recommandation</w:t>
            </w:r>
            <w:r w:rsidRPr="00095200">
              <w:rPr>
                <w:rFonts w:eastAsia="Malgun Gothic"/>
              </w:rPr>
              <w:t>s</w:t>
            </w:r>
            <w:r w:rsidR="003D0D20" w:rsidRPr="00095200">
              <w:rPr>
                <w:rFonts w:eastAsia="Malgun Gothic"/>
              </w:rPr>
              <w:t xml:space="preserve"> UIT-R SM.2110-1 «Orientations relatives aux gammes de fréquences pour l</w:t>
            </w:r>
            <w:r w:rsidR="001B0960" w:rsidRPr="00095200">
              <w:rPr>
                <w:rFonts w:eastAsia="Malgun Gothic"/>
              </w:rPr>
              <w:t>'</w:t>
            </w:r>
            <w:r w:rsidR="003D0D20" w:rsidRPr="00095200">
              <w:rPr>
                <w:rFonts w:eastAsia="Malgun Gothic"/>
              </w:rPr>
              <w:t>exploitation des systèmes de transmission d</w:t>
            </w:r>
            <w:r w:rsidR="001B0960" w:rsidRPr="00095200">
              <w:rPr>
                <w:rFonts w:eastAsia="Malgun Gothic"/>
              </w:rPr>
              <w:t>'</w:t>
            </w:r>
            <w:r w:rsidR="003D0D20" w:rsidRPr="00095200">
              <w:rPr>
                <w:rFonts w:eastAsia="Malgun Gothic"/>
              </w:rPr>
              <w:t>énergie sans fil n</w:t>
            </w:r>
            <w:r w:rsidR="001B0960" w:rsidRPr="00095200">
              <w:rPr>
                <w:rFonts w:eastAsia="Malgun Gothic"/>
              </w:rPr>
              <w:t>'</w:t>
            </w:r>
            <w:r w:rsidR="003D0D20" w:rsidRPr="00095200">
              <w:rPr>
                <w:rFonts w:eastAsia="Malgun Gothic"/>
              </w:rPr>
              <w:t>utilisant pas de faisceau pour les véhicules électriques», SM.2129</w:t>
            </w:r>
            <w:r w:rsidR="007F7293">
              <w:rPr>
                <w:rFonts w:eastAsia="Malgun Gothic"/>
              </w:rPr>
              <w:noBreakHyphen/>
            </w:r>
            <w:r w:rsidR="003D0D20" w:rsidRPr="00095200">
              <w:rPr>
                <w:rFonts w:eastAsia="Malgun Gothic"/>
              </w:rPr>
              <w:t>0 «</w:t>
            </w:r>
            <w:r w:rsidR="0020694E" w:rsidRPr="00095200">
              <w:rPr>
                <w:rFonts w:eastAsia="Malgun Gothic"/>
              </w:rPr>
              <w:t>Orientations relatives aux gammes de fréquences pour l</w:t>
            </w:r>
            <w:r w:rsidR="001B0960" w:rsidRPr="00095200">
              <w:rPr>
                <w:rFonts w:eastAsia="Malgun Gothic"/>
              </w:rPr>
              <w:t>'</w:t>
            </w:r>
            <w:r w:rsidR="0020694E" w:rsidRPr="00095200">
              <w:rPr>
                <w:rFonts w:eastAsia="Malgun Gothic"/>
              </w:rPr>
              <w:t>exploitation des systèmes de transmission d</w:t>
            </w:r>
            <w:r w:rsidR="001B0960" w:rsidRPr="00095200">
              <w:rPr>
                <w:rFonts w:eastAsia="Malgun Gothic"/>
              </w:rPr>
              <w:t>'</w:t>
            </w:r>
            <w:r w:rsidR="0020694E" w:rsidRPr="00095200">
              <w:rPr>
                <w:rFonts w:eastAsia="Malgun Gothic"/>
              </w:rPr>
              <w:t>énergie sans fil n</w:t>
            </w:r>
            <w:r w:rsidR="001B0960" w:rsidRPr="00095200">
              <w:rPr>
                <w:rFonts w:eastAsia="Malgun Gothic"/>
              </w:rPr>
              <w:t>'</w:t>
            </w:r>
            <w:r w:rsidR="0020694E" w:rsidRPr="00095200">
              <w:rPr>
                <w:rFonts w:eastAsia="Malgun Gothic"/>
              </w:rPr>
              <w:t>utilisant pas de faisceau pour les dispositifs mobiles et portables» et SM.2151-0 «Orientations relatives aux gammes de fréquences pour l</w:t>
            </w:r>
            <w:r w:rsidR="001B0960" w:rsidRPr="00095200">
              <w:rPr>
                <w:rFonts w:eastAsia="Malgun Gothic"/>
              </w:rPr>
              <w:t>'</w:t>
            </w:r>
            <w:r w:rsidR="0020694E" w:rsidRPr="00095200">
              <w:rPr>
                <w:rFonts w:eastAsia="Malgun Gothic"/>
              </w:rPr>
              <w:t>exploitation des systèmes de transmission d</w:t>
            </w:r>
            <w:r w:rsidR="001B0960" w:rsidRPr="00095200">
              <w:rPr>
                <w:rFonts w:eastAsia="Malgun Gothic"/>
              </w:rPr>
              <w:t>'</w:t>
            </w:r>
            <w:r w:rsidR="0020694E" w:rsidRPr="00095200">
              <w:rPr>
                <w:rFonts w:eastAsia="Malgun Gothic"/>
              </w:rPr>
              <w:t>énergie sans fil utilisant des faisceaux radiofréquences pour les dispositifs mobiles/portables et les réseaux de capteurs»</w:t>
            </w:r>
            <w:r w:rsidRPr="00095200">
              <w:rPr>
                <w:rFonts w:eastAsia="Malgun Gothic"/>
              </w:rPr>
              <w:t>.</w:t>
            </w:r>
          </w:p>
          <w:p w14:paraId="1DDC10B1" w14:textId="323D0092" w:rsidR="0020694E" w:rsidRPr="00095200" w:rsidRDefault="00A52407" w:rsidP="00F310A6">
            <w:r w:rsidRPr="00095200">
              <w:t>L</w:t>
            </w:r>
            <w:r w:rsidR="001B0960" w:rsidRPr="00095200">
              <w:t>'</w:t>
            </w:r>
            <w:r w:rsidRPr="00095200">
              <w:t>UIT-R mène actuellement des études sur la transmission WPT, qui traitent de diverses techniques et applications WPT, et d</w:t>
            </w:r>
            <w:r w:rsidR="001B0960" w:rsidRPr="00095200">
              <w:t>'</w:t>
            </w:r>
            <w:r w:rsidRPr="00095200">
              <w:t xml:space="preserve">autres </w:t>
            </w:r>
            <w:r w:rsidR="007F7293" w:rsidRPr="00095200">
              <w:t xml:space="preserve">recommandations </w:t>
            </w:r>
            <w:r w:rsidRPr="00095200">
              <w:t>pourraient être approuvées avant la</w:t>
            </w:r>
            <w:r w:rsidR="007F7293">
              <w:t> </w:t>
            </w:r>
            <w:r w:rsidRPr="00095200">
              <w:t>CMR-27</w:t>
            </w:r>
            <w:r w:rsidR="0020694E" w:rsidRPr="00095200">
              <w:t>.</w:t>
            </w:r>
          </w:p>
        </w:tc>
      </w:tr>
      <w:tr w:rsidR="003D0D20" w:rsidRPr="00095200" w14:paraId="6DE83129" w14:textId="77777777" w:rsidTr="0020694E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B464F" w14:textId="77777777" w:rsidR="003D0D20" w:rsidRPr="00095200" w:rsidRDefault="003D0D20" w:rsidP="002274D8">
            <w:r w:rsidRPr="00095200">
              <w:rPr>
                <w:b/>
                <w:bCs/>
                <w:i/>
                <w:iCs/>
              </w:rPr>
              <w:t>Études devant être réalisées par</w:t>
            </w:r>
            <w:r w:rsidRPr="00095200">
              <w:rPr>
                <w:b/>
                <w:bCs/>
              </w:rPr>
              <w:t>:</w:t>
            </w:r>
          </w:p>
          <w:p w14:paraId="3F44FFD1" w14:textId="50DEC23C" w:rsidR="003D0D20" w:rsidRPr="00095200" w:rsidRDefault="0020694E" w:rsidP="00F310A6">
            <w:pPr>
              <w:rPr>
                <w:bCs/>
                <w:iCs/>
                <w:color w:val="000000"/>
              </w:rPr>
            </w:pPr>
            <w:r w:rsidRPr="00095200">
              <w:rPr>
                <w:bCs/>
                <w:iCs/>
                <w:color w:val="000000"/>
              </w:rPr>
              <w:t>Commission d</w:t>
            </w:r>
            <w:r w:rsidR="001B0960" w:rsidRPr="00095200">
              <w:rPr>
                <w:bCs/>
                <w:iCs/>
                <w:color w:val="000000"/>
              </w:rPr>
              <w:t>'</w:t>
            </w:r>
            <w:r w:rsidRPr="00095200">
              <w:rPr>
                <w:bCs/>
                <w:iCs/>
                <w:color w:val="000000"/>
              </w:rPr>
              <w:t>études</w:t>
            </w:r>
            <w:r w:rsidR="003D0D20" w:rsidRPr="00095200">
              <w:rPr>
                <w:bCs/>
                <w:iCs/>
                <w:color w:val="000000"/>
              </w:rPr>
              <w:t xml:space="preserve"> </w:t>
            </w:r>
            <w:r w:rsidRPr="00095200">
              <w:rPr>
                <w:bCs/>
                <w:iCs/>
                <w:color w:val="000000"/>
              </w:rPr>
              <w:t>1</w:t>
            </w:r>
            <w:r w:rsidR="003D0D20" w:rsidRPr="00095200">
              <w:rPr>
                <w:bCs/>
                <w:iCs/>
                <w:color w:val="000000"/>
              </w:rPr>
              <w:t xml:space="preserve"> de l</w:t>
            </w:r>
            <w:r w:rsidR="001B0960" w:rsidRPr="00095200">
              <w:rPr>
                <w:bCs/>
                <w:iCs/>
                <w:color w:val="000000"/>
              </w:rPr>
              <w:t>'</w:t>
            </w:r>
            <w:r w:rsidR="003D0D20" w:rsidRPr="00095200">
              <w:rPr>
                <w:bCs/>
                <w:iCs/>
                <w:color w:val="000000"/>
              </w:rPr>
              <w:t>UIT-R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6DAD4" w14:textId="77777777" w:rsidR="003D0D20" w:rsidRPr="00095200" w:rsidRDefault="003D0D20" w:rsidP="002274D8">
            <w:pPr>
              <w:rPr>
                <w:b/>
                <w:bCs/>
              </w:rPr>
            </w:pPr>
            <w:r w:rsidRPr="00095200">
              <w:rPr>
                <w:b/>
                <w:bCs/>
                <w:i/>
                <w:iCs/>
              </w:rPr>
              <w:t>avec la participation de</w:t>
            </w:r>
            <w:r w:rsidRPr="00095200">
              <w:rPr>
                <w:b/>
                <w:bCs/>
              </w:rPr>
              <w:t>:</w:t>
            </w:r>
          </w:p>
          <w:p w14:paraId="68D5D20D" w14:textId="614C7C07" w:rsidR="003D0D20" w:rsidRPr="00095200" w:rsidRDefault="003D0D20" w:rsidP="00F310A6">
            <w:pPr>
              <w:rPr>
                <w:iCs/>
                <w:color w:val="000000"/>
              </w:rPr>
            </w:pPr>
            <w:r w:rsidRPr="00095200">
              <w:rPr>
                <w:iCs/>
                <w:color w:val="000000"/>
              </w:rPr>
              <w:t>Administrations</w:t>
            </w:r>
            <w:r w:rsidR="00A52407" w:rsidRPr="00095200">
              <w:rPr>
                <w:iCs/>
                <w:color w:val="000000"/>
              </w:rPr>
              <w:t>,</w:t>
            </w:r>
            <w:r w:rsidRPr="00095200">
              <w:rPr>
                <w:iCs/>
                <w:color w:val="000000"/>
              </w:rPr>
              <w:t xml:space="preserve"> Membres du Secteur</w:t>
            </w:r>
            <w:r w:rsidR="00A52407" w:rsidRPr="00095200">
              <w:rPr>
                <w:iCs/>
                <w:color w:val="000000"/>
              </w:rPr>
              <w:t xml:space="preserve"> et établissements universitaires</w:t>
            </w:r>
          </w:p>
        </w:tc>
      </w:tr>
      <w:tr w:rsidR="0020694E" w:rsidRPr="00095200" w14:paraId="4BC31E91" w14:textId="77777777" w:rsidTr="007F729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0ABF0" w14:textId="77777777" w:rsidR="007F7293" w:rsidRDefault="0020694E" w:rsidP="007F7293">
            <w:pPr>
              <w:rPr>
                <w:b/>
                <w:bCs/>
              </w:rPr>
            </w:pPr>
            <w:r w:rsidRPr="00095200">
              <w:rPr>
                <w:b/>
                <w:bCs/>
                <w:i/>
                <w:iCs/>
              </w:rPr>
              <w:t>Commissions d</w:t>
            </w:r>
            <w:r w:rsidR="001B0960" w:rsidRPr="00095200">
              <w:rPr>
                <w:b/>
                <w:bCs/>
                <w:i/>
                <w:iCs/>
              </w:rPr>
              <w:t>'</w:t>
            </w:r>
            <w:r w:rsidRPr="00095200">
              <w:rPr>
                <w:b/>
                <w:bCs/>
                <w:i/>
                <w:iCs/>
              </w:rPr>
              <w:t>études de l</w:t>
            </w:r>
            <w:r w:rsidR="001B0960" w:rsidRPr="00095200">
              <w:rPr>
                <w:b/>
                <w:bCs/>
                <w:i/>
                <w:iCs/>
              </w:rPr>
              <w:t>'</w:t>
            </w:r>
            <w:r w:rsidRPr="00095200">
              <w:rPr>
                <w:b/>
                <w:bCs/>
                <w:i/>
                <w:iCs/>
              </w:rPr>
              <w:t>UIT-R concernées</w:t>
            </w:r>
            <w:r w:rsidRPr="00095200">
              <w:rPr>
                <w:b/>
                <w:bCs/>
              </w:rPr>
              <w:t>:</w:t>
            </w:r>
          </w:p>
          <w:p w14:paraId="2208EEEF" w14:textId="234801FA" w:rsidR="0020694E" w:rsidRPr="00095200" w:rsidRDefault="0020694E" w:rsidP="007F7293">
            <w:pPr>
              <w:rPr>
                <w:b/>
                <w:bCs/>
                <w:i/>
                <w:iCs/>
              </w:rPr>
            </w:pPr>
            <w:r w:rsidRPr="00095200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lastRenderedPageBreak/>
              <w:t>Commissions d</w:t>
            </w:r>
            <w:r w:rsidR="001B0960" w:rsidRPr="00095200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'</w:t>
            </w:r>
            <w:r w:rsidRPr="00095200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études 3, 4, 5, 6 et 7</w:t>
            </w:r>
          </w:p>
        </w:tc>
      </w:tr>
      <w:tr w:rsidR="0020694E" w:rsidRPr="00095200" w14:paraId="21C92BE2" w14:textId="77777777" w:rsidTr="0020694E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DA24B" w14:textId="525B1497" w:rsidR="0020694E" w:rsidRPr="00095200" w:rsidRDefault="0020694E" w:rsidP="007F7293">
            <w:r w:rsidRPr="00095200">
              <w:rPr>
                <w:b/>
                <w:bCs/>
                <w:i/>
                <w:iCs/>
              </w:rPr>
              <w:lastRenderedPageBreak/>
              <w:t>Répercussions au niveau des ressources de l</w:t>
            </w:r>
            <w:r w:rsidR="001B0960" w:rsidRPr="00095200">
              <w:rPr>
                <w:b/>
                <w:bCs/>
                <w:i/>
                <w:iCs/>
              </w:rPr>
              <w:t>'</w:t>
            </w:r>
            <w:r w:rsidRPr="00095200">
              <w:rPr>
                <w:b/>
                <w:bCs/>
                <w:i/>
                <w:iCs/>
              </w:rPr>
              <w:t>UIT, y compris incidences financières</w:t>
            </w:r>
            <w:r w:rsidRPr="00095200">
              <w:rPr>
                <w:b/>
                <w:bCs/>
                <w:i/>
                <w:iCs/>
              </w:rPr>
              <w:br/>
              <w:t>(voir le numéro 126 de la Convention)</w:t>
            </w:r>
            <w:r w:rsidRPr="00095200">
              <w:rPr>
                <w:b/>
                <w:bCs/>
              </w:rPr>
              <w:t>:</w:t>
            </w:r>
          </w:p>
          <w:p w14:paraId="50E950AF" w14:textId="75CF6D92" w:rsidR="0020694E" w:rsidRPr="00095200" w:rsidRDefault="0020694E" w:rsidP="007F7293">
            <w:pPr>
              <w:rPr>
                <w:b/>
                <w:bCs/>
                <w:i/>
                <w:iCs/>
              </w:rPr>
            </w:pPr>
            <w:r w:rsidRPr="00095200">
              <w:rPr>
                <w:rFonts w:eastAsia="SimSun"/>
                <w:kern w:val="2"/>
                <w:szCs w:val="24"/>
                <w:lang w:eastAsia="zh-CN"/>
              </w:rPr>
              <w:t>Ce projet de point de l</w:t>
            </w:r>
            <w:r w:rsidR="001B0960" w:rsidRPr="00095200">
              <w:rPr>
                <w:rFonts w:eastAsia="SimSun"/>
                <w:kern w:val="2"/>
                <w:szCs w:val="24"/>
                <w:lang w:eastAsia="zh-CN"/>
              </w:rPr>
              <w:t>'</w:t>
            </w:r>
            <w:r w:rsidRPr="00095200">
              <w:rPr>
                <w:rFonts w:eastAsia="SimSun"/>
                <w:kern w:val="2"/>
                <w:szCs w:val="24"/>
                <w:lang w:eastAsia="zh-CN"/>
              </w:rPr>
              <w:t>ordre du jour sera traité dans le cadre des procédures normales et du budget prévu de l</w:t>
            </w:r>
            <w:r w:rsidR="001B0960" w:rsidRPr="00095200">
              <w:rPr>
                <w:rFonts w:eastAsia="SimSun"/>
                <w:kern w:val="2"/>
                <w:szCs w:val="24"/>
                <w:lang w:eastAsia="zh-CN"/>
              </w:rPr>
              <w:t>'</w:t>
            </w:r>
            <w:r w:rsidRPr="00095200">
              <w:rPr>
                <w:rFonts w:eastAsia="SimSun"/>
                <w:kern w:val="2"/>
                <w:szCs w:val="24"/>
                <w:lang w:eastAsia="zh-CN"/>
              </w:rPr>
              <w:t>UIT-R.</w:t>
            </w:r>
          </w:p>
        </w:tc>
      </w:tr>
      <w:tr w:rsidR="0020694E" w:rsidRPr="00095200" w14:paraId="024E66B4" w14:textId="77777777" w:rsidTr="0020694E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B7F20" w14:textId="723A37D5" w:rsidR="0020694E" w:rsidRPr="00095200" w:rsidRDefault="0020694E" w:rsidP="007F7293">
            <w:pPr>
              <w:rPr>
                <w:b/>
                <w:bCs/>
                <w:i/>
                <w:iCs/>
              </w:rPr>
            </w:pPr>
            <w:r w:rsidRPr="00095200">
              <w:rPr>
                <w:b/>
                <w:bCs/>
                <w:i/>
                <w:iCs/>
              </w:rPr>
              <w:t>Proposition régionale commune: [Oui]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ADA3E" w14:textId="7C2E5255" w:rsidR="0020694E" w:rsidRPr="00095200" w:rsidRDefault="0020694E" w:rsidP="007F7293">
            <w:r w:rsidRPr="00095200">
              <w:rPr>
                <w:b/>
                <w:bCs/>
                <w:i/>
                <w:iCs/>
              </w:rPr>
              <w:t>Proposition soumise par plusieurs pays</w:t>
            </w:r>
            <w:r w:rsidRPr="00095200">
              <w:rPr>
                <w:b/>
                <w:bCs/>
              </w:rPr>
              <w:t>:</w:t>
            </w:r>
            <w:r w:rsidRPr="00095200">
              <w:rPr>
                <w:b/>
                <w:bCs/>
                <w:i/>
              </w:rPr>
              <w:t xml:space="preserve"> Non</w:t>
            </w:r>
          </w:p>
          <w:p w14:paraId="33E8BAAE" w14:textId="2C6EB174" w:rsidR="0020694E" w:rsidRPr="00095200" w:rsidRDefault="0020694E" w:rsidP="007F7293">
            <w:pPr>
              <w:spacing w:after="120"/>
              <w:rPr>
                <w:b/>
                <w:bCs/>
                <w:i/>
                <w:iCs/>
              </w:rPr>
            </w:pPr>
            <w:r w:rsidRPr="00095200">
              <w:rPr>
                <w:b/>
                <w:bCs/>
                <w:i/>
                <w:iCs/>
              </w:rPr>
              <w:t>Nombre de pays</w:t>
            </w:r>
            <w:r w:rsidRPr="00095200">
              <w:rPr>
                <w:b/>
                <w:bCs/>
              </w:rPr>
              <w:t>:</w:t>
            </w:r>
            <w:r w:rsidRPr="00095200">
              <w:t xml:space="preserve"> </w:t>
            </w:r>
            <w:r w:rsidR="00A52407" w:rsidRPr="00095200">
              <w:t>À déterminer</w:t>
            </w:r>
          </w:p>
        </w:tc>
      </w:tr>
      <w:tr w:rsidR="0020694E" w:rsidRPr="00095200" w14:paraId="7B133CE8" w14:textId="77777777" w:rsidTr="0020694E">
        <w:tc>
          <w:tcPr>
            <w:tcW w:w="9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86EF5" w14:textId="77777777" w:rsidR="0020694E" w:rsidRPr="00095200" w:rsidRDefault="0020694E" w:rsidP="007F7293">
            <w:r w:rsidRPr="00095200">
              <w:rPr>
                <w:b/>
                <w:bCs/>
                <w:i/>
                <w:iCs/>
              </w:rPr>
              <w:t>Observations</w:t>
            </w:r>
          </w:p>
          <w:p w14:paraId="4FD6B60F" w14:textId="77777777" w:rsidR="0020694E" w:rsidRPr="00095200" w:rsidRDefault="0020694E" w:rsidP="007F7293">
            <w:pPr>
              <w:rPr>
                <w:b/>
                <w:bCs/>
                <w:i/>
                <w:iCs/>
              </w:rPr>
            </w:pPr>
          </w:p>
        </w:tc>
      </w:tr>
    </w:tbl>
    <w:p w14:paraId="5D6619F6" w14:textId="4E060435" w:rsidR="003D0D20" w:rsidRPr="00095200" w:rsidRDefault="0020694E" w:rsidP="0020694E">
      <w:pPr>
        <w:jc w:val="center"/>
      </w:pPr>
      <w:r w:rsidRPr="00095200">
        <w:t>______________</w:t>
      </w:r>
    </w:p>
    <w:sectPr w:rsidR="003D0D20" w:rsidRPr="0009520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DDF4" w14:textId="0B8DAB01" w:rsidR="00552E66" w:rsidRPr="00095200" w:rsidRDefault="00552E66">
      <w:r w:rsidRPr="00095200">
        <w:separator/>
      </w:r>
    </w:p>
    <w:p w14:paraId="200D0098" w14:textId="77777777" w:rsidR="007A0633" w:rsidRPr="00095200" w:rsidRDefault="007A0633"/>
  </w:endnote>
  <w:endnote w:type="continuationSeparator" w:id="0">
    <w:p w14:paraId="28D49C5D" w14:textId="7A49A652" w:rsidR="00552E66" w:rsidRPr="00095200" w:rsidRDefault="00552E66">
      <w:r w:rsidRPr="00095200">
        <w:continuationSeparator/>
      </w:r>
    </w:p>
    <w:p w14:paraId="3C89DBAF" w14:textId="77777777" w:rsidR="007A0633" w:rsidRPr="00095200" w:rsidRDefault="007A0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9693" w14:textId="6518A885" w:rsidR="00936D25" w:rsidRPr="00095200" w:rsidRDefault="00AD05E1">
    <w:fldSimple w:instr=" FILENAME \p  \* MERGEFORMAT ">
      <w:r w:rsidR="00BB1D82" w:rsidRPr="00095200">
        <w:t>Document1</w:t>
      </w:r>
    </w:fldSimple>
    <w:r w:rsidR="00936D25" w:rsidRPr="00095200">
      <w:tab/>
    </w:r>
    <w:r w:rsidR="00936D25" w:rsidRPr="00095200">
      <w:fldChar w:fldCharType="begin"/>
    </w:r>
    <w:r w:rsidR="00936D25" w:rsidRPr="00095200">
      <w:instrText xml:space="preserve"> SAVEDATE \@ DD.MM.YY </w:instrText>
    </w:r>
    <w:r w:rsidR="00936D25" w:rsidRPr="00095200">
      <w:fldChar w:fldCharType="separate"/>
    </w:r>
    <w:r w:rsidR="006A4748">
      <w:rPr>
        <w:noProof/>
      </w:rPr>
      <w:t>23.10.23</w:t>
    </w:r>
    <w:r w:rsidR="00936D25" w:rsidRPr="00095200">
      <w:fldChar w:fldCharType="end"/>
    </w:r>
    <w:r w:rsidR="00936D25" w:rsidRPr="00095200">
      <w:tab/>
    </w:r>
    <w:r w:rsidR="00936D25" w:rsidRPr="00095200">
      <w:fldChar w:fldCharType="begin"/>
    </w:r>
    <w:r w:rsidR="00936D25" w:rsidRPr="00095200">
      <w:instrText xml:space="preserve"> PRINTDATE \@ DD.MM.YY </w:instrText>
    </w:r>
    <w:r w:rsidR="00936D25" w:rsidRPr="00095200">
      <w:fldChar w:fldCharType="separate"/>
    </w:r>
    <w:r w:rsidR="00BB1D82" w:rsidRPr="00095200">
      <w:t>05.06.03</w:t>
    </w:r>
    <w:r w:rsidR="00936D25" w:rsidRPr="000952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2C3E" w14:textId="0957A345" w:rsidR="002274D8" w:rsidRPr="00095200" w:rsidRDefault="002274D8">
    <w:pPr>
      <w:pStyle w:val="Footer"/>
      <w:rPr>
        <w:noProof w:val="0"/>
      </w:rPr>
    </w:pPr>
    <w:r w:rsidRPr="00095200">
      <w:rPr>
        <w:noProof w:val="0"/>
      </w:rPr>
      <w:t>P:\FRA\ITU-R\CONF-R\CMR23\000\062ADD27ADD08F.docx(529001)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69C1" w14:textId="4794C3A5" w:rsidR="00FE3622" w:rsidRPr="00095200" w:rsidRDefault="00936D25" w:rsidP="001A11F6">
    <w:pPr>
      <w:pStyle w:val="Footer"/>
      <w:rPr>
        <w:noProof w:val="0"/>
      </w:rPr>
    </w:pPr>
    <w:r w:rsidRPr="00095200">
      <w:rPr>
        <w:noProof w:val="0"/>
      </w:rPr>
      <w:fldChar w:fldCharType="begin"/>
    </w:r>
    <w:r w:rsidRPr="00095200">
      <w:rPr>
        <w:noProof w:val="0"/>
      </w:rPr>
      <w:instrText xml:space="preserve"> FILENAME \p  \* MERGEFORMAT </w:instrText>
    </w:r>
    <w:r w:rsidRPr="00095200">
      <w:rPr>
        <w:noProof w:val="0"/>
      </w:rPr>
      <w:fldChar w:fldCharType="separate"/>
    </w:r>
    <w:r w:rsidR="00F310A6">
      <w:t>P:\FRA\ITU-R\CONF-R\CMR23\000\062ADD27ADD08F.docx</w:t>
    </w:r>
    <w:r w:rsidRPr="00095200">
      <w:rPr>
        <w:noProof w:val="0"/>
      </w:rPr>
      <w:fldChar w:fldCharType="end"/>
    </w:r>
    <w:r w:rsidR="00FE3622" w:rsidRPr="00095200">
      <w:rPr>
        <w:noProof w:val="0"/>
      </w:rPr>
      <w:t xml:space="preserve"> (529001)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BC42" w14:textId="77777777" w:rsidR="00552E66" w:rsidRPr="00095200" w:rsidRDefault="00552E66">
      <w:r w:rsidRPr="00095200">
        <w:rPr>
          <w:b/>
        </w:rPr>
        <w:t>_______________</w:t>
      </w:r>
    </w:p>
    <w:p w14:paraId="09F5386D" w14:textId="77777777" w:rsidR="007A0633" w:rsidRPr="00095200" w:rsidRDefault="007A0633"/>
  </w:footnote>
  <w:footnote w:type="continuationSeparator" w:id="0">
    <w:p w14:paraId="4458614D" w14:textId="69468071" w:rsidR="00552E66" w:rsidRPr="00095200" w:rsidRDefault="00552E66">
      <w:r w:rsidRPr="00095200">
        <w:continuationSeparator/>
      </w:r>
    </w:p>
    <w:p w14:paraId="1E965264" w14:textId="77777777" w:rsidR="007A0633" w:rsidRPr="00095200" w:rsidRDefault="007A0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138" w14:textId="5D3688F4" w:rsidR="004F1F8E" w:rsidRPr="00095200" w:rsidRDefault="004F1F8E" w:rsidP="004F1F8E">
    <w:pPr>
      <w:pStyle w:val="Header"/>
    </w:pPr>
    <w:r w:rsidRPr="00095200">
      <w:fldChar w:fldCharType="begin"/>
    </w:r>
    <w:r w:rsidRPr="00095200">
      <w:instrText xml:space="preserve"> PAGE </w:instrText>
    </w:r>
    <w:r w:rsidRPr="00095200">
      <w:fldChar w:fldCharType="separate"/>
    </w:r>
    <w:r w:rsidR="007B2C34" w:rsidRPr="00095200">
      <w:t>2</w:t>
    </w:r>
    <w:r w:rsidRPr="00095200">
      <w:fldChar w:fldCharType="end"/>
    </w:r>
  </w:p>
  <w:p w14:paraId="4AF2E063" w14:textId="77777777" w:rsidR="004F1F8E" w:rsidRPr="00095200" w:rsidRDefault="00225CF2" w:rsidP="00FD7AA3">
    <w:pPr>
      <w:pStyle w:val="Header"/>
    </w:pPr>
    <w:r w:rsidRPr="00095200">
      <w:t>WRC</w:t>
    </w:r>
    <w:r w:rsidR="00D3426F" w:rsidRPr="00095200">
      <w:t>23</w:t>
    </w:r>
    <w:r w:rsidR="004F1F8E" w:rsidRPr="00095200">
      <w:t>/</w:t>
    </w:r>
    <w:r w:rsidR="006A4B45" w:rsidRPr="00095200">
      <w:t>62(Add.27)(Add.8)-</w:t>
    </w:r>
    <w:r w:rsidR="00010B43" w:rsidRPr="00095200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03812932">
    <w:abstractNumId w:val="0"/>
  </w:num>
  <w:num w:numId="2" w16cid:durableId="713948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3D8"/>
    <w:rsid w:val="00063A1F"/>
    <w:rsid w:val="00080E2C"/>
    <w:rsid w:val="00081366"/>
    <w:rsid w:val="000863B3"/>
    <w:rsid w:val="00095200"/>
    <w:rsid w:val="000A4755"/>
    <w:rsid w:val="000A55AE"/>
    <w:rsid w:val="000B2E0C"/>
    <w:rsid w:val="000B3D0C"/>
    <w:rsid w:val="001167B9"/>
    <w:rsid w:val="00125580"/>
    <w:rsid w:val="001267A0"/>
    <w:rsid w:val="0015203F"/>
    <w:rsid w:val="00160C64"/>
    <w:rsid w:val="001642CF"/>
    <w:rsid w:val="0018169B"/>
    <w:rsid w:val="0019352B"/>
    <w:rsid w:val="00193952"/>
    <w:rsid w:val="001960D0"/>
    <w:rsid w:val="001A11F6"/>
    <w:rsid w:val="001B0960"/>
    <w:rsid w:val="001F17E8"/>
    <w:rsid w:val="00204306"/>
    <w:rsid w:val="0020694E"/>
    <w:rsid w:val="00222781"/>
    <w:rsid w:val="00225CF2"/>
    <w:rsid w:val="002274D8"/>
    <w:rsid w:val="00232FD2"/>
    <w:rsid w:val="0026554E"/>
    <w:rsid w:val="002A4622"/>
    <w:rsid w:val="002A572D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3330"/>
    <w:rsid w:val="003A583E"/>
    <w:rsid w:val="003D0D20"/>
    <w:rsid w:val="003E112B"/>
    <w:rsid w:val="003E1D1C"/>
    <w:rsid w:val="003E27C3"/>
    <w:rsid w:val="003E7B05"/>
    <w:rsid w:val="003F1705"/>
    <w:rsid w:val="003F3719"/>
    <w:rsid w:val="003F6F2D"/>
    <w:rsid w:val="00447E64"/>
    <w:rsid w:val="00466211"/>
    <w:rsid w:val="004823A9"/>
    <w:rsid w:val="00483196"/>
    <w:rsid w:val="004834A9"/>
    <w:rsid w:val="004D01FC"/>
    <w:rsid w:val="004D7A0E"/>
    <w:rsid w:val="004E28C3"/>
    <w:rsid w:val="004F1F8E"/>
    <w:rsid w:val="00512A32"/>
    <w:rsid w:val="0051351F"/>
    <w:rsid w:val="00532811"/>
    <w:rsid w:val="005336F3"/>
    <w:rsid w:val="005343DA"/>
    <w:rsid w:val="0053539D"/>
    <w:rsid w:val="00552E66"/>
    <w:rsid w:val="00560874"/>
    <w:rsid w:val="00586CF2"/>
    <w:rsid w:val="005939B2"/>
    <w:rsid w:val="005A7C75"/>
    <w:rsid w:val="005C3768"/>
    <w:rsid w:val="005C3BB0"/>
    <w:rsid w:val="005C6C3F"/>
    <w:rsid w:val="005F020D"/>
    <w:rsid w:val="00613635"/>
    <w:rsid w:val="0062093D"/>
    <w:rsid w:val="00637ECF"/>
    <w:rsid w:val="00645687"/>
    <w:rsid w:val="00647B59"/>
    <w:rsid w:val="0068151B"/>
    <w:rsid w:val="006852CC"/>
    <w:rsid w:val="00690358"/>
    <w:rsid w:val="00690C7B"/>
    <w:rsid w:val="006A2C06"/>
    <w:rsid w:val="006A4748"/>
    <w:rsid w:val="006A4B45"/>
    <w:rsid w:val="006D4724"/>
    <w:rsid w:val="006F5FA2"/>
    <w:rsid w:val="0070076C"/>
    <w:rsid w:val="00701BAE"/>
    <w:rsid w:val="00716C16"/>
    <w:rsid w:val="00721F04"/>
    <w:rsid w:val="00730E95"/>
    <w:rsid w:val="007426B9"/>
    <w:rsid w:val="0076101E"/>
    <w:rsid w:val="00764342"/>
    <w:rsid w:val="0077115C"/>
    <w:rsid w:val="00774362"/>
    <w:rsid w:val="00786598"/>
    <w:rsid w:val="00790C74"/>
    <w:rsid w:val="007A04E8"/>
    <w:rsid w:val="007A0633"/>
    <w:rsid w:val="007B2C34"/>
    <w:rsid w:val="007F282B"/>
    <w:rsid w:val="007F7293"/>
    <w:rsid w:val="008204F8"/>
    <w:rsid w:val="00830086"/>
    <w:rsid w:val="008326B0"/>
    <w:rsid w:val="0084520D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257A0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D402B"/>
    <w:rsid w:val="00A00473"/>
    <w:rsid w:val="00A03C9B"/>
    <w:rsid w:val="00A37105"/>
    <w:rsid w:val="00A476DC"/>
    <w:rsid w:val="00A52407"/>
    <w:rsid w:val="00A606C3"/>
    <w:rsid w:val="00A83B09"/>
    <w:rsid w:val="00A84541"/>
    <w:rsid w:val="00AB5367"/>
    <w:rsid w:val="00AD05E1"/>
    <w:rsid w:val="00AD7C1E"/>
    <w:rsid w:val="00AE36A0"/>
    <w:rsid w:val="00B00294"/>
    <w:rsid w:val="00B3749C"/>
    <w:rsid w:val="00B64FD0"/>
    <w:rsid w:val="00BA5BD0"/>
    <w:rsid w:val="00BB1D82"/>
    <w:rsid w:val="00BC217E"/>
    <w:rsid w:val="00BC67C4"/>
    <w:rsid w:val="00BD51C5"/>
    <w:rsid w:val="00BF26E7"/>
    <w:rsid w:val="00C1305F"/>
    <w:rsid w:val="00C3234D"/>
    <w:rsid w:val="00C43DCE"/>
    <w:rsid w:val="00C53FCA"/>
    <w:rsid w:val="00C71DEB"/>
    <w:rsid w:val="00C76BAF"/>
    <w:rsid w:val="00C814B9"/>
    <w:rsid w:val="00CB685A"/>
    <w:rsid w:val="00CC1578"/>
    <w:rsid w:val="00CD516F"/>
    <w:rsid w:val="00D119A7"/>
    <w:rsid w:val="00D25FBA"/>
    <w:rsid w:val="00D32B28"/>
    <w:rsid w:val="00D3426F"/>
    <w:rsid w:val="00D41F7E"/>
    <w:rsid w:val="00D42954"/>
    <w:rsid w:val="00D6291A"/>
    <w:rsid w:val="00D66EAC"/>
    <w:rsid w:val="00D730DF"/>
    <w:rsid w:val="00D772F0"/>
    <w:rsid w:val="00D77BDC"/>
    <w:rsid w:val="00D8133C"/>
    <w:rsid w:val="00DA2D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0655"/>
    <w:rsid w:val="00EA3F38"/>
    <w:rsid w:val="00EA5AB6"/>
    <w:rsid w:val="00EC730E"/>
    <w:rsid w:val="00EC7615"/>
    <w:rsid w:val="00ED16AA"/>
    <w:rsid w:val="00ED20B6"/>
    <w:rsid w:val="00ED318F"/>
    <w:rsid w:val="00ED6B8D"/>
    <w:rsid w:val="00EE3D7B"/>
    <w:rsid w:val="00EF662E"/>
    <w:rsid w:val="00F10064"/>
    <w:rsid w:val="00F148F1"/>
    <w:rsid w:val="00F300DD"/>
    <w:rsid w:val="00F310A6"/>
    <w:rsid w:val="00F711A7"/>
    <w:rsid w:val="00FA0618"/>
    <w:rsid w:val="00FA33B9"/>
    <w:rsid w:val="00FA3BBF"/>
    <w:rsid w:val="00FC41F8"/>
    <w:rsid w:val="00FD7AA3"/>
    <w:rsid w:val="00FE3622"/>
    <w:rsid w:val="00FF1C40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93BC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3D0D20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C43DCE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5353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53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539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539D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794C4-7726-40AF-ABFB-E87384C774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B06C95-6C16-4C9E-A06D-BB3D4000EFE3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32a1a8c5-2265-4ebc-b7a0-2071e2c5c9bb"/>
    <ds:schemaRef ds:uri="996b2e75-67fd-4955-a3b0-5ab9934cb50b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5A0BB-D3E9-4777-BEEC-2303711A7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1462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R23-WRC23-C-0062!A27-A8!MSW-F</vt:lpstr>
    </vt:vector>
  </TitlesOfParts>
  <Manager>Secrétariat général - Pool</Manager>
  <Company>Union internationale des télécommunications (UIT)</Company>
  <LinksUpToDate>false</LinksUpToDate>
  <CharactersWithSpaces>10277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14</cp:revision>
  <cp:lastPrinted>2003-06-05T19:34:00Z</cp:lastPrinted>
  <dcterms:created xsi:type="dcterms:W3CDTF">2023-10-23T05:50:00Z</dcterms:created>
  <dcterms:modified xsi:type="dcterms:W3CDTF">2023-10-23T09:05:00Z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