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D7D4B" w14:paraId="2BEE3DFF" w14:textId="77777777" w:rsidTr="00F320AA">
        <w:trPr>
          <w:cantSplit/>
        </w:trPr>
        <w:tc>
          <w:tcPr>
            <w:tcW w:w="1418" w:type="dxa"/>
            <w:vAlign w:val="center"/>
          </w:tcPr>
          <w:p w14:paraId="5FF9ADF7" w14:textId="77777777" w:rsidR="00F320AA" w:rsidRPr="007D7D4B" w:rsidRDefault="00F320AA" w:rsidP="00F320AA">
            <w:pPr>
              <w:spacing w:before="0"/>
              <w:rPr>
                <w:rFonts w:ascii="Verdana" w:hAnsi="Verdana"/>
                <w:position w:val="6"/>
              </w:rPr>
            </w:pPr>
            <w:r w:rsidRPr="007D7D4B">
              <w:rPr>
                <w:noProof/>
              </w:rPr>
              <w:drawing>
                <wp:inline distT="0" distB="0" distL="0" distR="0" wp14:anchorId="788E9ED7" wp14:editId="1270940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93C6D5" w14:textId="77777777" w:rsidR="00F320AA" w:rsidRPr="007D7D4B" w:rsidRDefault="00F320AA" w:rsidP="00F320AA">
            <w:pPr>
              <w:spacing w:before="400" w:after="48" w:line="240" w:lineRule="atLeast"/>
              <w:rPr>
                <w:rFonts w:ascii="Verdana" w:hAnsi="Verdana"/>
                <w:position w:val="6"/>
              </w:rPr>
            </w:pPr>
            <w:r w:rsidRPr="007D7D4B">
              <w:rPr>
                <w:rFonts w:ascii="Verdana" w:hAnsi="Verdana" w:cs="Times"/>
                <w:b/>
                <w:position w:val="6"/>
                <w:sz w:val="22"/>
                <w:szCs w:val="22"/>
              </w:rPr>
              <w:t>World Radiocommunication Conference (WRC-23)</w:t>
            </w:r>
            <w:r w:rsidRPr="007D7D4B">
              <w:rPr>
                <w:rFonts w:ascii="Verdana" w:hAnsi="Verdana" w:cs="Times"/>
                <w:b/>
                <w:position w:val="6"/>
                <w:sz w:val="26"/>
                <w:szCs w:val="26"/>
              </w:rPr>
              <w:br/>
            </w:r>
            <w:r w:rsidRPr="007D7D4B">
              <w:rPr>
                <w:rFonts w:ascii="Verdana" w:hAnsi="Verdana"/>
                <w:b/>
                <w:bCs/>
                <w:position w:val="6"/>
                <w:sz w:val="18"/>
                <w:szCs w:val="18"/>
              </w:rPr>
              <w:t>Dubai, 20 November - 15 December 2023</w:t>
            </w:r>
          </w:p>
        </w:tc>
        <w:tc>
          <w:tcPr>
            <w:tcW w:w="1951" w:type="dxa"/>
            <w:vAlign w:val="center"/>
          </w:tcPr>
          <w:p w14:paraId="283FA01D" w14:textId="77777777" w:rsidR="00F320AA" w:rsidRPr="007D7D4B" w:rsidRDefault="00EB0812" w:rsidP="00F320AA">
            <w:pPr>
              <w:spacing w:before="0" w:line="240" w:lineRule="atLeast"/>
            </w:pPr>
            <w:r w:rsidRPr="007D7D4B">
              <w:rPr>
                <w:noProof/>
              </w:rPr>
              <w:drawing>
                <wp:inline distT="0" distB="0" distL="0" distR="0" wp14:anchorId="03EC403E" wp14:editId="196940A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D7D4B" w14:paraId="463AA066" w14:textId="77777777">
        <w:trPr>
          <w:cantSplit/>
        </w:trPr>
        <w:tc>
          <w:tcPr>
            <w:tcW w:w="6911" w:type="dxa"/>
            <w:gridSpan w:val="2"/>
            <w:tcBorders>
              <w:bottom w:val="single" w:sz="12" w:space="0" w:color="auto"/>
            </w:tcBorders>
          </w:tcPr>
          <w:p w14:paraId="6DCD21B9" w14:textId="77777777" w:rsidR="00A066F1" w:rsidRPr="007D7D4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19397FC" w14:textId="77777777" w:rsidR="00A066F1" w:rsidRPr="007D7D4B" w:rsidRDefault="00A066F1" w:rsidP="00A066F1">
            <w:pPr>
              <w:spacing w:before="0" w:line="240" w:lineRule="atLeast"/>
              <w:rPr>
                <w:rFonts w:ascii="Verdana" w:hAnsi="Verdana"/>
                <w:szCs w:val="24"/>
              </w:rPr>
            </w:pPr>
          </w:p>
        </w:tc>
      </w:tr>
      <w:tr w:rsidR="00A066F1" w:rsidRPr="007D7D4B" w14:paraId="106DA3B4" w14:textId="77777777">
        <w:trPr>
          <w:cantSplit/>
        </w:trPr>
        <w:tc>
          <w:tcPr>
            <w:tcW w:w="6911" w:type="dxa"/>
            <w:gridSpan w:val="2"/>
            <w:tcBorders>
              <w:top w:val="single" w:sz="12" w:space="0" w:color="auto"/>
            </w:tcBorders>
          </w:tcPr>
          <w:p w14:paraId="52283AA7" w14:textId="77777777" w:rsidR="00A066F1" w:rsidRPr="007D7D4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C5EEB16" w14:textId="77777777" w:rsidR="00A066F1" w:rsidRPr="007D7D4B" w:rsidRDefault="00A066F1" w:rsidP="00A066F1">
            <w:pPr>
              <w:spacing w:before="0" w:line="240" w:lineRule="atLeast"/>
              <w:rPr>
                <w:rFonts w:ascii="Verdana" w:hAnsi="Verdana"/>
                <w:sz w:val="20"/>
              </w:rPr>
            </w:pPr>
          </w:p>
        </w:tc>
      </w:tr>
      <w:tr w:rsidR="00A066F1" w:rsidRPr="007D7D4B" w14:paraId="6CBDB930" w14:textId="77777777">
        <w:trPr>
          <w:cantSplit/>
          <w:trHeight w:val="23"/>
        </w:trPr>
        <w:tc>
          <w:tcPr>
            <w:tcW w:w="6911" w:type="dxa"/>
            <w:gridSpan w:val="2"/>
            <w:shd w:val="clear" w:color="auto" w:fill="auto"/>
          </w:tcPr>
          <w:p w14:paraId="592DFBD8" w14:textId="77777777" w:rsidR="00A066F1" w:rsidRPr="007D7D4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D7D4B">
              <w:rPr>
                <w:rFonts w:ascii="Verdana" w:hAnsi="Verdana"/>
                <w:sz w:val="20"/>
                <w:szCs w:val="20"/>
              </w:rPr>
              <w:t>PLENARY MEETING</w:t>
            </w:r>
          </w:p>
        </w:tc>
        <w:tc>
          <w:tcPr>
            <w:tcW w:w="3120" w:type="dxa"/>
            <w:gridSpan w:val="2"/>
          </w:tcPr>
          <w:p w14:paraId="542363EF" w14:textId="77777777" w:rsidR="00A066F1" w:rsidRPr="007D7D4B" w:rsidRDefault="00E55816" w:rsidP="00AA666F">
            <w:pPr>
              <w:tabs>
                <w:tab w:val="left" w:pos="851"/>
              </w:tabs>
              <w:spacing w:before="0" w:line="240" w:lineRule="atLeast"/>
              <w:rPr>
                <w:rFonts w:ascii="Verdana" w:hAnsi="Verdana"/>
                <w:sz w:val="20"/>
              </w:rPr>
            </w:pPr>
            <w:r w:rsidRPr="007D7D4B">
              <w:rPr>
                <w:rFonts w:ascii="Verdana" w:hAnsi="Verdana"/>
                <w:b/>
                <w:sz w:val="20"/>
              </w:rPr>
              <w:t>Addendum 8 to</w:t>
            </w:r>
            <w:r w:rsidRPr="007D7D4B">
              <w:rPr>
                <w:rFonts w:ascii="Verdana" w:hAnsi="Verdana"/>
                <w:b/>
                <w:sz w:val="20"/>
              </w:rPr>
              <w:br/>
              <w:t>Document 62(Add.27)</w:t>
            </w:r>
            <w:r w:rsidR="00A066F1" w:rsidRPr="007D7D4B">
              <w:rPr>
                <w:rFonts w:ascii="Verdana" w:hAnsi="Verdana"/>
                <w:b/>
                <w:sz w:val="20"/>
              </w:rPr>
              <w:t>-</w:t>
            </w:r>
            <w:r w:rsidR="005E10C9" w:rsidRPr="007D7D4B">
              <w:rPr>
                <w:rFonts w:ascii="Verdana" w:hAnsi="Verdana"/>
                <w:b/>
                <w:sz w:val="20"/>
              </w:rPr>
              <w:t>E</w:t>
            </w:r>
          </w:p>
        </w:tc>
      </w:tr>
      <w:tr w:rsidR="00A066F1" w:rsidRPr="007D7D4B" w14:paraId="5EE69396" w14:textId="77777777">
        <w:trPr>
          <w:cantSplit/>
          <w:trHeight w:val="23"/>
        </w:trPr>
        <w:tc>
          <w:tcPr>
            <w:tcW w:w="6911" w:type="dxa"/>
            <w:gridSpan w:val="2"/>
            <w:shd w:val="clear" w:color="auto" w:fill="auto"/>
          </w:tcPr>
          <w:p w14:paraId="45765FD2" w14:textId="77777777" w:rsidR="00A066F1" w:rsidRPr="007D7D4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946DF04" w14:textId="77777777" w:rsidR="00A066F1" w:rsidRPr="007D7D4B" w:rsidRDefault="00420873" w:rsidP="00A066F1">
            <w:pPr>
              <w:tabs>
                <w:tab w:val="left" w:pos="993"/>
              </w:tabs>
              <w:spacing w:before="0"/>
              <w:rPr>
                <w:rFonts w:ascii="Verdana" w:hAnsi="Verdana"/>
                <w:sz w:val="20"/>
              </w:rPr>
            </w:pPr>
            <w:r w:rsidRPr="007D7D4B">
              <w:rPr>
                <w:rFonts w:ascii="Verdana" w:hAnsi="Verdana"/>
                <w:b/>
                <w:sz w:val="20"/>
              </w:rPr>
              <w:t>26 September 2023</w:t>
            </w:r>
          </w:p>
        </w:tc>
      </w:tr>
      <w:tr w:rsidR="00A066F1" w:rsidRPr="007D7D4B" w14:paraId="4A77A259" w14:textId="77777777">
        <w:trPr>
          <w:cantSplit/>
          <w:trHeight w:val="23"/>
        </w:trPr>
        <w:tc>
          <w:tcPr>
            <w:tcW w:w="6911" w:type="dxa"/>
            <w:gridSpan w:val="2"/>
            <w:shd w:val="clear" w:color="auto" w:fill="auto"/>
          </w:tcPr>
          <w:p w14:paraId="4EB8DA5A" w14:textId="77777777" w:rsidR="00A066F1" w:rsidRPr="007D7D4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49D8803" w14:textId="77777777" w:rsidR="00A066F1" w:rsidRPr="007D7D4B" w:rsidRDefault="00E55816" w:rsidP="00A066F1">
            <w:pPr>
              <w:tabs>
                <w:tab w:val="left" w:pos="993"/>
              </w:tabs>
              <w:spacing w:before="0"/>
              <w:rPr>
                <w:rFonts w:ascii="Verdana" w:hAnsi="Verdana"/>
                <w:b/>
                <w:sz w:val="20"/>
              </w:rPr>
            </w:pPr>
            <w:r w:rsidRPr="007D7D4B">
              <w:rPr>
                <w:rFonts w:ascii="Verdana" w:hAnsi="Verdana"/>
                <w:b/>
                <w:sz w:val="20"/>
              </w:rPr>
              <w:t>Original: English</w:t>
            </w:r>
          </w:p>
        </w:tc>
      </w:tr>
      <w:tr w:rsidR="00A066F1" w:rsidRPr="007D7D4B" w14:paraId="7DC0BCDA" w14:textId="77777777" w:rsidTr="00424554">
        <w:trPr>
          <w:cantSplit/>
          <w:trHeight w:val="23"/>
        </w:trPr>
        <w:tc>
          <w:tcPr>
            <w:tcW w:w="10031" w:type="dxa"/>
            <w:gridSpan w:val="4"/>
            <w:shd w:val="clear" w:color="auto" w:fill="auto"/>
          </w:tcPr>
          <w:p w14:paraId="6A9C0034" w14:textId="77777777" w:rsidR="00A066F1" w:rsidRPr="007D7D4B" w:rsidRDefault="00A066F1" w:rsidP="00A066F1">
            <w:pPr>
              <w:tabs>
                <w:tab w:val="left" w:pos="993"/>
              </w:tabs>
              <w:spacing w:before="0"/>
              <w:rPr>
                <w:rFonts w:ascii="Verdana" w:hAnsi="Verdana"/>
                <w:b/>
                <w:sz w:val="20"/>
              </w:rPr>
            </w:pPr>
          </w:p>
        </w:tc>
      </w:tr>
      <w:tr w:rsidR="00E55816" w:rsidRPr="007D7D4B" w14:paraId="0ECA237F" w14:textId="77777777" w:rsidTr="00424554">
        <w:trPr>
          <w:cantSplit/>
          <w:trHeight w:val="23"/>
        </w:trPr>
        <w:tc>
          <w:tcPr>
            <w:tcW w:w="10031" w:type="dxa"/>
            <w:gridSpan w:val="4"/>
            <w:shd w:val="clear" w:color="auto" w:fill="auto"/>
          </w:tcPr>
          <w:p w14:paraId="661A01F6" w14:textId="77777777" w:rsidR="00E55816" w:rsidRPr="007D7D4B" w:rsidRDefault="00884D60" w:rsidP="00E55816">
            <w:pPr>
              <w:pStyle w:val="Source"/>
            </w:pPr>
            <w:r w:rsidRPr="007D7D4B">
              <w:t>Asia-Pacific Telecommunity Common Proposals</w:t>
            </w:r>
          </w:p>
        </w:tc>
      </w:tr>
      <w:tr w:rsidR="00E55816" w:rsidRPr="007D7D4B" w14:paraId="2010ED2F" w14:textId="77777777" w:rsidTr="00424554">
        <w:trPr>
          <w:cantSplit/>
          <w:trHeight w:val="23"/>
        </w:trPr>
        <w:tc>
          <w:tcPr>
            <w:tcW w:w="10031" w:type="dxa"/>
            <w:gridSpan w:val="4"/>
            <w:shd w:val="clear" w:color="auto" w:fill="auto"/>
          </w:tcPr>
          <w:p w14:paraId="7BC06C8A" w14:textId="77777777" w:rsidR="00E55816" w:rsidRPr="007D7D4B" w:rsidRDefault="007D5320" w:rsidP="00E55816">
            <w:pPr>
              <w:pStyle w:val="Title1"/>
            </w:pPr>
            <w:r w:rsidRPr="007D7D4B">
              <w:t>PROPOSALS FOR THE WORK OF THE CONFERENCE</w:t>
            </w:r>
          </w:p>
        </w:tc>
      </w:tr>
      <w:tr w:rsidR="00E55816" w:rsidRPr="007D7D4B" w14:paraId="62BEA01D" w14:textId="77777777" w:rsidTr="00424554">
        <w:trPr>
          <w:cantSplit/>
          <w:trHeight w:val="23"/>
        </w:trPr>
        <w:tc>
          <w:tcPr>
            <w:tcW w:w="10031" w:type="dxa"/>
            <w:gridSpan w:val="4"/>
            <w:shd w:val="clear" w:color="auto" w:fill="auto"/>
          </w:tcPr>
          <w:p w14:paraId="4467F213" w14:textId="77777777" w:rsidR="00E55816" w:rsidRPr="007D7D4B" w:rsidRDefault="00E55816" w:rsidP="00E55816">
            <w:pPr>
              <w:pStyle w:val="Title2"/>
            </w:pPr>
          </w:p>
        </w:tc>
      </w:tr>
      <w:tr w:rsidR="00A538A6" w:rsidRPr="007D7D4B" w14:paraId="21588123" w14:textId="77777777" w:rsidTr="00424554">
        <w:trPr>
          <w:cantSplit/>
          <w:trHeight w:val="23"/>
        </w:trPr>
        <w:tc>
          <w:tcPr>
            <w:tcW w:w="10031" w:type="dxa"/>
            <w:gridSpan w:val="4"/>
            <w:shd w:val="clear" w:color="auto" w:fill="auto"/>
          </w:tcPr>
          <w:p w14:paraId="461150E0" w14:textId="77777777" w:rsidR="00A538A6" w:rsidRPr="007D7D4B" w:rsidRDefault="004B13CB" w:rsidP="004B13CB">
            <w:pPr>
              <w:pStyle w:val="Agendaitem"/>
              <w:rPr>
                <w:lang w:val="en-GB"/>
              </w:rPr>
            </w:pPr>
            <w:r w:rsidRPr="007D7D4B">
              <w:rPr>
                <w:lang w:val="en-GB"/>
              </w:rPr>
              <w:t>Agenda item 10</w:t>
            </w:r>
          </w:p>
        </w:tc>
      </w:tr>
    </w:tbl>
    <w:bookmarkEnd w:id="5"/>
    <w:bookmarkEnd w:id="6"/>
    <w:p w14:paraId="5B5ED46F" w14:textId="77777777" w:rsidR="00187BD9" w:rsidRPr="007D7D4B" w:rsidRDefault="00424554" w:rsidP="00424554">
      <w:r w:rsidRPr="007D7D4B">
        <w:t>10</w:t>
      </w:r>
      <w:r w:rsidRPr="007D7D4B">
        <w:rPr>
          <w:b/>
          <w:bCs/>
        </w:rPr>
        <w:tab/>
      </w:r>
      <w:r w:rsidRPr="007D7D4B">
        <w:t xml:space="preserve">to recommend to the ITU Council items for inclusion in the agenda for the next world radiocommunication conference, </w:t>
      </w:r>
      <w:r w:rsidRPr="007D7D4B">
        <w:rPr>
          <w:iCs/>
        </w:rPr>
        <w:t xml:space="preserve">and items for the preliminary agenda of future conferences, </w:t>
      </w:r>
      <w:r w:rsidRPr="007D7D4B">
        <w:t xml:space="preserve">in accordance with Article 7 of the ITU Convention </w:t>
      </w:r>
      <w:r w:rsidRPr="007D7D4B">
        <w:rPr>
          <w:iCs/>
        </w:rPr>
        <w:t xml:space="preserve">and Resolution </w:t>
      </w:r>
      <w:r w:rsidRPr="007D7D4B">
        <w:rPr>
          <w:b/>
          <w:bCs/>
          <w:iCs/>
        </w:rPr>
        <w:t>804 (Rev.WRC</w:t>
      </w:r>
      <w:r w:rsidRPr="007D7D4B">
        <w:rPr>
          <w:b/>
          <w:bCs/>
          <w:iCs/>
        </w:rPr>
        <w:noBreakHyphen/>
        <w:t>19)</w:t>
      </w:r>
      <w:r w:rsidRPr="007D7D4B">
        <w:rPr>
          <w:iCs/>
        </w:rPr>
        <w:t>,</w:t>
      </w:r>
    </w:p>
    <w:p w14:paraId="3E68621E" w14:textId="77777777" w:rsidR="000E41D2" w:rsidRPr="007D7D4B" w:rsidRDefault="000E41D2" w:rsidP="000E41D2">
      <w:pPr>
        <w:pStyle w:val="Headingb"/>
        <w:rPr>
          <w:rFonts w:eastAsia="SimSun"/>
          <w:lang w:val="en-GB" w:eastAsia="zh-CN"/>
        </w:rPr>
      </w:pPr>
      <w:r w:rsidRPr="007D7D4B">
        <w:rPr>
          <w:rFonts w:eastAsia="SimSun"/>
          <w:lang w:val="en-GB" w:eastAsia="zh-CN"/>
        </w:rPr>
        <w:t>Introduction</w:t>
      </w:r>
    </w:p>
    <w:p w14:paraId="4588FA15" w14:textId="38F6CD8B" w:rsidR="000E41D2" w:rsidRPr="007D7D4B" w:rsidRDefault="000E41D2" w:rsidP="001F4EBD">
      <w:r w:rsidRPr="007D7D4B">
        <w:t>APT Members support to consider the following item as an agenda item for WRC</w:t>
      </w:r>
      <w:r w:rsidR="00A038A8" w:rsidRPr="007D7D4B">
        <w:noBreakHyphen/>
      </w:r>
      <w:r w:rsidRPr="007D7D4B">
        <w:t xml:space="preserve">31: </w:t>
      </w:r>
      <w:bookmarkStart w:id="7" w:name="_Hlk143292218"/>
    </w:p>
    <w:bookmarkEnd w:id="7"/>
    <w:p w14:paraId="32EEC1A9" w14:textId="68483306" w:rsidR="000E41D2" w:rsidRPr="007D7D4B" w:rsidRDefault="000E41D2" w:rsidP="00BC073D">
      <w:pPr>
        <w:pStyle w:val="enumlev1"/>
        <w:rPr>
          <w:i/>
          <w:iCs/>
          <w:lang w:eastAsia="ko-KR"/>
        </w:rPr>
      </w:pPr>
      <w:r w:rsidRPr="007D7D4B">
        <w:rPr>
          <w:lang w:eastAsia="ko-KR"/>
        </w:rPr>
        <w:tab/>
      </w:r>
      <w:r w:rsidRPr="007D7D4B">
        <w:rPr>
          <w:i/>
          <w:iCs/>
          <w:lang w:eastAsia="ko-KR"/>
        </w:rPr>
        <w:t xml:space="preserve">possible regulatory provisions to avoid harmful interference to the radiocommunication services caused by Wireless Power Transmission (WPT), </w:t>
      </w:r>
      <w:r w:rsidRPr="007D7D4B">
        <w:rPr>
          <w:rFonts w:eastAsia="SimSun"/>
          <w:bCs/>
          <w:i/>
          <w:iCs/>
          <w:lang w:eastAsia="zh-CN"/>
        </w:rPr>
        <w:t xml:space="preserve">in accordance with Resolution </w:t>
      </w:r>
      <w:r w:rsidRPr="007D7D4B">
        <w:rPr>
          <w:rFonts w:eastAsia="SimSun"/>
          <w:b/>
          <w:i/>
          <w:iCs/>
          <w:lang w:eastAsia="zh-CN"/>
        </w:rPr>
        <w:t>[ACP-AI10-6]</w:t>
      </w:r>
      <w:r w:rsidR="00CE5D01" w:rsidRPr="007D7D4B">
        <w:rPr>
          <w:rFonts w:eastAsia="SimSun"/>
          <w:b/>
          <w:i/>
          <w:iCs/>
          <w:lang w:eastAsia="zh-CN"/>
        </w:rPr>
        <w:t xml:space="preserve"> (WRC</w:t>
      </w:r>
      <w:r w:rsidR="00A038A8" w:rsidRPr="007D7D4B">
        <w:rPr>
          <w:rFonts w:eastAsia="SimSun"/>
          <w:b/>
          <w:i/>
          <w:iCs/>
          <w:lang w:eastAsia="zh-CN"/>
        </w:rPr>
        <w:noBreakHyphen/>
      </w:r>
      <w:r w:rsidR="00CE5D01" w:rsidRPr="007D7D4B">
        <w:rPr>
          <w:rFonts w:eastAsia="SimSun"/>
          <w:b/>
          <w:i/>
          <w:iCs/>
          <w:lang w:eastAsia="zh-CN"/>
        </w:rPr>
        <w:t>23)</w:t>
      </w:r>
      <w:r w:rsidRPr="007D7D4B">
        <w:rPr>
          <w:rFonts w:eastAsia="SimSun"/>
          <w:bCs/>
          <w:i/>
          <w:iCs/>
          <w:lang w:eastAsia="zh-CN"/>
        </w:rPr>
        <w:t>;</w:t>
      </w:r>
    </w:p>
    <w:p w14:paraId="0C88358F" w14:textId="1920CD35" w:rsidR="000E41D2" w:rsidRPr="007D7D4B" w:rsidRDefault="000E41D2" w:rsidP="00426A05">
      <w:r w:rsidRPr="007D7D4B">
        <w:t>Depending on the workload of WRC-27, APT Members may consider to transfer this agenda item from WRC</w:t>
      </w:r>
      <w:r w:rsidR="00A038A8" w:rsidRPr="007D7D4B">
        <w:noBreakHyphen/>
      </w:r>
      <w:r w:rsidRPr="007D7D4B">
        <w:t>31 to WRC</w:t>
      </w:r>
      <w:r w:rsidR="00A038A8" w:rsidRPr="007D7D4B">
        <w:noBreakHyphen/>
      </w:r>
      <w:r w:rsidRPr="007D7D4B">
        <w:t>27.</w:t>
      </w:r>
    </w:p>
    <w:p w14:paraId="767EF828" w14:textId="77777777" w:rsidR="000E41D2" w:rsidRPr="007D7D4B" w:rsidRDefault="000E41D2" w:rsidP="006C313A">
      <w:pPr>
        <w:pStyle w:val="Headingb"/>
        <w:rPr>
          <w:lang w:val="en-GB"/>
        </w:rPr>
      </w:pPr>
      <w:r w:rsidRPr="007D7D4B">
        <w:rPr>
          <w:lang w:val="en-GB"/>
        </w:rPr>
        <w:t>Proposals</w:t>
      </w:r>
    </w:p>
    <w:p w14:paraId="440C5BB1" w14:textId="77777777" w:rsidR="00187BD9" w:rsidRPr="007D7D4B" w:rsidRDefault="00187BD9" w:rsidP="00187BD9">
      <w:pPr>
        <w:tabs>
          <w:tab w:val="clear" w:pos="1134"/>
          <w:tab w:val="clear" w:pos="1871"/>
          <w:tab w:val="clear" w:pos="2268"/>
        </w:tabs>
        <w:overflowPunct/>
        <w:autoSpaceDE/>
        <w:autoSpaceDN/>
        <w:adjustRightInd/>
        <w:spacing w:before="0"/>
        <w:textAlignment w:val="auto"/>
      </w:pPr>
      <w:r w:rsidRPr="007D7D4B">
        <w:br w:type="page"/>
      </w:r>
    </w:p>
    <w:p w14:paraId="29267DC1" w14:textId="77777777" w:rsidR="00594326" w:rsidRPr="007D7D4B" w:rsidRDefault="00424554">
      <w:pPr>
        <w:pStyle w:val="Proposal"/>
      </w:pPr>
      <w:r w:rsidRPr="007D7D4B">
        <w:lastRenderedPageBreak/>
        <w:t>ADD</w:t>
      </w:r>
      <w:r w:rsidRPr="007D7D4B">
        <w:tab/>
        <w:t>ACP/62A27A8/1</w:t>
      </w:r>
    </w:p>
    <w:p w14:paraId="5E0D7679" w14:textId="4B011F8B" w:rsidR="00B54465" w:rsidRPr="007D7D4B" w:rsidRDefault="00B54465" w:rsidP="00B54465">
      <w:pPr>
        <w:pStyle w:val="ResNo"/>
      </w:pPr>
      <w:r w:rsidRPr="007D7D4B">
        <w:t>Draft New Resolution [ACP-AI10-6]</w:t>
      </w:r>
      <w:r w:rsidR="00DB65AC" w:rsidRPr="007D7D4B">
        <w:t xml:space="preserve"> (WRC</w:t>
      </w:r>
      <w:r w:rsidR="00A038A8" w:rsidRPr="007D7D4B">
        <w:noBreakHyphen/>
      </w:r>
      <w:r w:rsidR="00DB65AC" w:rsidRPr="007D7D4B">
        <w:t>23)</w:t>
      </w:r>
    </w:p>
    <w:p w14:paraId="4586E988" w14:textId="77777777" w:rsidR="00B54465" w:rsidRPr="007D7D4B" w:rsidRDefault="00B54465" w:rsidP="00B54465">
      <w:pPr>
        <w:pStyle w:val="Restitle"/>
      </w:pPr>
      <w:bookmarkStart w:id="8" w:name="_Hlk143175709"/>
      <w:r w:rsidRPr="007D7D4B">
        <w:t>Studies on possible regulatory provisions to avoid harmful interference to the radiocommunication services</w:t>
      </w:r>
      <w:r w:rsidRPr="007D7D4B" w:rsidDel="00C47DE0">
        <w:t xml:space="preserve"> </w:t>
      </w:r>
      <w:r w:rsidRPr="007D7D4B">
        <w:t>caused by Wireless Power Transmission (WPT)</w:t>
      </w:r>
    </w:p>
    <w:bookmarkEnd w:id="8"/>
    <w:p w14:paraId="6C780715" w14:textId="4DC90F1B" w:rsidR="00B54465" w:rsidRPr="007D7D4B" w:rsidRDefault="00B54465" w:rsidP="000F63E8">
      <w:pPr>
        <w:pStyle w:val="Normalaftertitle"/>
        <w:rPr>
          <w:rFonts w:eastAsia="MS Mincho"/>
          <w:lang w:eastAsia="ja-JP"/>
        </w:rPr>
      </w:pPr>
      <w:r w:rsidRPr="007D7D4B">
        <w:rPr>
          <w:rFonts w:eastAsia="MS Mincho"/>
          <w:lang w:eastAsia="ja-JP"/>
        </w:rPr>
        <w:t>The World Radiocommunication Conference (Dubai,</w:t>
      </w:r>
      <w:r w:rsidR="00A038A8" w:rsidRPr="007D7D4B">
        <w:rPr>
          <w:rFonts w:eastAsia="MS Mincho"/>
          <w:lang w:eastAsia="ja-JP"/>
        </w:rPr>
        <w:t xml:space="preserve"> </w:t>
      </w:r>
      <w:r w:rsidRPr="007D7D4B">
        <w:rPr>
          <w:rFonts w:eastAsia="MS Mincho"/>
          <w:lang w:eastAsia="ja-JP"/>
        </w:rPr>
        <w:t>2023)</w:t>
      </w:r>
      <w:r w:rsidR="0073612B" w:rsidRPr="007D7D4B">
        <w:rPr>
          <w:rFonts w:eastAsia="MS Mincho"/>
          <w:lang w:eastAsia="ja-JP"/>
        </w:rPr>
        <w:t>,</w:t>
      </w:r>
    </w:p>
    <w:p w14:paraId="53B4A72A" w14:textId="77777777" w:rsidR="00B54465" w:rsidRPr="007D7D4B" w:rsidRDefault="00B54465" w:rsidP="00B54465">
      <w:pPr>
        <w:pStyle w:val="Call"/>
        <w:rPr>
          <w:szCs w:val="22"/>
        </w:rPr>
      </w:pPr>
      <w:r w:rsidRPr="007D7D4B">
        <w:t>considering</w:t>
      </w:r>
    </w:p>
    <w:p w14:paraId="547DDDE2" w14:textId="67921255" w:rsidR="00B54465" w:rsidRPr="007D7D4B" w:rsidRDefault="00B54465" w:rsidP="00B54465">
      <w:r w:rsidRPr="007D7D4B">
        <w:rPr>
          <w:i/>
          <w:iCs/>
        </w:rPr>
        <w:t>a)</w:t>
      </w:r>
      <w:r w:rsidRPr="007D7D4B">
        <w:rPr>
          <w:i/>
        </w:rPr>
        <w:tab/>
      </w:r>
      <w:r w:rsidRPr="007D7D4B">
        <w:t xml:space="preserve">that </w:t>
      </w:r>
      <w:r w:rsidR="007618F1" w:rsidRPr="007D7D4B">
        <w:t>W</w:t>
      </w:r>
      <w:r w:rsidRPr="007D7D4B">
        <w:t xml:space="preserve">ireless </w:t>
      </w:r>
      <w:r w:rsidR="007618F1" w:rsidRPr="007D7D4B">
        <w:t>P</w:t>
      </w:r>
      <w:r w:rsidRPr="007D7D4B">
        <w:t xml:space="preserve">ower </w:t>
      </w:r>
      <w:r w:rsidR="007618F1" w:rsidRPr="007D7D4B">
        <w:t>T</w:t>
      </w:r>
      <w:r w:rsidRPr="007D7D4B">
        <w:t>ransmission (WPT) is defined as the transmission of power from a power source to an electrical load wirelessly using an electromagnetic field, excluding transmission for radiocommunications;</w:t>
      </w:r>
    </w:p>
    <w:p w14:paraId="7BB608F4" w14:textId="77777777" w:rsidR="00B54465" w:rsidRPr="007D7D4B" w:rsidRDefault="00B54465" w:rsidP="00DB378E">
      <w:r w:rsidRPr="007D7D4B">
        <w:rPr>
          <w:i/>
        </w:rPr>
        <w:t>b)</w:t>
      </w:r>
      <w:r w:rsidRPr="007D7D4B">
        <w:rPr>
          <w:i/>
        </w:rPr>
        <w:tab/>
      </w:r>
      <w:r w:rsidRPr="007D7D4B">
        <w:t>that</w:t>
      </w:r>
      <w:r w:rsidRPr="007D7D4B">
        <w:rPr>
          <w:rFonts w:ascii="MS Mincho" w:eastAsia="MS Mincho" w:hAnsi="MS Mincho" w:cs="MS Mincho"/>
          <w:lang w:eastAsia="ja-JP"/>
        </w:rPr>
        <w:t xml:space="preserve"> </w:t>
      </w:r>
      <w:r w:rsidRPr="007D7D4B">
        <w:rPr>
          <w:rFonts w:eastAsiaTheme="minorEastAsia"/>
          <w:lang w:eastAsia="ja-JP"/>
        </w:rPr>
        <w:t>a wide variety of technologies and applications of WPT are evolving, planned, or have already been partly put on the market; and</w:t>
      </w:r>
    </w:p>
    <w:p w14:paraId="11828163" w14:textId="39A667AD" w:rsidR="00B54465" w:rsidRPr="007D7D4B" w:rsidRDefault="00B54465" w:rsidP="00B54465">
      <w:r w:rsidRPr="007D7D4B">
        <w:rPr>
          <w:i/>
          <w:iCs/>
        </w:rPr>
        <w:t>c)</w:t>
      </w:r>
      <w:r w:rsidRPr="007D7D4B">
        <w:tab/>
        <w:t xml:space="preserve">that such </w:t>
      </w:r>
      <w:r w:rsidRPr="007D7D4B">
        <w:rPr>
          <w:lang w:eastAsia="zh-CN"/>
        </w:rPr>
        <w:t>WPT technologies</w:t>
      </w:r>
      <w:r w:rsidRPr="007D7D4B">
        <w:t xml:space="preserve"> may be useful in a variety of applications, including solar power, airborne platforms, electric vehicles, Internet of Things (IoT) devices, and wireless charging of mobile or portable devices</w:t>
      </w:r>
      <w:r w:rsidR="00992B9A" w:rsidRPr="007D7D4B">
        <w:t>,</w:t>
      </w:r>
    </w:p>
    <w:p w14:paraId="56AA7979" w14:textId="77777777" w:rsidR="00B54465" w:rsidRPr="007D7D4B" w:rsidRDefault="00B54465" w:rsidP="00B54465">
      <w:pPr>
        <w:pStyle w:val="Call"/>
      </w:pPr>
      <w:r w:rsidRPr="007D7D4B">
        <w:t>recognizing</w:t>
      </w:r>
    </w:p>
    <w:p w14:paraId="6502EDDF" w14:textId="4DE314B5" w:rsidR="00B54465" w:rsidRPr="007D7D4B" w:rsidRDefault="00B54465" w:rsidP="00B54465">
      <w:r w:rsidRPr="007D7D4B">
        <w:rPr>
          <w:i/>
          <w:iCs/>
        </w:rPr>
        <w:t>a)</w:t>
      </w:r>
      <w:r w:rsidRPr="007D7D4B">
        <w:tab/>
        <w:t>that WPT is not a defined radio service in the Radio Regulations (RR);</w:t>
      </w:r>
    </w:p>
    <w:p w14:paraId="3C6C78D3" w14:textId="77777777" w:rsidR="00B54465" w:rsidRPr="007D7D4B" w:rsidRDefault="00B54465" w:rsidP="00304697">
      <w:r w:rsidRPr="007D7D4B">
        <w:rPr>
          <w:i/>
        </w:rPr>
        <w:t>b)</w:t>
      </w:r>
      <w:r w:rsidRPr="007D7D4B">
        <w:tab/>
        <w:t>that t</w:t>
      </w:r>
      <w:r w:rsidRPr="007D7D4B">
        <w:rPr>
          <w:rFonts w:eastAsiaTheme="minorEastAsia"/>
          <w:lang w:eastAsia="ja-JP"/>
        </w:rPr>
        <w:t>here are no international regulations to regulate the radiation from WPT</w:t>
      </w:r>
      <w:r w:rsidRPr="007D7D4B">
        <w:t>;</w:t>
      </w:r>
    </w:p>
    <w:p w14:paraId="28641750" w14:textId="25E62D99" w:rsidR="00B54465" w:rsidRPr="007D7D4B" w:rsidRDefault="00B54465" w:rsidP="00B54465">
      <w:r w:rsidRPr="007D7D4B">
        <w:rPr>
          <w:i/>
          <w:iCs/>
        </w:rPr>
        <w:t>c)</w:t>
      </w:r>
      <w:r w:rsidRPr="007D7D4B">
        <w:tab/>
        <w:t>that</w:t>
      </w:r>
      <w:r w:rsidRPr="007D7D4B">
        <w:rPr>
          <w:lang w:eastAsia="zh-CN"/>
        </w:rPr>
        <w:t xml:space="preserve"> under Nos.</w:t>
      </w:r>
      <w:r w:rsidR="00A038A8" w:rsidRPr="007D7D4B">
        <w:rPr>
          <w:lang w:eastAsia="zh-CN"/>
        </w:rPr>
        <w:t> </w:t>
      </w:r>
      <w:r w:rsidRPr="007D7D4B">
        <w:rPr>
          <w:b/>
          <w:bCs/>
          <w:lang w:eastAsia="zh-CN"/>
        </w:rPr>
        <w:t>15.12</w:t>
      </w:r>
      <w:r w:rsidRPr="007D7D4B">
        <w:rPr>
          <w:lang w:eastAsia="zh-CN"/>
        </w:rPr>
        <w:t xml:space="preserve"> and </w:t>
      </w:r>
      <w:r w:rsidRPr="007D7D4B">
        <w:rPr>
          <w:b/>
          <w:bCs/>
          <w:lang w:eastAsia="zh-CN"/>
        </w:rPr>
        <w:t>15.13</w:t>
      </w:r>
      <w:r w:rsidRPr="007D7D4B">
        <w:rPr>
          <w:lang w:eastAsia="zh-CN"/>
        </w:rPr>
        <w:t>, administrations shall take all practicable and necessary steps to ensure that the operation of electrical apparatus or installations, including those for WPT, does not cause harmful interference to a radiocommunication service and, in particular, to a radionavigation or any other safety service</w:t>
      </w:r>
      <w:r w:rsidRPr="007D7D4B">
        <w:t>;</w:t>
      </w:r>
    </w:p>
    <w:p w14:paraId="22DF17AE" w14:textId="1714A599" w:rsidR="00B54465" w:rsidRPr="007D7D4B" w:rsidRDefault="00C76DED" w:rsidP="00B54465">
      <w:pPr>
        <w:rPr>
          <w:lang w:eastAsia="ko-KR"/>
        </w:rPr>
      </w:pPr>
      <w:r>
        <w:rPr>
          <w:i/>
          <w:iCs/>
          <w:lang w:eastAsia="ko-KR"/>
        </w:rPr>
        <w:t>d</w:t>
      </w:r>
      <w:r w:rsidR="00B54465" w:rsidRPr="007D7D4B">
        <w:rPr>
          <w:i/>
          <w:iCs/>
          <w:lang w:eastAsia="ko-KR"/>
        </w:rPr>
        <w:t>)</w:t>
      </w:r>
      <w:r w:rsidR="00B54465" w:rsidRPr="007D7D4B">
        <w:rPr>
          <w:i/>
          <w:iCs/>
          <w:lang w:eastAsia="ko-KR"/>
        </w:rPr>
        <w:tab/>
      </w:r>
      <w:r w:rsidR="00B54465" w:rsidRPr="007D7D4B">
        <w:rPr>
          <w:lang w:eastAsia="ko-KR"/>
        </w:rPr>
        <w:t xml:space="preserve">that some administrations regard WPT as an </w:t>
      </w:r>
      <w:r w:rsidR="007D7D4B" w:rsidRPr="007D7D4B">
        <w:rPr>
          <w:lang w:eastAsia="ko-KR"/>
        </w:rPr>
        <w:t>industrial, scientific and medical (</w:t>
      </w:r>
      <w:r w:rsidR="00B54465" w:rsidRPr="007D7D4B">
        <w:rPr>
          <w:lang w:eastAsia="ko-KR"/>
        </w:rPr>
        <w:t>ISM</w:t>
      </w:r>
      <w:r w:rsidR="007D7D4B" w:rsidRPr="007D7D4B">
        <w:rPr>
          <w:lang w:eastAsia="ko-KR"/>
        </w:rPr>
        <w:t>)</w:t>
      </w:r>
      <w:r w:rsidR="00B54465" w:rsidRPr="007D7D4B">
        <w:rPr>
          <w:lang w:eastAsia="ko-KR"/>
        </w:rPr>
        <w:t xml:space="preserve"> application defined by the RR, and they apply their current regulations to the ISM applications and equipment;</w:t>
      </w:r>
    </w:p>
    <w:p w14:paraId="639C29DA" w14:textId="3849427E" w:rsidR="00B54465" w:rsidRPr="007D7D4B" w:rsidRDefault="00C76DED" w:rsidP="00B54465">
      <w:pPr>
        <w:rPr>
          <w:lang w:eastAsia="ko-KR"/>
        </w:rPr>
      </w:pPr>
      <w:r>
        <w:rPr>
          <w:i/>
          <w:iCs/>
        </w:rPr>
        <w:t>e</w:t>
      </w:r>
      <w:r w:rsidR="00B54465" w:rsidRPr="007D7D4B">
        <w:rPr>
          <w:i/>
          <w:iCs/>
        </w:rPr>
        <w:t>)</w:t>
      </w:r>
      <w:r w:rsidR="00B54465" w:rsidRPr="007D7D4B">
        <w:tab/>
        <w:t>that some administrations regard WPT equipment as Short-range Radiocommunication Devices (SRD),</w:t>
      </w:r>
      <w:r w:rsidR="00B54465" w:rsidRPr="007D7D4B">
        <w:rPr>
          <w:lang w:eastAsia="ko-KR"/>
        </w:rPr>
        <w:t xml:space="preserve"> and they apply their current SRD regulations</w:t>
      </w:r>
      <w:r w:rsidR="00B54465" w:rsidRPr="007D7D4B">
        <w:t xml:space="preserve"> although SRD is not defined by the RR, but it is discussed in some ITU-R </w:t>
      </w:r>
      <w:r w:rsidR="00B54465" w:rsidRPr="007D7D4B">
        <w:rPr>
          <w:lang w:eastAsia="ko-KR"/>
        </w:rPr>
        <w:t>Recommendations and Reports;</w:t>
      </w:r>
    </w:p>
    <w:p w14:paraId="78FE8082" w14:textId="314FF256" w:rsidR="00B54465" w:rsidRPr="007D7D4B" w:rsidRDefault="00C76DED" w:rsidP="00B54465">
      <w:r>
        <w:rPr>
          <w:i/>
          <w:iCs/>
        </w:rPr>
        <w:t>f</w:t>
      </w:r>
      <w:r w:rsidR="00B54465" w:rsidRPr="007D7D4B">
        <w:rPr>
          <w:i/>
          <w:iCs/>
        </w:rPr>
        <w:t>)</w:t>
      </w:r>
      <w:r w:rsidR="00B54465" w:rsidRPr="007D7D4B">
        <w:tab/>
        <w:t>that in order not to cause harmful interference to the radiocommunication services, some administrations classify certain applications of WPT as a radio service that is not defined in the RR</w:t>
      </w:r>
      <w:r w:rsidR="00992B9A" w:rsidRPr="007D7D4B">
        <w:t>,</w:t>
      </w:r>
    </w:p>
    <w:p w14:paraId="56950624" w14:textId="77777777" w:rsidR="00B54465" w:rsidRPr="007D7D4B" w:rsidRDefault="00B54465" w:rsidP="00B54465">
      <w:pPr>
        <w:pStyle w:val="Call"/>
        <w:rPr>
          <w:lang w:eastAsia="zh-CN"/>
        </w:rPr>
      </w:pPr>
      <w:r w:rsidRPr="007D7D4B">
        <w:rPr>
          <w:lang w:eastAsia="zh-CN"/>
        </w:rPr>
        <w:t>noting</w:t>
      </w:r>
    </w:p>
    <w:p w14:paraId="2E198A4A" w14:textId="6B7BBC5B" w:rsidR="00B54465" w:rsidRPr="007D7D4B" w:rsidRDefault="00B54465" w:rsidP="00B54465">
      <w:r w:rsidRPr="007D7D4B">
        <w:rPr>
          <w:i/>
          <w:iCs/>
        </w:rPr>
        <w:t>a</w:t>
      </w:r>
      <w:r w:rsidR="007D7D4B" w:rsidRPr="007D7D4B">
        <w:rPr>
          <w:rFonts w:eastAsia="MS Mincho"/>
          <w:i/>
          <w:iCs/>
        </w:rPr>
        <w:t>)</w:t>
      </w:r>
      <w:r w:rsidRPr="007D7D4B">
        <w:tab/>
        <w:t xml:space="preserve">that </w:t>
      </w:r>
      <w:r w:rsidRPr="007D7D4B">
        <w:rPr>
          <w:rFonts w:eastAsiaTheme="minorEastAsia"/>
        </w:rPr>
        <w:t>ITU</w:t>
      </w:r>
      <w:r w:rsidR="00A038A8" w:rsidRPr="007D7D4B">
        <w:rPr>
          <w:rFonts w:eastAsiaTheme="minorEastAsia"/>
        </w:rPr>
        <w:noBreakHyphen/>
      </w:r>
      <w:r w:rsidRPr="007D7D4B">
        <w:rPr>
          <w:rFonts w:eastAsiaTheme="minorEastAsia"/>
        </w:rPr>
        <w:t>R SG 1 is studying, based on Question ITU</w:t>
      </w:r>
      <w:r w:rsidR="00A038A8" w:rsidRPr="007D7D4B">
        <w:rPr>
          <w:rFonts w:eastAsiaTheme="minorEastAsia"/>
        </w:rPr>
        <w:noBreakHyphen/>
      </w:r>
      <w:r w:rsidRPr="007D7D4B">
        <w:rPr>
          <w:rFonts w:eastAsiaTheme="minorEastAsia"/>
        </w:rPr>
        <w:t xml:space="preserve">R 210/1, </w:t>
      </w:r>
      <w:r w:rsidRPr="007D7D4B">
        <w:t>the technical and operational requirements to ensure that the radiocommunication services are protected from harmful interference caused by WPT operations;</w:t>
      </w:r>
    </w:p>
    <w:p w14:paraId="24DB1259" w14:textId="2B6DA454" w:rsidR="00B54465" w:rsidRPr="007D7D4B" w:rsidRDefault="00B54465" w:rsidP="00B54465">
      <w:pPr>
        <w:rPr>
          <w:rFonts w:eastAsia="Mincho"/>
        </w:rPr>
      </w:pPr>
      <w:r w:rsidRPr="007D7D4B">
        <w:rPr>
          <w:i/>
          <w:iCs/>
        </w:rPr>
        <w:t>b)</w:t>
      </w:r>
      <w:r w:rsidRPr="007D7D4B">
        <w:tab/>
        <w:t xml:space="preserve">that </w:t>
      </w:r>
      <w:r w:rsidRPr="007D7D4B">
        <w:rPr>
          <w:rFonts w:eastAsia="MS Mincho"/>
          <w:lang w:eastAsia="ja-JP"/>
        </w:rPr>
        <w:t>ITU</w:t>
      </w:r>
      <w:r w:rsidR="00A038A8" w:rsidRPr="007D7D4B">
        <w:rPr>
          <w:rFonts w:eastAsia="MS Mincho"/>
          <w:lang w:eastAsia="ja-JP"/>
        </w:rPr>
        <w:noBreakHyphen/>
      </w:r>
      <w:r w:rsidRPr="007D7D4B">
        <w:rPr>
          <w:rFonts w:eastAsia="MS Mincho"/>
          <w:lang w:eastAsia="ja-JP"/>
        </w:rPr>
        <w:t>R Recommendations on frequency ranges for WPT (Rec</w:t>
      </w:r>
      <w:r w:rsidR="007618F1" w:rsidRPr="007D7D4B">
        <w:rPr>
          <w:rFonts w:eastAsia="MS Mincho"/>
          <w:lang w:eastAsia="ja-JP"/>
        </w:rPr>
        <w:t>ommendation</w:t>
      </w:r>
      <w:r w:rsidRPr="007D7D4B">
        <w:rPr>
          <w:rFonts w:eastAsia="MS Mincho"/>
          <w:lang w:eastAsia="ja-JP"/>
        </w:rPr>
        <w:t>s ITU</w:t>
      </w:r>
      <w:r w:rsidR="00A038A8" w:rsidRPr="007D7D4B">
        <w:rPr>
          <w:rFonts w:eastAsia="MS Mincho"/>
          <w:lang w:eastAsia="ja-JP"/>
        </w:rPr>
        <w:noBreakHyphen/>
      </w:r>
      <w:r w:rsidRPr="007D7D4B">
        <w:rPr>
          <w:rFonts w:eastAsia="MS Mincho"/>
          <w:lang w:eastAsia="ja-JP"/>
        </w:rPr>
        <w:t>R SM.2110-1, SM.2129-0, and</w:t>
      </w:r>
      <w:r w:rsidRPr="007D7D4B">
        <w:rPr>
          <w:rFonts w:eastAsia="Mincho"/>
        </w:rPr>
        <w:t xml:space="preserve"> SM.2151-0</w:t>
      </w:r>
      <w:r w:rsidRPr="007D7D4B">
        <w:rPr>
          <w:rFonts w:eastAsia="MS Mincho"/>
          <w:lang w:eastAsia="ja-JP"/>
        </w:rPr>
        <w:t xml:space="preserve">) have been approved, and </w:t>
      </w:r>
      <w:r w:rsidRPr="007D7D4B">
        <w:rPr>
          <w:rFonts w:eastAsia="Mincho"/>
        </w:rPr>
        <w:t>further studies on a variety of WPT applications and technologies are ongoing in the ITU</w:t>
      </w:r>
      <w:r w:rsidR="00A038A8" w:rsidRPr="007D7D4B">
        <w:rPr>
          <w:rFonts w:eastAsia="Mincho"/>
        </w:rPr>
        <w:noBreakHyphen/>
      </w:r>
      <w:r w:rsidRPr="007D7D4B">
        <w:rPr>
          <w:rFonts w:eastAsia="Mincho"/>
        </w:rPr>
        <w:t>R; and</w:t>
      </w:r>
    </w:p>
    <w:p w14:paraId="035BB588" w14:textId="1D4AD4F6" w:rsidR="00B54465" w:rsidRPr="007D7D4B" w:rsidRDefault="00B54465" w:rsidP="00B54465">
      <w:r w:rsidRPr="007D7D4B">
        <w:rPr>
          <w:rFonts w:eastAsia="Mincho"/>
          <w:i/>
          <w:iCs/>
        </w:rPr>
        <w:t>c)</w:t>
      </w:r>
      <w:r w:rsidRPr="007D7D4B">
        <w:rPr>
          <w:rFonts w:eastAsia="Mincho"/>
        </w:rPr>
        <w:tab/>
        <w:t>that ITU</w:t>
      </w:r>
      <w:r w:rsidR="00A038A8" w:rsidRPr="007D7D4B">
        <w:rPr>
          <w:rFonts w:eastAsia="Mincho"/>
        </w:rPr>
        <w:noBreakHyphen/>
      </w:r>
      <w:r w:rsidRPr="007D7D4B">
        <w:rPr>
          <w:rFonts w:eastAsia="Mincho"/>
        </w:rPr>
        <w:t>R Recommendations provide guidance to administrations and are not binding on ITU Member States</w:t>
      </w:r>
      <w:r w:rsidR="00992B9A" w:rsidRPr="007D7D4B">
        <w:rPr>
          <w:rFonts w:eastAsia="Mincho"/>
        </w:rPr>
        <w:t>,</w:t>
      </w:r>
    </w:p>
    <w:p w14:paraId="704FC3AC" w14:textId="7A4BF1DF" w:rsidR="00B54465" w:rsidRPr="007D7D4B" w:rsidRDefault="00B54465" w:rsidP="00E33BC8">
      <w:pPr>
        <w:pStyle w:val="Call"/>
        <w:rPr>
          <w:rFonts w:eastAsia="MS Mincho"/>
          <w:lang w:eastAsia="ja-JP"/>
        </w:rPr>
      </w:pPr>
      <w:r w:rsidRPr="007D7D4B">
        <w:rPr>
          <w:rFonts w:eastAsia="MS Mincho"/>
          <w:lang w:eastAsia="ja-JP"/>
        </w:rPr>
        <w:lastRenderedPageBreak/>
        <w:t>resolves to invite [WRC</w:t>
      </w:r>
      <w:r w:rsidR="00A038A8" w:rsidRPr="007D7D4B">
        <w:rPr>
          <w:rFonts w:eastAsia="MS Mincho"/>
          <w:lang w:eastAsia="ja-JP"/>
        </w:rPr>
        <w:noBreakHyphen/>
      </w:r>
      <w:r w:rsidRPr="007D7D4B">
        <w:rPr>
          <w:lang w:eastAsia="ja-JP"/>
        </w:rPr>
        <w:t>27/WRC</w:t>
      </w:r>
      <w:r w:rsidR="00A038A8" w:rsidRPr="007D7D4B">
        <w:rPr>
          <w:lang w:eastAsia="ja-JP"/>
        </w:rPr>
        <w:noBreakHyphen/>
      </w:r>
      <w:r w:rsidRPr="007D7D4B">
        <w:rPr>
          <w:lang w:eastAsia="ja-JP"/>
        </w:rPr>
        <w:t>31]:</w:t>
      </w:r>
    </w:p>
    <w:p w14:paraId="3F129033" w14:textId="4308373F" w:rsidR="00B54465" w:rsidRPr="007D7D4B" w:rsidRDefault="00B54465" w:rsidP="00B54465">
      <w:pPr>
        <w:rPr>
          <w:rFonts w:eastAsiaTheme="minorEastAsia"/>
        </w:rPr>
      </w:pPr>
      <w:r w:rsidRPr="007D7D4B">
        <w:rPr>
          <w:rFonts w:eastAsiaTheme="minorEastAsia"/>
        </w:rPr>
        <w:t>to consider, based on the results of ITU</w:t>
      </w:r>
      <w:r w:rsidR="00A038A8" w:rsidRPr="007D7D4B">
        <w:rPr>
          <w:rFonts w:eastAsiaTheme="minorEastAsia"/>
        </w:rPr>
        <w:noBreakHyphen/>
      </w:r>
      <w:r w:rsidRPr="007D7D4B">
        <w:rPr>
          <w:rFonts w:eastAsiaTheme="minorEastAsia"/>
        </w:rPr>
        <w:t>R studies, possible regulatory provisions to avoid harmful interference to the radiocommunication services caused by WPT</w:t>
      </w:r>
      <w:r w:rsidR="00137DFB" w:rsidRPr="007D7D4B">
        <w:rPr>
          <w:rFonts w:eastAsiaTheme="minorEastAsia"/>
        </w:rPr>
        <w:t>,</w:t>
      </w:r>
    </w:p>
    <w:p w14:paraId="4632D1F6" w14:textId="05A9A576" w:rsidR="00B54465" w:rsidRPr="007D7D4B" w:rsidRDefault="00B54465" w:rsidP="00E33BC8">
      <w:pPr>
        <w:pStyle w:val="Call"/>
        <w:rPr>
          <w:lang w:eastAsia="zh-CN"/>
        </w:rPr>
      </w:pPr>
      <w:r w:rsidRPr="007D7D4B">
        <w:rPr>
          <w:rFonts w:eastAsia="MS Mincho"/>
          <w:lang w:eastAsia="ja-JP"/>
        </w:rPr>
        <w:t>resolves to invite ITU</w:t>
      </w:r>
      <w:r w:rsidR="00A038A8" w:rsidRPr="007D7D4B">
        <w:rPr>
          <w:rFonts w:eastAsia="MS Mincho"/>
          <w:lang w:eastAsia="ja-JP"/>
        </w:rPr>
        <w:noBreakHyphen/>
      </w:r>
      <w:r w:rsidRPr="007D7D4B">
        <w:rPr>
          <w:rFonts w:eastAsia="MS Mincho"/>
          <w:lang w:eastAsia="ja-JP"/>
        </w:rPr>
        <w:t>R</w:t>
      </w:r>
      <w:r w:rsidRPr="007D7D4B">
        <w:t xml:space="preserve"> to conduct and complete in time for WRC</w:t>
      </w:r>
      <w:r w:rsidR="00A038A8" w:rsidRPr="007D7D4B">
        <w:noBreakHyphen/>
      </w:r>
      <w:r w:rsidRPr="007D7D4B">
        <w:t>27</w:t>
      </w:r>
    </w:p>
    <w:p w14:paraId="7169D56D" w14:textId="51C20907" w:rsidR="00B54465" w:rsidRPr="007D7D4B" w:rsidRDefault="00B54465" w:rsidP="00B54465">
      <w:r w:rsidRPr="007D7D4B">
        <w:t xml:space="preserve">the technical, operational, sharing and compatibility studies, and possible regulatory studies, with a view to ensure the protection of radiocommunication services to which the frequency band is allocated on a primary and secondary basis, or services in the adjacent bands, and WPT does not claim protection from those radiocommunication services, for the </w:t>
      </w:r>
      <w:r w:rsidRPr="007D7D4B">
        <w:rPr>
          <w:rFonts w:eastAsia="MS Mincho"/>
          <w:lang w:eastAsia="ja-JP"/>
        </w:rPr>
        <w:t>frequency bands:</w:t>
      </w:r>
      <w:r w:rsidR="009F602E" w:rsidRPr="007D7D4B">
        <w:rPr>
          <w:rFonts w:eastAsia="MS Mincho"/>
          <w:lang w:eastAsia="ja-JP"/>
        </w:rPr>
        <w:t xml:space="preserve"> </w:t>
      </w:r>
      <w:r w:rsidRPr="007D7D4B">
        <w:t>19-21</w:t>
      </w:r>
      <w:r w:rsidR="00A038A8" w:rsidRPr="007D7D4B">
        <w:t> </w:t>
      </w:r>
      <w:r w:rsidRPr="007D7D4B">
        <w:t>kHz, 55-57</w:t>
      </w:r>
      <w:r w:rsidR="00A038A8" w:rsidRPr="007D7D4B">
        <w:t> </w:t>
      </w:r>
      <w:r w:rsidRPr="007D7D4B">
        <w:t>kHz, 63-65</w:t>
      </w:r>
      <w:r w:rsidR="00A038A8" w:rsidRPr="007D7D4B">
        <w:t> </w:t>
      </w:r>
      <w:r w:rsidRPr="007D7D4B">
        <w:t>kHz, 79-90</w:t>
      </w:r>
      <w:r w:rsidR="00A038A8" w:rsidRPr="007D7D4B">
        <w:t> </w:t>
      </w:r>
      <w:r w:rsidRPr="007D7D4B">
        <w:t>kHz, 100-148.5</w:t>
      </w:r>
      <w:r w:rsidR="00A038A8" w:rsidRPr="007D7D4B">
        <w:t> </w:t>
      </w:r>
      <w:r w:rsidRPr="007D7D4B">
        <w:t>kHz, 6</w:t>
      </w:r>
      <w:r w:rsidR="00A038A8" w:rsidRPr="007D7D4B">
        <w:t> </w:t>
      </w:r>
      <w:r w:rsidRPr="007D7D4B">
        <w:t>765-6</w:t>
      </w:r>
      <w:r w:rsidR="00A038A8" w:rsidRPr="007D7D4B">
        <w:t> </w:t>
      </w:r>
      <w:r w:rsidRPr="007D7D4B">
        <w:t>795</w:t>
      </w:r>
      <w:r w:rsidR="00A038A8" w:rsidRPr="007D7D4B">
        <w:t> </w:t>
      </w:r>
      <w:r w:rsidR="00436FDF" w:rsidRPr="007D7D4B">
        <w:t>kHz</w:t>
      </w:r>
      <w:r w:rsidRPr="007D7D4B">
        <w:t>, 2</w:t>
      </w:r>
      <w:r w:rsidR="00A038A8" w:rsidRPr="007D7D4B">
        <w:t> </w:t>
      </w:r>
      <w:r w:rsidRPr="007D7D4B">
        <w:t>410-2</w:t>
      </w:r>
      <w:r w:rsidR="00A038A8" w:rsidRPr="007D7D4B">
        <w:t> </w:t>
      </w:r>
      <w:r w:rsidRPr="007D7D4B">
        <w:t>483.5/2</w:t>
      </w:r>
      <w:r w:rsidR="00A038A8" w:rsidRPr="007D7D4B">
        <w:t> </w:t>
      </w:r>
      <w:r w:rsidRPr="007D7D4B">
        <w:t>486</w:t>
      </w:r>
      <w:r w:rsidR="00A038A8" w:rsidRPr="007D7D4B">
        <w:t> </w:t>
      </w:r>
      <w:r w:rsidRPr="007D7D4B">
        <w:t>MHz, 5</w:t>
      </w:r>
      <w:r w:rsidR="00A038A8" w:rsidRPr="007D7D4B">
        <w:t> </w:t>
      </w:r>
      <w:r w:rsidRPr="007D7D4B">
        <w:t>725-5</w:t>
      </w:r>
      <w:r w:rsidR="002641AE" w:rsidRPr="007D7D4B">
        <w:t> </w:t>
      </w:r>
      <w:r w:rsidRPr="007D7D4B">
        <w:t>875</w:t>
      </w:r>
      <w:r w:rsidR="00A038A8" w:rsidRPr="007D7D4B">
        <w:t> </w:t>
      </w:r>
      <w:r w:rsidRPr="007D7D4B">
        <w:t>MHz, 61-61.5</w:t>
      </w:r>
      <w:r w:rsidR="00A038A8" w:rsidRPr="007D7D4B">
        <w:t> </w:t>
      </w:r>
      <w:r w:rsidRPr="007D7D4B">
        <w:t>GHz</w:t>
      </w:r>
      <w:r w:rsidR="002641AE" w:rsidRPr="007D7D4B">
        <w:t>,</w:t>
      </w:r>
    </w:p>
    <w:p w14:paraId="69BEFD26" w14:textId="77777777" w:rsidR="00B54465" w:rsidRPr="007D7D4B" w:rsidRDefault="00B54465" w:rsidP="003A2A4F">
      <w:pPr>
        <w:pStyle w:val="Call"/>
        <w:rPr>
          <w:rFonts w:eastAsia="MS Mincho"/>
          <w:lang w:eastAsia="ja-JP"/>
        </w:rPr>
      </w:pPr>
      <w:r w:rsidRPr="007D7D4B">
        <w:rPr>
          <w:rFonts w:eastAsia="MS Mincho"/>
          <w:lang w:eastAsia="ja-JP"/>
        </w:rPr>
        <w:t>resolves to encourage administrations</w:t>
      </w:r>
    </w:p>
    <w:p w14:paraId="5F029589" w14:textId="28E2796C" w:rsidR="00B54465" w:rsidRPr="007D7D4B" w:rsidRDefault="00B54465" w:rsidP="00B54465">
      <w:pPr>
        <w:rPr>
          <w:rFonts w:eastAsia="MS Mincho"/>
          <w:lang w:eastAsia="ja-JP"/>
        </w:rPr>
      </w:pPr>
      <w:r w:rsidRPr="007D7D4B">
        <w:rPr>
          <w:lang w:eastAsia="zh-CN"/>
        </w:rPr>
        <w:t>to participate actively in these studies by submitting contributions to ITU</w:t>
      </w:r>
      <w:r w:rsidR="00A038A8" w:rsidRPr="007D7D4B">
        <w:rPr>
          <w:lang w:eastAsia="zh-CN"/>
        </w:rPr>
        <w:noBreakHyphen/>
      </w:r>
      <w:r w:rsidRPr="007D7D4B">
        <w:rPr>
          <w:lang w:eastAsia="zh-CN"/>
        </w:rPr>
        <w:t>R</w:t>
      </w:r>
      <w:r w:rsidR="00F21684" w:rsidRPr="007D7D4B">
        <w:rPr>
          <w:lang w:eastAsia="zh-CN"/>
        </w:rPr>
        <w:t>,</w:t>
      </w:r>
    </w:p>
    <w:p w14:paraId="012F96D8" w14:textId="77777777" w:rsidR="00B54465" w:rsidRPr="007D7D4B" w:rsidRDefault="00B54465" w:rsidP="003A2A4F">
      <w:pPr>
        <w:pStyle w:val="Call"/>
        <w:rPr>
          <w:rFonts w:eastAsia="MS Mincho"/>
          <w:lang w:eastAsia="ja-JP"/>
        </w:rPr>
      </w:pPr>
      <w:r w:rsidRPr="007D7D4B">
        <w:rPr>
          <w:rFonts w:eastAsia="MS Mincho"/>
          <w:lang w:eastAsia="ja-JP"/>
        </w:rPr>
        <w:t xml:space="preserve">invites </w:t>
      </w:r>
      <w:r w:rsidRPr="007D7D4B">
        <w:t>Member</w:t>
      </w:r>
      <w:r w:rsidRPr="007D7D4B">
        <w:rPr>
          <w:lang w:eastAsia="zh-CN"/>
        </w:rPr>
        <w:t xml:space="preserve"> States, Sector Members, Academia, and Associates</w:t>
      </w:r>
    </w:p>
    <w:p w14:paraId="44B31088" w14:textId="540A3F43" w:rsidR="00594326" w:rsidRPr="007D7D4B" w:rsidRDefault="00B54465" w:rsidP="00B54465">
      <w:pPr>
        <w:rPr>
          <w:rFonts w:eastAsia="MS Mincho"/>
          <w:lang w:eastAsia="ja-JP"/>
        </w:rPr>
      </w:pPr>
      <w:r w:rsidRPr="007D7D4B">
        <w:rPr>
          <w:rFonts w:eastAsia="MS Mincho"/>
          <w:lang w:eastAsia="ja-JP"/>
        </w:rPr>
        <w:t>to participate in the studies by submitting contributions to ITU</w:t>
      </w:r>
      <w:r w:rsidR="00A038A8" w:rsidRPr="007D7D4B">
        <w:rPr>
          <w:rFonts w:eastAsia="MS Mincho"/>
          <w:lang w:eastAsia="ja-JP"/>
        </w:rPr>
        <w:noBreakHyphen/>
      </w:r>
      <w:r w:rsidRPr="007D7D4B">
        <w:rPr>
          <w:rFonts w:eastAsia="MS Mincho"/>
          <w:lang w:eastAsia="ja-JP"/>
        </w:rPr>
        <w:t>R.</w:t>
      </w:r>
    </w:p>
    <w:p w14:paraId="61C1F953" w14:textId="4533870E" w:rsidR="00907498" w:rsidRPr="007D7D4B" w:rsidRDefault="00F21684" w:rsidP="00FD03F6">
      <w:pPr>
        <w:pStyle w:val="Reasons"/>
        <w:rPr>
          <w:rFonts w:eastAsia="MS Mincho"/>
          <w:lang w:eastAsia="ja-JP"/>
        </w:rPr>
      </w:pPr>
      <w:r w:rsidRPr="007D7D4B">
        <w:rPr>
          <w:b/>
          <w:bCs/>
        </w:rPr>
        <w:t>Reasons</w:t>
      </w:r>
      <w:r w:rsidRPr="007D7D4B">
        <w:t>:</w:t>
      </w:r>
      <w:r w:rsidRPr="007D7D4B">
        <w:tab/>
        <w:t>Proposal for a new WRC-27 agenda item to consider Wireless Power Transmission (WPT).</w:t>
      </w:r>
    </w:p>
    <w:tbl>
      <w:tblPr>
        <w:tblpPr w:leftFromText="180" w:rightFromText="180" w:vertAnchor="text" w:tblpX="-84" w:tblpY="1"/>
        <w:tblOverlap w:val="never"/>
        <w:tblW w:w="9923" w:type="dxa"/>
        <w:tblLayout w:type="fixed"/>
        <w:tblLook w:val="04A0" w:firstRow="1" w:lastRow="0" w:firstColumn="1" w:lastColumn="0" w:noHBand="0" w:noVBand="1"/>
      </w:tblPr>
      <w:tblGrid>
        <w:gridCol w:w="4897"/>
        <w:gridCol w:w="5026"/>
      </w:tblGrid>
      <w:tr w:rsidR="00CD0B07" w:rsidRPr="007D7D4B" w14:paraId="53364855" w14:textId="77777777" w:rsidTr="008955A0">
        <w:trPr>
          <w:cantSplit/>
        </w:trPr>
        <w:tc>
          <w:tcPr>
            <w:tcW w:w="9923" w:type="dxa"/>
            <w:gridSpan w:val="2"/>
          </w:tcPr>
          <w:p w14:paraId="57578280" w14:textId="6474F0C5" w:rsidR="00CD0B07" w:rsidRPr="007D7D4B" w:rsidRDefault="00CD0B07" w:rsidP="00424554">
            <w:pPr>
              <w:keepNext/>
              <w:spacing w:after="120"/>
            </w:pPr>
            <w:r w:rsidRPr="007D7D4B">
              <w:rPr>
                <w:b/>
                <w:bCs/>
              </w:rPr>
              <w:t>Subject:</w:t>
            </w:r>
            <w:r w:rsidRPr="007D7D4B">
              <w:rPr>
                <w:rFonts w:eastAsia="SimSun"/>
                <w:b/>
                <w:bCs/>
                <w:lang w:eastAsia="zh-CN"/>
              </w:rPr>
              <w:t xml:space="preserve"> </w:t>
            </w:r>
            <w:r w:rsidRPr="007D7D4B">
              <w:rPr>
                <w:b/>
                <w:bCs/>
              </w:rPr>
              <w:t>Proposal of WRC</w:t>
            </w:r>
            <w:r w:rsidR="00A038A8" w:rsidRPr="007D7D4B">
              <w:rPr>
                <w:b/>
                <w:bCs/>
              </w:rPr>
              <w:noBreakHyphen/>
            </w:r>
            <w:r w:rsidRPr="007D7D4B">
              <w:rPr>
                <w:b/>
                <w:bCs/>
              </w:rPr>
              <w:t xml:space="preserve">27 </w:t>
            </w:r>
            <w:r w:rsidR="00F21684" w:rsidRPr="007D7D4B">
              <w:rPr>
                <w:b/>
                <w:bCs/>
              </w:rPr>
              <w:t>a</w:t>
            </w:r>
            <w:r w:rsidRPr="007D7D4B">
              <w:rPr>
                <w:b/>
                <w:bCs/>
              </w:rPr>
              <w:t xml:space="preserve">genda </w:t>
            </w:r>
            <w:r w:rsidR="00F21684" w:rsidRPr="007D7D4B">
              <w:rPr>
                <w:b/>
                <w:bCs/>
              </w:rPr>
              <w:t>i</w:t>
            </w:r>
            <w:r w:rsidRPr="007D7D4B">
              <w:rPr>
                <w:b/>
                <w:bCs/>
              </w:rPr>
              <w:t>tem on Wireless Power Transmission (WPT)</w:t>
            </w:r>
          </w:p>
        </w:tc>
      </w:tr>
      <w:tr w:rsidR="00CD0B07" w:rsidRPr="007D7D4B" w14:paraId="6252F56F" w14:textId="77777777" w:rsidTr="009A5C75">
        <w:trPr>
          <w:cantSplit/>
        </w:trPr>
        <w:tc>
          <w:tcPr>
            <w:tcW w:w="9923" w:type="dxa"/>
            <w:gridSpan w:val="2"/>
            <w:tcBorders>
              <w:top w:val="nil"/>
              <w:left w:val="nil"/>
              <w:bottom w:val="single" w:sz="4" w:space="0" w:color="auto"/>
              <w:right w:val="nil"/>
            </w:tcBorders>
          </w:tcPr>
          <w:p w14:paraId="6481CAEE" w14:textId="77777777" w:rsidR="00CD0B07" w:rsidRPr="007D7D4B" w:rsidRDefault="00CD0B07" w:rsidP="00424554">
            <w:pPr>
              <w:keepNext/>
              <w:spacing w:after="120"/>
              <w:rPr>
                <w:rFonts w:eastAsia="MS Mincho"/>
                <w:b/>
                <w:bCs/>
                <w:lang w:eastAsia="ja-JP"/>
              </w:rPr>
            </w:pPr>
            <w:r w:rsidRPr="007D7D4B">
              <w:rPr>
                <w:b/>
                <w:bCs/>
              </w:rPr>
              <w:t>Origin:</w:t>
            </w:r>
            <w:r w:rsidRPr="007D7D4B">
              <w:rPr>
                <w:rFonts w:eastAsia="SimSun"/>
                <w:b/>
                <w:bCs/>
                <w:lang w:eastAsia="zh-CN"/>
              </w:rPr>
              <w:t xml:space="preserve"> </w:t>
            </w:r>
            <w:r w:rsidRPr="007D7D4B">
              <w:rPr>
                <w:rFonts w:eastAsia="MS Mincho"/>
                <w:b/>
                <w:bCs/>
                <w:lang w:eastAsia="ja-JP"/>
              </w:rPr>
              <w:t>APT</w:t>
            </w:r>
          </w:p>
        </w:tc>
      </w:tr>
      <w:tr w:rsidR="00CD0B07" w:rsidRPr="007D7D4B" w14:paraId="0D662C11" w14:textId="77777777" w:rsidTr="009A5C75">
        <w:trPr>
          <w:cantSplit/>
        </w:trPr>
        <w:tc>
          <w:tcPr>
            <w:tcW w:w="9923" w:type="dxa"/>
            <w:gridSpan w:val="2"/>
            <w:tcBorders>
              <w:top w:val="single" w:sz="4" w:space="0" w:color="auto"/>
              <w:left w:val="nil"/>
              <w:bottom w:val="single" w:sz="4" w:space="0" w:color="auto"/>
              <w:right w:val="nil"/>
            </w:tcBorders>
          </w:tcPr>
          <w:p w14:paraId="239E8F86" w14:textId="77777777" w:rsidR="00CD0B07" w:rsidRPr="007D7D4B" w:rsidRDefault="00CD0B07" w:rsidP="00424554">
            <w:pPr>
              <w:keepNext/>
              <w:spacing w:after="120"/>
              <w:rPr>
                <w:b/>
                <w:i/>
                <w:color w:val="000000"/>
              </w:rPr>
            </w:pPr>
            <w:r w:rsidRPr="007D7D4B">
              <w:rPr>
                <w:b/>
                <w:i/>
                <w:color w:val="000000"/>
              </w:rPr>
              <w:t>Proposal</w:t>
            </w:r>
            <w:r w:rsidRPr="007D7D4B">
              <w:rPr>
                <w:b/>
                <w:iCs/>
                <w:color w:val="000000"/>
              </w:rPr>
              <w:t>:</w:t>
            </w:r>
          </w:p>
          <w:p w14:paraId="14F4C63F" w14:textId="77777777" w:rsidR="00CD0B07" w:rsidRPr="007D7D4B" w:rsidRDefault="00CD0B07" w:rsidP="00424554">
            <w:pPr>
              <w:rPr>
                <w:rFonts w:eastAsiaTheme="minorEastAsia"/>
                <w:i/>
                <w:iCs/>
              </w:rPr>
            </w:pPr>
            <w:r w:rsidRPr="007D7D4B">
              <w:rPr>
                <w:rFonts w:eastAsiaTheme="minorEastAsia"/>
                <w:i/>
                <w:iCs/>
              </w:rPr>
              <w:t>Studies on possible regulatory provisions to avoid harmful interference to the radiocommunication services caused by Wireless Power Transmission (WPT)</w:t>
            </w:r>
          </w:p>
        </w:tc>
      </w:tr>
      <w:tr w:rsidR="00CD0B07" w:rsidRPr="007D7D4B" w14:paraId="22081B3F" w14:textId="77777777" w:rsidTr="008955A0">
        <w:trPr>
          <w:cantSplit/>
        </w:trPr>
        <w:tc>
          <w:tcPr>
            <w:tcW w:w="9923" w:type="dxa"/>
            <w:gridSpan w:val="2"/>
            <w:tcBorders>
              <w:top w:val="single" w:sz="4" w:space="0" w:color="auto"/>
              <w:left w:val="nil"/>
              <w:bottom w:val="single" w:sz="4" w:space="0" w:color="auto"/>
              <w:right w:val="nil"/>
            </w:tcBorders>
          </w:tcPr>
          <w:p w14:paraId="23B53F1A" w14:textId="77777777" w:rsidR="00CD0B07" w:rsidRPr="007D7D4B" w:rsidRDefault="00CD0B07" w:rsidP="00424554">
            <w:pPr>
              <w:keepNext/>
              <w:spacing w:after="120"/>
              <w:jc w:val="both"/>
              <w:rPr>
                <w:b/>
                <w:iCs/>
                <w:color w:val="000000"/>
              </w:rPr>
            </w:pPr>
            <w:r w:rsidRPr="007D7D4B">
              <w:rPr>
                <w:b/>
                <w:iCs/>
                <w:color w:val="000000"/>
              </w:rPr>
              <w:t>Background/reason:</w:t>
            </w:r>
          </w:p>
          <w:p w14:paraId="7B428163" w14:textId="77777777" w:rsidR="00CD0B07" w:rsidRPr="007D7D4B" w:rsidRDefault="00CD0B07" w:rsidP="008955A0">
            <w:pPr>
              <w:rPr>
                <w:rFonts w:eastAsiaTheme="minorEastAsia"/>
                <w:lang w:eastAsia="ja-JP"/>
              </w:rPr>
            </w:pPr>
            <w:r w:rsidRPr="007D7D4B">
              <w:rPr>
                <w:rFonts w:eastAsiaTheme="minorEastAsia"/>
                <w:lang w:eastAsia="ja-JP"/>
              </w:rPr>
              <w:t xml:space="preserve">A wide variety of technologies and applications of Wireless Power Transmission (WPT) are evolving, planned, or have already been partly put on the market. </w:t>
            </w:r>
          </w:p>
          <w:p w14:paraId="416AB4F7" w14:textId="77777777" w:rsidR="00CD0B07" w:rsidRPr="007D7D4B" w:rsidRDefault="00CD0B07" w:rsidP="00F6629C">
            <w:pPr>
              <w:rPr>
                <w:rFonts w:eastAsiaTheme="minorEastAsia"/>
                <w:lang w:eastAsia="ja-JP"/>
              </w:rPr>
            </w:pPr>
            <w:r w:rsidRPr="007D7D4B">
              <w:rPr>
                <w:rFonts w:eastAsiaTheme="minorEastAsia"/>
                <w:lang w:eastAsia="ja-JP"/>
              </w:rPr>
              <w:t>This proposal is based on the following current regulatory situation regarding WPT:</w:t>
            </w:r>
          </w:p>
          <w:p w14:paraId="35AD4744" w14:textId="0D0AC75F" w:rsidR="00CD0B07" w:rsidRPr="007D7D4B" w:rsidRDefault="00F21684" w:rsidP="008955A0">
            <w:pPr>
              <w:ind w:left="1134" w:hanging="1134"/>
              <w:rPr>
                <w:rFonts w:eastAsiaTheme="minorEastAsia"/>
                <w:lang w:eastAsia="ja-JP"/>
              </w:rPr>
            </w:pPr>
            <w:r w:rsidRPr="007D7D4B">
              <w:rPr>
                <w:rFonts w:eastAsiaTheme="minorEastAsia"/>
                <w:lang w:eastAsia="ja-JP"/>
              </w:rPr>
              <w:t>–</w:t>
            </w:r>
            <w:r w:rsidRPr="007D7D4B">
              <w:rPr>
                <w:rFonts w:eastAsiaTheme="minorEastAsia"/>
                <w:lang w:eastAsia="ja-JP"/>
              </w:rPr>
              <w:tab/>
            </w:r>
            <w:r w:rsidR="00CD0B07" w:rsidRPr="007D7D4B">
              <w:rPr>
                <w:rFonts w:eastAsiaTheme="minorEastAsia"/>
                <w:lang w:eastAsia="ja-JP"/>
              </w:rPr>
              <w:t>Since a WPT equipment is obviously a kind of electrical apparatus or installations, RR Nos.</w:t>
            </w:r>
            <w:r w:rsidR="00A038A8" w:rsidRPr="007D7D4B">
              <w:rPr>
                <w:rFonts w:eastAsiaTheme="minorEastAsia"/>
                <w:lang w:eastAsia="ja-JP"/>
              </w:rPr>
              <w:t> </w:t>
            </w:r>
            <w:r w:rsidR="00CD0B07" w:rsidRPr="007D7D4B">
              <w:rPr>
                <w:rFonts w:eastAsiaTheme="minorEastAsia"/>
                <w:b/>
                <w:bCs/>
                <w:lang w:eastAsia="ja-JP"/>
              </w:rPr>
              <w:t>15.12</w:t>
            </w:r>
            <w:r w:rsidR="00CD0B07" w:rsidRPr="007D7D4B">
              <w:rPr>
                <w:rFonts w:eastAsiaTheme="minorEastAsia"/>
                <w:lang w:eastAsia="ja-JP"/>
              </w:rPr>
              <w:t xml:space="preserve"> and </w:t>
            </w:r>
            <w:r w:rsidR="00CD0B07" w:rsidRPr="007D7D4B">
              <w:rPr>
                <w:rFonts w:eastAsiaTheme="minorEastAsia"/>
                <w:b/>
                <w:bCs/>
                <w:lang w:eastAsia="ja-JP"/>
              </w:rPr>
              <w:t>15.13</w:t>
            </w:r>
            <w:r w:rsidR="00CD0B07" w:rsidRPr="007D7D4B">
              <w:rPr>
                <w:rFonts w:eastAsiaTheme="minorEastAsia"/>
                <w:lang w:eastAsia="ja-JP"/>
              </w:rPr>
              <w:t xml:space="preserve"> are applicable and, administrations shall take all practicable and necessary steps to ensure that the operation of WPT equipment does not cause harmful interference to a radiocommunication service, in particular, to radionavigation or any other safety services.</w:t>
            </w:r>
            <w:r w:rsidR="00CD0B07" w:rsidRPr="007D7D4B" w:rsidDel="006C1B38">
              <w:rPr>
                <w:rFonts w:eastAsiaTheme="minorEastAsia"/>
                <w:lang w:eastAsia="ja-JP"/>
              </w:rPr>
              <w:t xml:space="preserve"> </w:t>
            </w:r>
          </w:p>
          <w:p w14:paraId="5393C5E2" w14:textId="47146A96" w:rsidR="00CD0B07" w:rsidRPr="007D7D4B" w:rsidRDefault="00F21684" w:rsidP="008955A0">
            <w:pPr>
              <w:ind w:left="1134" w:hanging="1134"/>
              <w:rPr>
                <w:rFonts w:eastAsiaTheme="minorEastAsia"/>
                <w:lang w:eastAsia="ja-JP"/>
              </w:rPr>
            </w:pPr>
            <w:r w:rsidRPr="007D7D4B">
              <w:rPr>
                <w:rFonts w:eastAsiaTheme="minorEastAsia"/>
                <w:lang w:eastAsia="ja-JP"/>
              </w:rPr>
              <w:t>–</w:t>
            </w:r>
            <w:r w:rsidRPr="007D7D4B">
              <w:rPr>
                <w:rFonts w:eastAsiaTheme="minorEastAsia"/>
                <w:lang w:eastAsia="ja-JP"/>
              </w:rPr>
              <w:tab/>
            </w:r>
            <w:r w:rsidR="00CD0B07" w:rsidRPr="007D7D4B">
              <w:rPr>
                <w:rFonts w:eastAsiaTheme="minorEastAsia"/>
                <w:lang w:eastAsia="ja-JP"/>
              </w:rPr>
              <w:t>Under the current international regulatory situation regarding WPT, many countries do not have sufficient regulations on WPT necessary to prevent harmful interferences to the radio services, and it is necessary to improve this situation.</w:t>
            </w:r>
          </w:p>
          <w:p w14:paraId="671B4232" w14:textId="220CE899" w:rsidR="00CD0B07" w:rsidRPr="007D7D4B" w:rsidRDefault="00F21684" w:rsidP="008955A0">
            <w:pPr>
              <w:ind w:left="1134" w:hanging="1134"/>
              <w:rPr>
                <w:rFonts w:eastAsiaTheme="minorEastAsia"/>
                <w:lang w:eastAsia="ja-JP"/>
              </w:rPr>
            </w:pPr>
            <w:r w:rsidRPr="007D7D4B">
              <w:rPr>
                <w:rFonts w:eastAsiaTheme="minorEastAsia"/>
                <w:lang w:eastAsia="ja-JP"/>
              </w:rPr>
              <w:t>–</w:t>
            </w:r>
            <w:r w:rsidRPr="007D7D4B">
              <w:rPr>
                <w:rFonts w:eastAsiaTheme="minorEastAsia"/>
                <w:lang w:eastAsia="ja-JP"/>
              </w:rPr>
              <w:tab/>
            </w:r>
            <w:r w:rsidR="00CD0B07" w:rsidRPr="007D7D4B">
              <w:rPr>
                <w:rFonts w:eastAsiaTheme="minorEastAsia"/>
                <w:lang w:eastAsia="ja-JP"/>
              </w:rPr>
              <w:t>The ITU</w:t>
            </w:r>
            <w:r w:rsidR="00A038A8" w:rsidRPr="007D7D4B">
              <w:rPr>
                <w:rFonts w:eastAsiaTheme="minorEastAsia"/>
                <w:lang w:eastAsia="ja-JP"/>
              </w:rPr>
              <w:noBreakHyphen/>
            </w:r>
            <w:r w:rsidR="00CD0B07" w:rsidRPr="007D7D4B">
              <w:rPr>
                <w:rFonts w:eastAsiaTheme="minorEastAsia"/>
                <w:lang w:eastAsia="ja-JP"/>
              </w:rPr>
              <w:t>R Recommendations on WPT recommend that administrations may consider as guidance, the use of the frequency ranges, or portions thereof, that are listed in the Recommendations for the operation of WPT systems.</w:t>
            </w:r>
          </w:p>
          <w:p w14:paraId="1BC762DD" w14:textId="313A82A2" w:rsidR="00CD0B07" w:rsidRPr="007D7D4B" w:rsidRDefault="00F21684" w:rsidP="008955A0">
            <w:pPr>
              <w:ind w:left="1134" w:hanging="1134"/>
              <w:rPr>
                <w:rFonts w:eastAsiaTheme="minorEastAsia"/>
                <w:lang w:eastAsia="ja-JP"/>
              </w:rPr>
            </w:pPr>
            <w:r w:rsidRPr="007D7D4B">
              <w:rPr>
                <w:rFonts w:eastAsiaTheme="minorEastAsia"/>
                <w:lang w:eastAsia="ja-JP"/>
              </w:rPr>
              <w:t>–</w:t>
            </w:r>
            <w:r w:rsidRPr="007D7D4B">
              <w:rPr>
                <w:rFonts w:eastAsiaTheme="minorEastAsia"/>
                <w:lang w:eastAsia="ja-JP"/>
              </w:rPr>
              <w:tab/>
            </w:r>
            <w:r w:rsidR="00CD0B07" w:rsidRPr="007D7D4B">
              <w:rPr>
                <w:rFonts w:eastAsiaTheme="minorEastAsia"/>
                <w:lang w:eastAsia="ja-JP"/>
              </w:rPr>
              <w:t xml:space="preserve">The frequency ranges listed in these Recommendations are based on the results of interference studies considering the situation in some countries. </w:t>
            </w:r>
          </w:p>
          <w:p w14:paraId="4B2884F0" w14:textId="1DD7A489" w:rsidR="00CD0B07" w:rsidRPr="007D7D4B" w:rsidRDefault="00CD0B07" w:rsidP="008955A0">
            <w:r w:rsidRPr="007D7D4B">
              <w:t>Based on the above-mentioned situation, APT</w:t>
            </w:r>
            <w:r w:rsidRPr="007D7D4B">
              <w:rPr>
                <w:rFonts w:eastAsia="MS Mincho"/>
                <w:lang w:eastAsia="ja-JP"/>
              </w:rPr>
              <w:t xml:space="preserve"> proposes the following new </w:t>
            </w:r>
            <w:r w:rsidR="00F21684" w:rsidRPr="007D7D4B">
              <w:rPr>
                <w:rFonts w:eastAsia="MS Mincho"/>
                <w:lang w:eastAsia="ja-JP"/>
              </w:rPr>
              <w:t>a</w:t>
            </w:r>
            <w:r w:rsidRPr="007D7D4B">
              <w:rPr>
                <w:rFonts w:eastAsia="MS Mincho"/>
                <w:lang w:eastAsia="ja-JP"/>
              </w:rPr>
              <w:t xml:space="preserve">genda </w:t>
            </w:r>
            <w:r w:rsidR="008955A0" w:rsidRPr="007D7D4B">
              <w:rPr>
                <w:rFonts w:eastAsia="MS Mincho"/>
                <w:lang w:eastAsia="ja-JP"/>
              </w:rPr>
              <w:t>i</w:t>
            </w:r>
            <w:r w:rsidRPr="007D7D4B">
              <w:rPr>
                <w:rFonts w:eastAsia="MS Mincho"/>
                <w:lang w:eastAsia="ja-JP"/>
              </w:rPr>
              <w:t>tem for WRC</w:t>
            </w:r>
            <w:r w:rsidR="00A038A8" w:rsidRPr="007D7D4B">
              <w:rPr>
                <w:rFonts w:eastAsia="MS Mincho"/>
                <w:lang w:eastAsia="ja-JP"/>
              </w:rPr>
              <w:noBreakHyphen/>
            </w:r>
            <w:r w:rsidRPr="007D7D4B">
              <w:rPr>
                <w:rFonts w:eastAsia="MS Mincho"/>
                <w:lang w:eastAsia="ja-JP"/>
              </w:rPr>
              <w:t>27:</w:t>
            </w:r>
          </w:p>
          <w:p w14:paraId="6C80BE0E" w14:textId="3649EBAC" w:rsidR="00CD0B07" w:rsidRPr="007D7D4B" w:rsidRDefault="00F21684" w:rsidP="008955A0">
            <w:pPr>
              <w:ind w:left="1134" w:hanging="1134"/>
              <w:rPr>
                <w:rFonts w:eastAsiaTheme="minorEastAsia"/>
                <w:lang w:eastAsia="ja-JP"/>
              </w:rPr>
            </w:pPr>
            <w:r w:rsidRPr="007D7D4B">
              <w:rPr>
                <w:rFonts w:eastAsiaTheme="minorEastAsia"/>
              </w:rPr>
              <w:lastRenderedPageBreak/>
              <w:t>–</w:t>
            </w:r>
            <w:r w:rsidRPr="007D7D4B">
              <w:rPr>
                <w:rFonts w:eastAsiaTheme="minorEastAsia"/>
              </w:rPr>
              <w:tab/>
            </w:r>
            <w:r w:rsidR="00CD0B07" w:rsidRPr="007D7D4B">
              <w:rPr>
                <w:rFonts w:eastAsiaTheme="minorEastAsia"/>
              </w:rPr>
              <w:t>Studies on possible regulatory provisions to avoid harmful interference to the radiocommunication services caused by Wireless Power Transmission (WPT)</w:t>
            </w:r>
          </w:p>
        </w:tc>
      </w:tr>
      <w:tr w:rsidR="00CD0B07" w:rsidRPr="007D7D4B" w14:paraId="56F326FC" w14:textId="77777777" w:rsidTr="00424554">
        <w:trPr>
          <w:cantSplit/>
        </w:trPr>
        <w:tc>
          <w:tcPr>
            <w:tcW w:w="9923" w:type="dxa"/>
            <w:gridSpan w:val="2"/>
            <w:tcBorders>
              <w:top w:val="single" w:sz="4" w:space="0" w:color="auto"/>
              <w:left w:val="nil"/>
              <w:bottom w:val="single" w:sz="4" w:space="0" w:color="auto"/>
              <w:right w:val="nil"/>
            </w:tcBorders>
          </w:tcPr>
          <w:p w14:paraId="2C09F29D" w14:textId="77777777" w:rsidR="00CD0B07" w:rsidRPr="007D7D4B" w:rsidRDefault="00CD0B07" w:rsidP="00424554">
            <w:pPr>
              <w:keepNext/>
              <w:spacing w:after="120"/>
              <w:rPr>
                <w:b/>
                <w:i/>
              </w:rPr>
            </w:pPr>
            <w:r w:rsidRPr="007D7D4B">
              <w:rPr>
                <w:b/>
                <w:i/>
              </w:rPr>
              <w:lastRenderedPageBreak/>
              <w:t>Radiocommunication services concerned</w:t>
            </w:r>
            <w:r w:rsidRPr="007D7D4B">
              <w:rPr>
                <w:b/>
                <w:iCs/>
              </w:rPr>
              <w:t>:</w:t>
            </w:r>
          </w:p>
          <w:p w14:paraId="14AD49C1" w14:textId="77777777" w:rsidR="00CD0B07" w:rsidRPr="007D7D4B" w:rsidRDefault="00CD0B07" w:rsidP="00424554">
            <w:pPr>
              <w:keepNext/>
              <w:spacing w:after="120"/>
              <w:rPr>
                <w:b/>
                <w:iCs/>
              </w:rPr>
            </w:pPr>
            <w:r w:rsidRPr="007D7D4B">
              <w:rPr>
                <w:rFonts w:eastAsiaTheme="minorEastAsia"/>
                <w:bCs/>
                <w:iCs/>
                <w:color w:val="000000"/>
                <w:lang w:eastAsia="ja-JP"/>
              </w:rPr>
              <w:t>All radiocommunication services and the radio astronomy services</w:t>
            </w:r>
          </w:p>
        </w:tc>
      </w:tr>
      <w:tr w:rsidR="00CD0B07" w:rsidRPr="007D7D4B" w14:paraId="2381F10A" w14:textId="77777777" w:rsidTr="00424554">
        <w:trPr>
          <w:cantSplit/>
        </w:trPr>
        <w:tc>
          <w:tcPr>
            <w:tcW w:w="9923" w:type="dxa"/>
            <w:gridSpan w:val="2"/>
            <w:tcBorders>
              <w:top w:val="single" w:sz="4" w:space="0" w:color="auto"/>
              <w:left w:val="nil"/>
              <w:bottom w:val="single" w:sz="4" w:space="0" w:color="auto"/>
              <w:right w:val="nil"/>
            </w:tcBorders>
          </w:tcPr>
          <w:p w14:paraId="492B8263" w14:textId="77777777" w:rsidR="00CD0B07" w:rsidRPr="007D7D4B" w:rsidRDefault="00CD0B07" w:rsidP="00424554">
            <w:pPr>
              <w:keepNext/>
              <w:spacing w:after="120"/>
              <w:rPr>
                <w:b/>
                <w:i/>
              </w:rPr>
            </w:pPr>
            <w:r w:rsidRPr="007D7D4B">
              <w:rPr>
                <w:b/>
                <w:i/>
              </w:rPr>
              <w:t>Indication of possible difficulties</w:t>
            </w:r>
            <w:r w:rsidRPr="007D7D4B">
              <w:rPr>
                <w:b/>
                <w:iCs/>
              </w:rPr>
              <w:t>:</w:t>
            </w:r>
          </w:p>
          <w:p w14:paraId="2535FEF0" w14:textId="3024A640" w:rsidR="00CD0B07" w:rsidRPr="007D7D4B" w:rsidRDefault="002641AE" w:rsidP="00424554">
            <w:pPr>
              <w:rPr>
                <w:rFonts w:eastAsiaTheme="minorEastAsia"/>
                <w:lang w:eastAsia="ja-JP"/>
              </w:rPr>
            </w:pPr>
            <w:r w:rsidRPr="007D7D4B">
              <w:rPr>
                <w:rFonts w:eastAsiaTheme="minorEastAsia"/>
                <w:lang w:eastAsia="ja-JP"/>
              </w:rPr>
              <w:t>None</w:t>
            </w:r>
            <w:r w:rsidR="00CD0B07" w:rsidRPr="007D7D4B">
              <w:rPr>
                <w:rFonts w:eastAsiaTheme="minorEastAsia"/>
                <w:lang w:eastAsia="ja-JP"/>
              </w:rPr>
              <w:t>.</w:t>
            </w:r>
          </w:p>
        </w:tc>
      </w:tr>
      <w:tr w:rsidR="00CD0B07" w:rsidRPr="007D7D4B" w14:paraId="50EFE8EB" w14:textId="77777777" w:rsidTr="00424554">
        <w:trPr>
          <w:cantSplit/>
        </w:trPr>
        <w:tc>
          <w:tcPr>
            <w:tcW w:w="9923" w:type="dxa"/>
            <w:gridSpan w:val="2"/>
            <w:tcBorders>
              <w:top w:val="single" w:sz="4" w:space="0" w:color="auto"/>
              <w:left w:val="nil"/>
              <w:bottom w:val="single" w:sz="4" w:space="0" w:color="auto"/>
              <w:right w:val="nil"/>
            </w:tcBorders>
          </w:tcPr>
          <w:p w14:paraId="4B08DAC8" w14:textId="77777777" w:rsidR="00CD0B07" w:rsidRPr="007D7D4B" w:rsidRDefault="00CD0B07" w:rsidP="00424554">
            <w:pPr>
              <w:keepNext/>
              <w:spacing w:after="120"/>
              <w:rPr>
                <w:b/>
                <w:i/>
              </w:rPr>
            </w:pPr>
            <w:r w:rsidRPr="007D7D4B">
              <w:rPr>
                <w:b/>
                <w:i/>
              </w:rPr>
              <w:t>Previous/ongoing studies on the issue</w:t>
            </w:r>
            <w:r w:rsidRPr="007D7D4B">
              <w:rPr>
                <w:b/>
                <w:iCs/>
              </w:rPr>
              <w:t>:</w:t>
            </w:r>
          </w:p>
          <w:p w14:paraId="2DBE15CE" w14:textId="4A6A365D" w:rsidR="00CD0B07" w:rsidRPr="007D7D4B" w:rsidRDefault="00CD0B07" w:rsidP="00424554">
            <w:pPr>
              <w:rPr>
                <w:rFonts w:eastAsiaTheme="minorEastAsia"/>
                <w:bCs/>
                <w:iCs/>
                <w:color w:val="000000"/>
                <w:lang w:eastAsia="ja-JP"/>
              </w:rPr>
            </w:pPr>
            <w:r w:rsidRPr="007D7D4B">
              <w:rPr>
                <w:rFonts w:eastAsiaTheme="minorEastAsia"/>
                <w:bCs/>
                <w:iCs/>
                <w:color w:val="000000"/>
                <w:lang w:eastAsia="ja-JP"/>
              </w:rPr>
              <w:t>WRC</w:t>
            </w:r>
            <w:r w:rsidR="00A038A8" w:rsidRPr="007D7D4B">
              <w:rPr>
                <w:rFonts w:eastAsiaTheme="minorEastAsia"/>
                <w:bCs/>
                <w:iCs/>
                <w:color w:val="000000"/>
                <w:lang w:eastAsia="ja-JP"/>
              </w:rPr>
              <w:noBreakHyphen/>
            </w:r>
            <w:r w:rsidRPr="007D7D4B">
              <w:rPr>
                <w:rFonts w:eastAsiaTheme="minorEastAsia"/>
                <w:bCs/>
                <w:iCs/>
                <w:color w:val="000000"/>
                <w:lang w:eastAsia="ja-JP"/>
              </w:rPr>
              <w:t>15 approved Resolution</w:t>
            </w:r>
            <w:r w:rsidR="00A038A8" w:rsidRPr="007D7D4B">
              <w:rPr>
                <w:rFonts w:eastAsiaTheme="minorEastAsia"/>
                <w:bCs/>
                <w:iCs/>
                <w:color w:val="000000"/>
                <w:lang w:eastAsia="ja-JP"/>
              </w:rPr>
              <w:t> </w:t>
            </w:r>
            <w:r w:rsidRPr="007D7D4B">
              <w:rPr>
                <w:rFonts w:eastAsiaTheme="minorEastAsia"/>
                <w:bCs/>
                <w:iCs/>
                <w:color w:val="000000"/>
                <w:lang w:eastAsia="ja-JP"/>
              </w:rPr>
              <w:t>958 for urgent studies on WPT for EV in preparation for WRC</w:t>
            </w:r>
            <w:r w:rsidR="00A038A8" w:rsidRPr="007D7D4B">
              <w:rPr>
                <w:rFonts w:eastAsiaTheme="minorEastAsia"/>
                <w:bCs/>
                <w:iCs/>
                <w:color w:val="000000"/>
                <w:lang w:eastAsia="ja-JP"/>
              </w:rPr>
              <w:noBreakHyphen/>
            </w:r>
            <w:r w:rsidRPr="007D7D4B">
              <w:rPr>
                <w:rFonts w:eastAsiaTheme="minorEastAsia"/>
                <w:bCs/>
                <w:iCs/>
                <w:color w:val="000000"/>
                <w:lang w:eastAsia="ja-JP"/>
              </w:rPr>
              <w:t>19. However, ITU</w:t>
            </w:r>
            <w:r w:rsidR="00A038A8" w:rsidRPr="007D7D4B">
              <w:rPr>
                <w:rFonts w:eastAsiaTheme="minorEastAsia"/>
                <w:bCs/>
                <w:iCs/>
                <w:color w:val="000000"/>
                <w:lang w:eastAsia="ja-JP"/>
              </w:rPr>
              <w:noBreakHyphen/>
            </w:r>
            <w:r w:rsidRPr="007D7D4B">
              <w:rPr>
                <w:rFonts w:eastAsiaTheme="minorEastAsia"/>
                <w:bCs/>
                <w:iCs/>
                <w:color w:val="000000"/>
                <w:lang w:eastAsia="ja-JP"/>
              </w:rPr>
              <w:t>R SG 1 failed to approve an ITU</w:t>
            </w:r>
            <w:r w:rsidR="00A038A8" w:rsidRPr="007D7D4B">
              <w:rPr>
                <w:rFonts w:eastAsiaTheme="minorEastAsia"/>
                <w:bCs/>
                <w:iCs/>
                <w:color w:val="000000"/>
                <w:lang w:eastAsia="ja-JP"/>
              </w:rPr>
              <w:noBreakHyphen/>
            </w:r>
            <w:r w:rsidRPr="007D7D4B">
              <w:rPr>
                <w:rFonts w:eastAsiaTheme="minorEastAsia"/>
                <w:bCs/>
                <w:iCs/>
                <w:color w:val="000000"/>
                <w:lang w:eastAsia="ja-JP"/>
              </w:rPr>
              <w:t>R Recommendation in time for WRC</w:t>
            </w:r>
            <w:r w:rsidR="00A038A8" w:rsidRPr="007D7D4B">
              <w:rPr>
                <w:rFonts w:eastAsiaTheme="minorEastAsia"/>
                <w:bCs/>
                <w:iCs/>
                <w:color w:val="000000"/>
                <w:lang w:eastAsia="ja-JP"/>
              </w:rPr>
              <w:noBreakHyphen/>
            </w:r>
            <w:r w:rsidRPr="007D7D4B">
              <w:rPr>
                <w:rFonts w:eastAsiaTheme="minorEastAsia"/>
                <w:bCs/>
                <w:iCs/>
                <w:color w:val="000000"/>
                <w:lang w:eastAsia="ja-JP"/>
              </w:rPr>
              <w:t>19. Therefore, WRC</w:t>
            </w:r>
            <w:r w:rsidR="00A038A8" w:rsidRPr="007D7D4B">
              <w:rPr>
                <w:rFonts w:eastAsiaTheme="minorEastAsia"/>
                <w:bCs/>
                <w:iCs/>
                <w:color w:val="000000"/>
                <w:lang w:eastAsia="ja-JP"/>
              </w:rPr>
              <w:noBreakHyphen/>
            </w:r>
            <w:r w:rsidRPr="007D7D4B">
              <w:rPr>
                <w:rFonts w:eastAsiaTheme="minorEastAsia"/>
                <w:bCs/>
                <w:iCs/>
                <w:color w:val="000000"/>
                <w:lang w:eastAsia="ja-JP"/>
              </w:rPr>
              <w:t xml:space="preserve">19 decided that </w:t>
            </w:r>
            <w:r w:rsidRPr="007D7D4B">
              <w:t>no changes were required to the RR at WRC</w:t>
            </w:r>
            <w:r w:rsidR="00A038A8" w:rsidRPr="007D7D4B">
              <w:noBreakHyphen/>
            </w:r>
            <w:r w:rsidRPr="007D7D4B">
              <w:t>19 and recommended ITU</w:t>
            </w:r>
            <w:r w:rsidR="00A038A8" w:rsidRPr="007D7D4B">
              <w:noBreakHyphen/>
            </w:r>
            <w:r w:rsidRPr="007D7D4B">
              <w:t>R to continue its studies on WPT</w:t>
            </w:r>
            <w:r w:rsidRPr="007D7D4B">
              <w:rPr>
                <w:rFonts w:eastAsiaTheme="minorEastAsia"/>
                <w:bCs/>
                <w:iCs/>
                <w:color w:val="000000"/>
                <w:lang w:eastAsia="ja-JP"/>
              </w:rPr>
              <w:t>.</w:t>
            </w:r>
          </w:p>
          <w:p w14:paraId="70574FEF" w14:textId="43E4BB33" w:rsidR="00CD0B07" w:rsidRPr="007D7D4B" w:rsidRDefault="00CD0B07" w:rsidP="00424554">
            <w:pPr>
              <w:rPr>
                <w:rFonts w:eastAsiaTheme="minorEastAsia"/>
                <w:bCs/>
                <w:iCs/>
                <w:color w:val="000000"/>
                <w:lang w:eastAsia="ja-JP"/>
              </w:rPr>
            </w:pPr>
            <w:r w:rsidRPr="007D7D4B">
              <w:rPr>
                <w:rFonts w:eastAsiaTheme="minorEastAsia"/>
                <w:bCs/>
                <w:iCs/>
                <w:color w:val="000000"/>
                <w:lang w:eastAsia="ja-JP"/>
              </w:rPr>
              <w:t>Since then, three ITU</w:t>
            </w:r>
            <w:r w:rsidR="00A038A8" w:rsidRPr="007D7D4B">
              <w:rPr>
                <w:rFonts w:eastAsiaTheme="minorEastAsia"/>
                <w:bCs/>
                <w:iCs/>
                <w:color w:val="000000"/>
                <w:lang w:eastAsia="ja-JP"/>
              </w:rPr>
              <w:noBreakHyphen/>
            </w:r>
            <w:r w:rsidRPr="007D7D4B">
              <w:rPr>
                <w:rFonts w:eastAsiaTheme="minorEastAsia"/>
                <w:bCs/>
                <w:iCs/>
                <w:color w:val="000000"/>
                <w:lang w:eastAsia="ja-JP"/>
              </w:rPr>
              <w:t>R Recommendations have been approved on frequency ranges for different types of WPT: Recommendations ITU</w:t>
            </w:r>
            <w:r w:rsidR="00A038A8" w:rsidRPr="007D7D4B">
              <w:rPr>
                <w:rFonts w:eastAsiaTheme="minorEastAsia"/>
                <w:bCs/>
                <w:iCs/>
                <w:color w:val="000000"/>
                <w:lang w:eastAsia="ja-JP"/>
              </w:rPr>
              <w:noBreakHyphen/>
            </w:r>
            <w:r w:rsidRPr="007D7D4B">
              <w:rPr>
                <w:rFonts w:eastAsiaTheme="minorEastAsia"/>
                <w:bCs/>
                <w:iCs/>
                <w:color w:val="000000"/>
                <w:lang w:eastAsia="ja-JP"/>
              </w:rPr>
              <w:t>R SM.2110-1 “</w:t>
            </w:r>
            <w:r w:rsidRPr="007D7D4B">
              <w:rPr>
                <w:lang w:eastAsia="zh-CN"/>
              </w:rPr>
              <w:t>Guidance on frequency ranges for operation of non-beam wireless power transmissions for electric vehicles,”</w:t>
            </w:r>
            <w:r w:rsidRPr="007D7D4B">
              <w:rPr>
                <w:rFonts w:eastAsiaTheme="minorEastAsia"/>
                <w:bCs/>
                <w:iCs/>
                <w:color w:val="000000"/>
                <w:lang w:eastAsia="ja-JP"/>
              </w:rPr>
              <w:t xml:space="preserve"> SM.2129-0 </w:t>
            </w:r>
            <w:r w:rsidRPr="007D7D4B">
              <w:rPr>
                <w:lang w:eastAsia="zh-CN"/>
              </w:rPr>
              <w:t>“Guidance on frequency ranges for operation of non-beam wireless power transmission systems for mobile and portable devices,”</w:t>
            </w:r>
            <w:r w:rsidRPr="007D7D4B">
              <w:rPr>
                <w:rFonts w:eastAsiaTheme="minorEastAsia"/>
                <w:bCs/>
                <w:iCs/>
                <w:color w:val="000000"/>
                <w:lang w:eastAsia="ja-JP"/>
              </w:rPr>
              <w:t xml:space="preserve"> and SM.2151-0 </w:t>
            </w:r>
            <w:r w:rsidRPr="007D7D4B">
              <w:rPr>
                <w:lang w:eastAsia="zh-CN"/>
              </w:rPr>
              <w:t xml:space="preserve">“Guidance on frequency ranges for operation of wireless power transmissions via radio frequency </w:t>
            </w:r>
            <w:r w:rsidRPr="007D7D4B">
              <w:t>beam</w:t>
            </w:r>
            <w:r w:rsidRPr="007D7D4B">
              <w:rPr>
                <w:lang w:eastAsia="zh-CN"/>
              </w:rPr>
              <w:t xml:space="preserve"> systems for mobile/portable devices and sensor networks.”</w:t>
            </w:r>
          </w:p>
          <w:p w14:paraId="60A26455" w14:textId="4214B624" w:rsidR="00CD0B07" w:rsidRPr="007D7D4B" w:rsidRDefault="00CD0B07" w:rsidP="00424554">
            <w:pPr>
              <w:rPr>
                <w:rFonts w:eastAsia="MS Mincho"/>
                <w:lang w:eastAsia="ja-JP"/>
              </w:rPr>
            </w:pPr>
            <w:r w:rsidRPr="007D7D4B">
              <w:rPr>
                <w:rFonts w:eastAsiaTheme="minorEastAsia"/>
                <w:bCs/>
                <w:iCs/>
                <w:color w:val="000000"/>
                <w:lang w:eastAsia="ja-JP"/>
              </w:rPr>
              <w:t>The ITU</w:t>
            </w:r>
            <w:r w:rsidR="00A038A8" w:rsidRPr="007D7D4B">
              <w:rPr>
                <w:rFonts w:eastAsiaTheme="minorEastAsia"/>
                <w:bCs/>
                <w:iCs/>
                <w:color w:val="000000"/>
                <w:lang w:eastAsia="ja-JP"/>
              </w:rPr>
              <w:noBreakHyphen/>
            </w:r>
            <w:r w:rsidRPr="007D7D4B">
              <w:rPr>
                <w:rFonts w:eastAsiaTheme="minorEastAsia"/>
                <w:bCs/>
                <w:iCs/>
                <w:color w:val="000000"/>
                <w:lang w:eastAsia="ja-JP"/>
              </w:rPr>
              <w:t>R studies on WPT are ongoing addressing a variety of WPT technologies and applications and there may be more Recommendations approved before WRC</w:t>
            </w:r>
            <w:r w:rsidR="00A038A8" w:rsidRPr="007D7D4B">
              <w:rPr>
                <w:rFonts w:eastAsiaTheme="minorEastAsia"/>
                <w:bCs/>
                <w:iCs/>
                <w:color w:val="000000"/>
                <w:lang w:eastAsia="ja-JP"/>
              </w:rPr>
              <w:noBreakHyphen/>
            </w:r>
            <w:r w:rsidRPr="007D7D4B">
              <w:rPr>
                <w:rFonts w:eastAsiaTheme="minorEastAsia"/>
                <w:bCs/>
                <w:iCs/>
                <w:color w:val="000000"/>
                <w:lang w:eastAsia="ja-JP"/>
              </w:rPr>
              <w:t>27.</w:t>
            </w:r>
          </w:p>
        </w:tc>
      </w:tr>
      <w:tr w:rsidR="00CD0B07" w:rsidRPr="007D7D4B" w14:paraId="73511B97" w14:textId="77777777" w:rsidTr="00424554">
        <w:trPr>
          <w:cantSplit/>
        </w:trPr>
        <w:tc>
          <w:tcPr>
            <w:tcW w:w="4897" w:type="dxa"/>
            <w:tcBorders>
              <w:top w:val="single" w:sz="4" w:space="0" w:color="auto"/>
              <w:left w:val="nil"/>
              <w:bottom w:val="single" w:sz="4" w:space="0" w:color="auto"/>
              <w:right w:val="single" w:sz="4" w:space="0" w:color="auto"/>
            </w:tcBorders>
          </w:tcPr>
          <w:p w14:paraId="1EC7699F" w14:textId="77777777" w:rsidR="00CD0B07" w:rsidRPr="007D7D4B" w:rsidRDefault="00CD0B07" w:rsidP="00424554">
            <w:pPr>
              <w:keepNext/>
              <w:spacing w:after="120"/>
              <w:rPr>
                <w:b/>
                <w:i/>
                <w:color w:val="000000"/>
              </w:rPr>
            </w:pPr>
            <w:r w:rsidRPr="007D7D4B">
              <w:rPr>
                <w:b/>
                <w:i/>
                <w:color w:val="000000"/>
              </w:rPr>
              <w:t>Studies to be carried out by</w:t>
            </w:r>
            <w:r w:rsidRPr="007D7D4B">
              <w:rPr>
                <w:b/>
                <w:iCs/>
                <w:color w:val="000000"/>
              </w:rPr>
              <w:t>:</w:t>
            </w:r>
          </w:p>
          <w:p w14:paraId="632BC1F7" w14:textId="1D7A2B7A" w:rsidR="00CD0B07" w:rsidRPr="007D7D4B" w:rsidRDefault="00CD0B07" w:rsidP="00424554">
            <w:pPr>
              <w:keepNext/>
              <w:spacing w:after="120"/>
              <w:rPr>
                <w:b/>
                <w:iCs/>
                <w:color w:val="000000"/>
              </w:rPr>
            </w:pPr>
            <w:r w:rsidRPr="007D7D4B">
              <w:rPr>
                <w:rFonts w:eastAsiaTheme="minorEastAsia"/>
                <w:bCs/>
                <w:iCs/>
                <w:color w:val="000000"/>
                <w:lang w:eastAsia="ja-JP"/>
              </w:rPr>
              <w:t>ITU</w:t>
            </w:r>
            <w:r w:rsidR="00A038A8" w:rsidRPr="007D7D4B">
              <w:rPr>
                <w:rFonts w:eastAsiaTheme="minorEastAsia"/>
                <w:bCs/>
                <w:iCs/>
                <w:color w:val="000000"/>
                <w:lang w:eastAsia="ja-JP"/>
              </w:rPr>
              <w:noBreakHyphen/>
            </w:r>
            <w:r w:rsidRPr="007D7D4B">
              <w:rPr>
                <w:rFonts w:eastAsiaTheme="minorEastAsia"/>
                <w:bCs/>
                <w:iCs/>
                <w:color w:val="000000"/>
                <w:lang w:eastAsia="ja-JP"/>
              </w:rPr>
              <w:t>R Study Group 1</w:t>
            </w:r>
          </w:p>
        </w:tc>
        <w:tc>
          <w:tcPr>
            <w:tcW w:w="5026" w:type="dxa"/>
            <w:tcBorders>
              <w:top w:val="single" w:sz="4" w:space="0" w:color="auto"/>
              <w:left w:val="single" w:sz="4" w:space="0" w:color="auto"/>
              <w:bottom w:val="single" w:sz="4" w:space="0" w:color="auto"/>
              <w:right w:val="nil"/>
            </w:tcBorders>
          </w:tcPr>
          <w:p w14:paraId="20BD0C54" w14:textId="77777777" w:rsidR="00CD0B07" w:rsidRPr="007D7D4B" w:rsidRDefault="00CD0B07" w:rsidP="00424554">
            <w:pPr>
              <w:keepNext/>
              <w:spacing w:after="120"/>
              <w:rPr>
                <w:b/>
                <w:iCs/>
                <w:color w:val="000000"/>
              </w:rPr>
            </w:pPr>
            <w:r w:rsidRPr="007D7D4B">
              <w:rPr>
                <w:b/>
                <w:i/>
                <w:color w:val="000000"/>
              </w:rPr>
              <w:t>with the participation of</w:t>
            </w:r>
            <w:r w:rsidRPr="007D7D4B">
              <w:rPr>
                <w:b/>
                <w:iCs/>
                <w:color w:val="000000"/>
              </w:rPr>
              <w:t>:</w:t>
            </w:r>
          </w:p>
          <w:p w14:paraId="0F8EC610" w14:textId="77777777" w:rsidR="00CD0B07" w:rsidRPr="007D7D4B" w:rsidRDefault="00CD0B07" w:rsidP="00424554">
            <w:pPr>
              <w:keepNext/>
              <w:spacing w:after="120"/>
              <w:rPr>
                <w:b/>
                <w:iCs/>
                <w:color w:val="000000"/>
              </w:rPr>
            </w:pPr>
            <w:r w:rsidRPr="007D7D4B">
              <w:rPr>
                <w:rFonts w:eastAsiaTheme="minorEastAsia"/>
                <w:bCs/>
                <w:iCs/>
                <w:color w:val="000000"/>
                <w:lang w:eastAsia="ja-JP"/>
              </w:rPr>
              <w:t>Administrations, Sector members, academia, etc.</w:t>
            </w:r>
          </w:p>
        </w:tc>
      </w:tr>
      <w:tr w:rsidR="00CD0B07" w:rsidRPr="007D7D4B" w14:paraId="5C3DF6DD" w14:textId="77777777" w:rsidTr="00424554">
        <w:trPr>
          <w:cantSplit/>
        </w:trPr>
        <w:tc>
          <w:tcPr>
            <w:tcW w:w="9923" w:type="dxa"/>
            <w:gridSpan w:val="2"/>
            <w:tcBorders>
              <w:top w:val="single" w:sz="4" w:space="0" w:color="auto"/>
              <w:left w:val="nil"/>
              <w:bottom w:val="single" w:sz="4" w:space="0" w:color="auto"/>
              <w:right w:val="nil"/>
            </w:tcBorders>
          </w:tcPr>
          <w:p w14:paraId="099C7083" w14:textId="7A92D331" w:rsidR="00CD0B07" w:rsidRPr="007D7D4B" w:rsidRDefault="00CD0B07" w:rsidP="00424554">
            <w:pPr>
              <w:keepNext/>
              <w:spacing w:after="120"/>
              <w:rPr>
                <w:b/>
                <w:i/>
                <w:color w:val="000000"/>
              </w:rPr>
            </w:pPr>
            <w:r w:rsidRPr="007D7D4B">
              <w:rPr>
                <w:b/>
                <w:i/>
                <w:color w:val="000000"/>
              </w:rPr>
              <w:t>ITU</w:t>
            </w:r>
            <w:r w:rsidR="00A038A8" w:rsidRPr="007D7D4B">
              <w:rPr>
                <w:b/>
                <w:i/>
                <w:color w:val="000000"/>
              </w:rPr>
              <w:noBreakHyphen/>
            </w:r>
            <w:r w:rsidRPr="007D7D4B">
              <w:rPr>
                <w:b/>
                <w:i/>
                <w:color w:val="000000"/>
              </w:rPr>
              <w:t>R study groups concerned</w:t>
            </w:r>
            <w:r w:rsidRPr="007D7D4B">
              <w:rPr>
                <w:b/>
                <w:iCs/>
                <w:color w:val="000000"/>
              </w:rPr>
              <w:t>:</w:t>
            </w:r>
          </w:p>
          <w:p w14:paraId="5195006B" w14:textId="77777777" w:rsidR="00CD0B07" w:rsidRPr="007D7D4B" w:rsidRDefault="00CD0B07" w:rsidP="00424554">
            <w:pPr>
              <w:keepNext/>
              <w:spacing w:after="120"/>
              <w:rPr>
                <w:b/>
                <w:iCs/>
              </w:rPr>
            </w:pPr>
            <w:r w:rsidRPr="007D7D4B">
              <w:rPr>
                <w:rFonts w:eastAsiaTheme="minorEastAsia"/>
                <w:bCs/>
                <w:iCs/>
                <w:color w:val="000000"/>
                <w:lang w:eastAsia="ja-JP"/>
              </w:rPr>
              <w:t>Study Groups 3, 4, 5, 6, and 7</w:t>
            </w:r>
          </w:p>
        </w:tc>
      </w:tr>
      <w:tr w:rsidR="00CD0B07" w:rsidRPr="007D7D4B" w14:paraId="57B31FB3" w14:textId="77777777" w:rsidTr="00424554">
        <w:trPr>
          <w:cantSplit/>
        </w:trPr>
        <w:tc>
          <w:tcPr>
            <w:tcW w:w="9923" w:type="dxa"/>
            <w:gridSpan w:val="2"/>
            <w:tcBorders>
              <w:top w:val="single" w:sz="4" w:space="0" w:color="auto"/>
              <w:left w:val="nil"/>
              <w:bottom w:val="single" w:sz="4" w:space="0" w:color="auto"/>
              <w:right w:val="nil"/>
            </w:tcBorders>
          </w:tcPr>
          <w:p w14:paraId="50346F00" w14:textId="77777777" w:rsidR="00CD0B07" w:rsidRPr="007D7D4B" w:rsidRDefault="00CD0B07" w:rsidP="00424554">
            <w:pPr>
              <w:keepNext/>
              <w:spacing w:after="120"/>
              <w:rPr>
                <w:b/>
                <w:i/>
              </w:rPr>
            </w:pPr>
            <w:r w:rsidRPr="007D7D4B">
              <w:rPr>
                <w:b/>
                <w:i/>
              </w:rPr>
              <w:t>ITU resource implications, including financial implications (refer to CV126)</w:t>
            </w:r>
            <w:r w:rsidRPr="007D7D4B">
              <w:rPr>
                <w:b/>
                <w:iCs/>
              </w:rPr>
              <w:t>:</w:t>
            </w:r>
          </w:p>
          <w:p w14:paraId="0693305D" w14:textId="77777777" w:rsidR="00CD0B07" w:rsidRPr="007D7D4B" w:rsidRDefault="00CD0B07" w:rsidP="00424554">
            <w:pPr>
              <w:keepNext/>
              <w:spacing w:after="120"/>
              <w:rPr>
                <w:b/>
                <w:iCs/>
              </w:rPr>
            </w:pPr>
            <w:r w:rsidRPr="007D7D4B">
              <w:rPr>
                <w:rFonts w:eastAsiaTheme="minorEastAsia"/>
                <w:bCs/>
                <w:iCs/>
                <w:color w:val="000000"/>
                <w:lang w:eastAsia="ja-JP"/>
              </w:rPr>
              <w:t>This proposed agenda item will be studied within the normal ITU-R procedures and planned budget.</w:t>
            </w:r>
          </w:p>
        </w:tc>
      </w:tr>
      <w:tr w:rsidR="00CD0B07" w:rsidRPr="007D7D4B" w14:paraId="6472A4A6" w14:textId="77777777" w:rsidTr="00424554">
        <w:trPr>
          <w:cantSplit/>
        </w:trPr>
        <w:tc>
          <w:tcPr>
            <w:tcW w:w="4897" w:type="dxa"/>
            <w:tcBorders>
              <w:top w:val="single" w:sz="4" w:space="0" w:color="auto"/>
              <w:left w:val="nil"/>
              <w:bottom w:val="single" w:sz="4" w:space="0" w:color="auto"/>
              <w:right w:val="nil"/>
            </w:tcBorders>
          </w:tcPr>
          <w:p w14:paraId="0DD3ED8C" w14:textId="77777777" w:rsidR="00CD0B07" w:rsidRPr="007D7D4B" w:rsidRDefault="00CD0B07" w:rsidP="00424554">
            <w:pPr>
              <w:keepNext/>
              <w:spacing w:after="120"/>
              <w:rPr>
                <w:b/>
                <w:iCs/>
              </w:rPr>
            </w:pPr>
            <w:r w:rsidRPr="007D7D4B">
              <w:rPr>
                <w:b/>
                <w:i/>
              </w:rPr>
              <w:t>Common regional proposal</w:t>
            </w:r>
            <w:r w:rsidRPr="007D7D4B">
              <w:rPr>
                <w:b/>
                <w:iCs/>
              </w:rPr>
              <w:t xml:space="preserve">: </w:t>
            </w:r>
            <w:r w:rsidRPr="007D7D4B">
              <w:rPr>
                <w:b/>
                <w:i/>
              </w:rPr>
              <w:t>[Yes]</w:t>
            </w:r>
          </w:p>
        </w:tc>
        <w:tc>
          <w:tcPr>
            <w:tcW w:w="5026" w:type="dxa"/>
            <w:tcBorders>
              <w:top w:val="single" w:sz="4" w:space="0" w:color="auto"/>
              <w:left w:val="nil"/>
              <w:bottom w:val="single" w:sz="4" w:space="0" w:color="auto"/>
              <w:right w:val="nil"/>
            </w:tcBorders>
          </w:tcPr>
          <w:p w14:paraId="164CCD55" w14:textId="77777777" w:rsidR="00CD0B07" w:rsidRPr="007D7D4B" w:rsidRDefault="00CD0B07" w:rsidP="00424554">
            <w:pPr>
              <w:keepNext/>
              <w:spacing w:after="120"/>
              <w:rPr>
                <w:b/>
                <w:iCs/>
              </w:rPr>
            </w:pPr>
            <w:r w:rsidRPr="007D7D4B">
              <w:rPr>
                <w:b/>
                <w:i/>
              </w:rPr>
              <w:t>Multicountry proposal</w:t>
            </w:r>
            <w:r w:rsidRPr="007D7D4B">
              <w:rPr>
                <w:b/>
                <w:iCs/>
              </w:rPr>
              <w:t xml:space="preserve">: </w:t>
            </w:r>
            <w:r w:rsidRPr="007D7D4B">
              <w:rPr>
                <w:b/>
                <w:i/>
              </w:rPr>
              <w:t xml:space="preserve"> No</w:t>
            </w:r>
          </w:p>
          <w:p w14:paraId="1B6DF592" w14:textId="77777777" w:rsidR="00CD0B07" w:rsidRPr="007D7D4B" w:rsidRDefault="00CD0B07" w:rsidP="00424554">
            <w:pPr>
              <w:keepNext/>
              <w:spacing w:after="120"/>
              <w:rPr>
                <w:b/>
                <w:i/>
              </w:rPr>
            </w:pPr>
            <w:r w:rsidRPr="007D7D4B">
              <w:rPr>
                <w:b/>
                <w:i/>
              </w:rPr>
              <w:t>Number of countries</w:t>
            </w:r>
            <w:r w:rsidRPr="007D7D4B">
              <w:rPr>
                <w:b/>
                <w:iCs/>
              </w:rPr>
              <w:t xml:space="preserve">: </w:t>
            </w:r>
            <w:r w:rsidRPr="007D7D4B">
              <w:rPr>
                <w:rFonts w:eastAsia="SimSun"/>
                <w:bCs/>
                <w:iCs/>
                <w:lang w:eastAsia="zh-CN"/>
              </w:rPr>
              <w:t>TBD</w:t>
            </w:r>
          </w:p>
        </w:tc>
      </w:tr>
      <w:tr w:rsidR="00CD0B07" w:rsidRPr="007D7D4B" w14:paraId="573C9023" w14:textId="77777777" w:rsidTr="00424554">
        <w:trPr>
          <w:cantSplit/>
        </w:trPr>
        <w:tc>
          <w:tcPr>
            <w:tcW w:w="9923" w:type="dxa"/>
            <w:gridSpan w:val="2"/>
            <w:tcBorders>
              <w:top w:val="single" w:sz="4" w:space="0" w:color="auto"/>
              <w:left w:val="nil"/>
              <w:bottom w:val="nil"/>
              <w:right w:val="nil"/>
            </w:tcBorders>
          </w:tcPr>
          <w:p w14:paraId="1D236081" w14:textId="77777777" w:rsidR="00CD0B07" w:rsidRPr="007D7D4B" w:rsidRDefault="00CD0B07" w:rsidP="00424554">
            <w:pPr>
              <w:spacing w:after="120"/>
              <w:rPr>
                <w:b/>
                <w:i/>
              </w:rPr>
            </w:pPr>
            <w:r w:rsidRPr="007D7D4B">
              <w:rPr>
                <w:b/>
                <w:i/>
              </w:rPr>
              <w:t>Remarks</w:t>
            </w:r>
          </w:p>
          <w:p w14:paraId="7139F36D" w14:textId="77777777" w:rsidR="00CD0B07" w:rsidRPr="007D7D4B" w:rsidRDefault="00CD0B07" w:rsidP="00424554">
            <w:pPr>
              <w:spacing w:after="120"/>
              <w:rPr>
                <w:b/>
                <w:i/>
              </w:rPr>
            </w:pPr>
          </w:p>
        </w:tc>
      </w:tr>
    </w:tbl>
    <w:p w14:paraId="6A9A9CB3" w14:textId="32D0EE02" w:rsidR="000846CF" w:rsidRDefault="000846CF" w:rsidP="00424554">
      <w:pPr>
        <w:jc w:val="center"/>
      </w:pPr>
      <w:r w:rsidRPr="007D7D4B">
        <w:t>________________</w:t>
      </w:r>
    </w:p>
    <w:sectPr w:rsidR="000846CF"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B913" w14:textId="77777777" w:rsidR="006C6495" w:rsidRDefault="006C6495">
      <w:r>
        <w:separator/>
      </w:r>
    </w:p>
  </w:endnote>
  <w:endnote w:type="continuationSeparator" w:id="0">
    <w:p w14:paraId="5D4EDB83" w14:textId="77777777" w:rsidR="006C6495" w:rsidRDefault="006C6495">
      <w:r>
        <w:continuationSeparator/>
      </w:r>
    </w:p>
  </w:endnote>
  <w:endnote w:type="continuationNotice" w:id="1">
    <w:p w14:paraId="2C81F90F" w14:textId="77777777" w:rsidR="006C6495" w:rsidRDefault="006C64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FBE0" w14:textId="77777777" w:rsidR="00E45D05" w:rsidRDefault="00E45D05">
    <w:pPr>
      <w:framePr w:wrap="around" w:vAnchor="text" w:hAnchor="margin" w:xAlign="right" w:y="1"/>
    </w:pPr>
    <w:r>
      <w:fldChar w:fldCharType="begin"/>
    </w:r>
    <w:r>
      <w:instrText xml:space="preserve">PAGE  </w:instrText>
    </w:r>
    <w:r>
      <w:fldChar w:fldCharType="end"/>
    </w:r>
  </w:p>
  <w:p w14:paraId="0E46B112" w14:textId="4EE1763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76DED">
      <w:rPr>
        <w:noProof/>
      </w:rPr>
      <w:t>13.10.23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5B6" w14:textId="362F646C" w:rsidR="00E45D05" w:rsidRDefault="00E45D05" w:rsidP="009B1EA1">
    <w:pPr>
      <w:pStyle w:val="Footer"/>
    </w:pPr>
    <w:r>
      <w:fldChar w:fldCharType="begin"/>
    </w:r>
    <w:r w:rsidRPr="0041348E">
      <w:rPr>
        <w:lang w:val="en-US"/>
      </w:rPr>
      <w:instrText xml:space="preserve"> FILENAME \p  \* MERGEFORMAT </w:instrText>
    </w:r>
    <w:r>
      <w:fldChar w:fldCharType="separate"/>
    </w:r>
    <w:r w:rsidR="00A038A8">
      <w:rPr>
        <w:lang w:val="en-US"/>
      </w:rPr>
      <w:t>P:\ENG\ITU-R\CONF-R\CMR23\000\062ADD27ADD08E.doc</w:t>
    </w:r>
    <w:r>
      <w:fldChar w:fldCharType="end"/>
    </w:r>
    <w:r w:rsidR="00A038A8">
      <w:t xml:space="preserve"> (529001)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036B" w14:textId="7D1D3E2D" w:rsidR="00042B12" w:rsidRDefault="00042B12">
    <w:pPr>
      <w:pStyle w:val="Footer"/>
    </w:pPr>
    <w:r>
      <w:fldChar w:fldCharType="begin"/>
    </w:r>
    <w:r>
      <w:rPr>
        <w:lang w:val="en-US"/>
      </w:rPr>
      <w:instrText xml:space="preserve"> FILENAME \p \* MERGEFORMAT </w:instrText>
    </w:r>
    <w:r>
      <w:fldChar w:fldCharType="separate"/>
    </w:r>
    <w:r>
      <w:rPr>
        <w:lang w:val="en-US"/>
      </w:rPr>
      <w:t>P:\ENG\ITU-R\CONF-R\CMR23\000\062ADD27ADD08E.doc</w:t>
    </w:r>
    <w:r>
      <w:fldChar w:fldCharType="end"/>
    </w:r>
    <w:r>
      <w:t xml:space="preserve"> (529001)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1721" w14:textId="77777777" w:rsidR="006C6495" w:rsidRDefault="006C6495">
      <w:r>
        <w:rPr>
          <w:b/>
        </w:rPr>
        <w:t>_______________</w:t>
      </w:r>
    </w:p>
  </w:footnote>
  <w:footnote w:type="continuationSeparator" w:id="0">
    <w:p w14:paraId="63BC62CE" w14:textId="77777777" w:rsidR="006C6495" w:rsidRDefault="006C6495">
      <w:r>
        <w:continuationSeparator/>
      </w:r>
    </w:p>
  </w:footnote>
  <w:footnote w:type="continuationNotice" w:id="1">
    <w:p w14:paraId="7AD1CF0A" w14:textId="77777777" w:rsidR="006C6495" w:rsidRDefault="006C64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4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B5A775"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62(Add.27)(Add.8)</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5BC0A51"/>
    <w:multiLevelType w:val="hybridMultilevel"/>
    <w:tmpl w:val="CF2C7946"/>
    <w:lvl w:ilvl="0" w:tplc="722A45E8">
      <w:start w:val="2"/>
      <w:numFmt w:val="bullet"/>
      <w:lvlText w:val="-"/>
      <w:lvlJc w:val="left"/>
      <w:pPr>
        <w:ind w:left="420" w:hanging="420"/>
      </w:pPr>
      <w:rPr>
        <w:rFonts w:ascii="Times New Roman" w:eastAsia="Gulim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853608"/>
    <w:multiLevelType w:val="hybridMultilevel"/>
    <w:tmpl w:val="67D0ECD0"/>
    <w:lvl w:ilvl="0" w:tplc="722A45E8">
      <w:start w:val="2"/>
      <w:numFmt w:val="bullet"/>
      <w:lvlText w:val="-"/>
      <w:lvlJc w:val="left"/>
      <w:pPr>
        <w:ind w:left="420" w:hanging="420"/>
      </w:pPr>
      <w:rPr>
        <w:rFonts w:ascii="Times New Roman" w:eastAsia="Gulim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304322">
    <w:abstractNumId w:val="0"/>
  </w:num>
  <w:num w:numId="2" w16cid:durableId="119781124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9962582">
    <w:abstractNumId w:val="3"/>
  </w:num>
  <w:num w:numId="4" w16cid:durableId="1508323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B12"/>
    <w:rsid w:val="00051E39"/>
    <w:rsid w:val="000705F2"/>
    <w:rsid w:val="00077239"/>
    <w:rsid w:val="0007795D"/>
    <w:rsid w:val="000846CF"/>
    <w:rsid w:val="00086491"/>
    <w:rsid w:val="00086DC5"/>
    <w:rsid w:val="00091346"/>
    <w:rsid w:val="0009706C"/>
    <w:rsid w:val="000C7E41"/>
    <w:rsid w:val="000D154B"/>
    <w:rsid w:val="000D2DAF"/>
    <w:rsid w:val="000E41D2"/>
    <w:rsid w:val="000E463E"/>
    <w:rsid w:val="000F63E8"/>
    <w:rsid w:val="000F73FF"/>
    <w:rsid w:val="00114CF7"/>
    <w:rsid w:val="00116C7A"/>
    <w:rsid w:val="00123B68"/>
    <w:rsid w:val="00126F2E"/>
    <w:rsid w:val="00137DFB"/>
    <w:rsid w:val="00146F6F"/>
    <w:rsid w:val="00161F26"/>
    <w:rsid w:val="00187BD9"/>
    <w:rsid w:val="00190B55"/>
    <w:rsid w:val="001C3B5F"/>
    <w:rsid w:val="001D058F"/>
    <w:rsid w:val="001F4EBD"/>
    <w:rsid w:val="002009EA"/>
    <w:rsid w:val="00202756"/>
    <w:rsid w:val="00202CA0"/>
    <w:rsid w:val="002101DE"/>
    <w:rsid w:val="00216B6D"/>
    <w:rsid w:val="0022757F"/>
    <w:rsid w:val="00241FA2"/>
    <w:rsid w:val="002641AE"/>
    <w:rsid w:val="00271316"/>
    <w:rsid w:val="00293E3E"/>
    <w:rsid w:val="002B326E"/>
    <w:rsid w:val="002B349C"/>
    <w:rsid w:val="002C5C0C"/>
    <w:rsid w:val="002D58BE"/>
    <w:rsid w:val="002F44B5"/>
    <w:rsid w:val="002F4747"/>
    <w:rsid w:val="00302605"/>
    <w:rsid w:val="00304697"/>
    <w:rsid w:val="00357886"/>
    <w:rsid w:val="00361B37"/>
    <w:rsid w:val="00377BD3"/>
    <w:rsid w:val="00384088"/>
    <w:rsid w:val="003852CE"/>
    <w:rsid w:val="0039169B"/>
    <w:rsid w:val="003A2A4F"/>
    <w:rsid w:val="003A7F8C"/>
    <w:rsid w:val="003B21A5"/>
    <w:rsid w:val="003B2284"/>
    <w:rsid w:val="003B532E"/>
    <w:rsid w:val="003B7C97"/>
    <w:rsid w:val="003D0F8B"/>
    <w:rsid w:val="003E0DB6"/>
    <w:rsid w:val="0041348E"/>
    <w:rsid w:val="00420873"/>
    <w:rsid w:val="00424554"/>
    <w:rsid w:val="00426A05"/>
    <w:rsid w:val="00436FDF"/>
    <w:rsid w:val="004417D9"/>
    <w:rsid w:val="00451D75"/>
    <w:rsid w:val="00491560"/>
    <w:rsid w:val="00492075"/>
    <w:rsid w:val="004969AD"/>
    <w:rsid w:val="004A26C4"/>
    <w:rsid w:val="004B13CB"/>
    <w:rsid w:val="004D26EA"/>
    <w:rsid w:val="004D2BFB"/>
    <w:rsid w:val="004D5D5C"/>
    <w:rsid w:val="004F3DC0"/>
    <w:rsid w:val="0050139F"/>
    <w:rsid w:val="00536829"/>
    <w:rsid w:val="0055140B"/>
    <w:rsid w:val="00575BC0"/>
    <w:rsid w:val="005861D7"/>
    <w:rsid w:val="00594326"/>
    <w:rsid w:val="005964AB"/>
    <w:rsid w:val="005A2CA3"/>
    <w:rsid w:val="005C099A"/>
    <w:rsid w:val="005C31A5"/>
    <w:rsid w:val="005E10C9"/>
    <w:rsid w:val="005E290B"/>
    <w:rsid w:val="005E61DD"/>
    <w:rsid w:val="005F04D8"/>
    <w:rsid w:val="006023DF"/>
    <w:rsid w:val="00613E99"/>
    <w:rsid w:val="00615426"/>
    <w:rsid w:val="00616219"/>
    <w:rsid w:val="00620F9D"/>
    <w:rsid w:val="00645B7D"/>
    <w:rsid w:val="00657DE0"/>
    <w:rsid w:val="00660905"/>
    <w:rsid w:val="00685313"/>
    <w:rsid w:val="00692833"/>
    <w:rsid w:val="006A6E9B"/>
    <w:rsid w:val="006B13A7"/>
    <w:rsid w:val="006B7C2A"/>
    <w:rsid w:val="006C23DA"/>
    <w:rsid w:val="006C313A"/>
    <w:rsid w:val="006C6495"/>
    <w:rsid w:val="006D70B0"/>
    <w:rsid w:val="006E3D45"/>
    <w:rsid w:val="0070607A"/>
    <w:rsid w:val="007149F9"/>
    <w:rsid w:val="00733A30"/>
    <w:rsid w:val="0073612B"/>
    <w:rsid w:val="00745AEE"/>
    <w:rsid w:val="00750F10"/>
    <w:rsid w:val="007618F1"/>
    <w:rsid w:val="007742CA"/>
    <w:rsid w:val="0078719F"/>
    <w:rsid w:val="00790D70"/>
    <w:rsid w:val="007A6F1F"/>
    <w:rsid w:val="007C28E0"/>
    <w:rsid w:val="007D5320"/>
    <w:rsid w:val="007D7D4B"/>
    <w:rsid w:val="00800972"/>
    <w:rsid w:val="00804475"/>
    <w:rsid w:val="00811633"/>
    <w:rsid w:val="00814037"/>
    <w:rsid w:val="00841216"/>
    <w:rsid w:val="00842AF0"/>
    <w:rsid w:val="0086171E"/>
    <w:rsid w:val="00872FC8"/>
    <w:rsid w:val="008845D0"/>
    <w:rsid w:val="00884D60"/>
    <w:rsid w:val="008955A0"/>
    <w:rsid w:val="00896E56"/>
    <w:rsid w:val="008B43F2"/>
    <w:rsid w:val="008B6CFF"/>
    <w:rsid w:val="008E4C2F"/>
    <w:rsid w:val="00907498"/>
    <w:rsid w:val="009274B4"/>
    <w:rsid w:val="00934EA2"/>
    <w:rsid w:val="00944A5C"/>
    <w:rsid w:val="00952A66"/>
    <w:rsid w:val="00992B9A"/>
    <w:rsid w:val="009A5C75"/>
    <w:rsid w:val="009B1EA1"/>
    <w:rsid w:val="009B7C9A"/>
    <w:rsid w:val="009C4033"/>
    <w:rsid w:val="009C56E5"/>
    <w:rsid w:val="009C7716"/>
    <w:rsid w:val="009E5FC8"/>
    <w:rsid w:val="009E687A"/>
    <w:rsid w:val="009F236F"/>
    <w:rsid w:val="009F602E"/>
    <w:rsid w:val="00A038A8"/>
    <w:rsid w:val="00A066F1"/>
    <w:rsid w:val="00A1322B"/>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54465"/>
    <w:rsid w:val="00B639E9"/>
    <w:rsid w:val="00B817CD"/>
    <w:rsid w:val="00B81A7D"/>
    <w:rsid w:val="00B91EF7"/>
    <w:rsid w:val="00B94AD0"/>
    <w:rsid w:val="00BB3A95"/>
    <w:rsid w:val="00BC073D"/>
    <w:rsid w:val="00BC75DE"/>
    <w:rsid w:val="00BD6CCE"/>
    <w:rsid w:val="00C0018F"/>
    <w:rsid w:val="00C16A5A"/>
    <w:rsid w:val="00C20466"/>
    <w:rsid w:val="00C214ED"/>
    <w:rsid w:val="00C234E6"/>
    <w:rsid w:val="00C324A8"/>
    <w:rsid w:val="00C54517"/>
    <w:rsid w:val="00C56F70"/>
    <w:rsid w:val="00C57B91"/>
    <w:rsid w:val="00C64CD8"/>
    <w:rsid w:val="00C76DED"/>
    <w:rsid w:val="00C82695"/>
    <w:rsid w:val="00C97C68"/>
    <w:rsid w:val="00CA1A47"/>
    <w:rsid w:val="00CA3DFC"/>
    <w:rsid w:val="00CB44E5"/>
    <w:rsid w:val="00CC247A"/>
    <w:rsid w:val="00CD0B07"/>
    <w:rsid w:val="00CE388F"/>
    <w:rsid w:val="00CE5D01"/>
    <w:rsid w:val="00CE5E47"/>
    <w:rsid w:val="00CF020F"/>
    <w:rsid w:val="00CF2B5B"/>
    <w:rsid w:val="00D12D2C"/>
    <w:rsid w:val="00D14CE0"/>
    <w:rsid w:val="00D255D4"/>
    <w:rsid w:val="00D268B3"/>
    <w:rsid w:val="00D52FD6"/>
    <w:rsid w:val="00D54009"/>
    <w:rsid w:val="00D5651D"/>
    <w:rsid w:val="00D57A34"/>
    <w:rsid w:val="00D700B7"/>
    <w:rsid w:val="00D74898"/>
    <w:rsid w:val="00D801ED"/>
    <w:rsid w:val="00D936BC"/>
    <w:rsid w:val="00D96530"/>
    <w:rsid w:val="00DA1CB1"/>
    <w:rsid w:val="00DB378E"/>
    <w:rsid w:val="00DB65AC"/>
    <w:rsid w:val="00DD44AF"/>
    <w:rsid w:val="00DE2AC3"/>
    <w:rsid w:val="00DE5692"/>
    <w:rsid w:val="00DE6300"/>
    <w:rsid w:val="00DF4BC6"/>
    <w:rsid w:val="00DF78E0"/>
    <w:rsid w:val="00E03C94"/>
    <w:rsid w:val="00E205BC"/>
    <w:rsid w:val="00E26226"/>
    <w:rsid w:val="00E33BC8"/>
    <w:rsid w:val="00E45D05"/>
    <w:rsid w:val="00E55816"/>
    <w:rsid w:val="00E55AEF"/>
    <w:rsid w:val="00E95856"/>
    <w:rsid w:val="00E976C1"/>
    <w:rsid w:val="00EA12E5"/>
    <w:rsid w:val="00EA593B"/>
    <w:rsid w:val="00EB0812"/>
    <w:rsid w:val="00EB54B2"/>
    <w:rsid w:val="00EB55C6"/>
    <w:rsid w:val="00EF1932"/>
    <w:rsid w:val="00EF71B6"/>
    <w:rsid w:val="00F02766"/>
    <w:rsid w:val="00F05BD4"/>
    <w:rsid w:val="00F06473"/>
    <w:rsid w:val="00F0713B"/>
    <w:rsid w:val="00F21684"/>
    <w:rsid w:val="00F242B7"/>
    <w:rsid w:val="00F320AA"/>
    <w:rsid w:val="00F4795C"/>
    <w:rsid w:val="00F6155B"/>
    <w:rsid w:val="00F65C19"/>
    <w:rsid w:val="00F6629C"/>
    <w:rsid w:val="00F822B0"/>
    <w:rsid w:val="00FD03F6"/>
    <w:rsid w:val="00FD08E2"/>
    <w:rsid w:val="00FD18DA"/>
    <w:rsid w:val="00FD2546"/>
    <w:rsid w:val="00FD55B1"/>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0B6BB"/>
  <w15:docId w15:val="{D1D7EB4B-37AB-458A-9752-6E06E3D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B54465"/>
    <w:rPr>
      <w:rFonts w:ascii="Times New Roman" w:hAnsi="Times New Roman"/>
      <w:i/>
      <w:sz w:val="24"/>
      <w:lang w:val="en-GB" w:eastAsia="en-US"/>
    </w:rPr>
  </w:style>
  <w:style w:type="character" w:customStyle="1" w:styleId="RestitleChar">
    <w:name w:val="Res_title Char"/>
    <w:link w:val="Restitle"/>
    <w:qFormat/>
    <w:rsid w:val="00B54465"/>
    <w:rPr>
      <w:rFonts w:ascii="Times New Roman Bold" w:hAnsi="Times New Roman Bold"/>
      <w:b/>
      <w:sz w:val="28"/>
      <w:lang w:val="en-GB" w:eastAsia="en-US"/>
    </w:rPr>
  </w:style>
  <w:style w:type="paragraph" w:styleId="Revision">
    <w:name w:val="Revision"/>
    <w:hidden/>
    <w:uiPriority w:val="99"/>
    <w:semiHidden/>
    <w:rsid w:val="002B326E"/>
    <w:rPr>
      <w:rFonts w:ascii="Times New Roman" w:hAnsi="Times New Roman"/>
      <w:sz w:val="24"/>
      <w:lang w:val="en-GB" w:eastAsia="en-US"/>
    </w:rPr>
  </w:style>
  <w:style w:type="paragraph" w:styleId="ListParagraph">
    <w:name w:val="List Paragraph"/>
    <w:basedOn w:val="Normal"/>
    <w:link w:val="ListParagraphChar"/>
    <w:uiPriority w:val="34"/>
    <w:qFormat/>
    <w:rsid w:val="00CD0B07"/>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basedOn w:val="DefaultParagraphFont"/>
    <w:link w:val="ListParagraph"/>
    <w:uiPriority w:val="34"/>
    <w:qFormat/>
    <w:locked/>
    <w:rsid w:val="00CD0B07"/>
    <w:rPr>
      <w:rFonts w:ascii="Times New Roman" w:eastAsia="BatangChe" w:hAnsi="Times New Roman"/>
      <w:sz w:val="24"/>
      <w:szCs w:val="24"/>
      <w:lang w:eastAsia="en-US"/>
    </w:rPr>
  </w:style>
  <w:style w:type="paragraph" w:customStyle="1" w:styleId="ReasonsBold">
    <w:name w:val="Reasons + Bold"/>
    <w:basedOn w:val="Reasons"/>
    <w:rsid w:val="0078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E36146-9D11-4F7A-957E-3A678529A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4AB09-F6CA-49DF-8D07-2563D854EC65}">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5B92E9FB-0BE5-4FFC-813B-E8A69C82E08E}">
  <ds:schemaRefs>
    <ds:schemaRef ds:uri="http://schemas.openxmlformats.org/officeDocument/2006/bibliography"/>
  </ds:schemaRefs>
</ds:datastoreItem>
</file>

<file path=customXml/itemProps4.xml><?xml version="1.0" encoding="utf-8"?>
<ds:datastoreItem xmlns:ds="http://schemas.openxmlformats.org/officeDocument/2006/customXml" ds:itemID="{8978D93C-90AA-4FD7-93C4-8E8914D7F8B1}">
  <ds:schemaRefs>
    <ds:schemaRef ds:uri="http://schemas.microsoft.com/sharepoint/v3/contenttype/forms"/>
  </ds:schemaRefs>
</ds:datastoreItem>
</file>

<file path=customXml/itemProps5.xml><?xml version="1.0" encoding="utf-8"?>
<ds:datastoreItem xmlns:ds="http://schemas.openxmlformats.org/officeDocument/2006/customXml" ds:itemID="{44C0102A-4853-49EB-9C15-0C40E34B9C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1164</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R23-WRC23-C-0062!A27-A8!MSW-E</vt:lpstr>
    </vt:vector>
  </TitlesOfParts>
  <Manager>General Secretariat - Pool</Manager>
  <Company>International Telecommunication Union (ITU)</Company>
  <LinksUpToDate>false</LinksUpToDate>
  <CharactersWithSpaces>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R23-WRC23-C-0062!A27-A8!MSW-E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2017-02-10T17:23:00Z</cp:lastPrinted>
  <dcterms:created xsi:type="dcterms:W3CDTF">2023-10-12T08:13:00Z</dcterms:created>
  <dcterms:modified xsi:type="dcterms:W3CDTF">2023-10-13T08:27:00Z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