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96DDA" w14:paraId="712240BB" w14:textId="77777777" w:rsidTr="0080079E">
        <w:trPr>
          <w:cantSplit/>
        </w:trPr>
        <w:tc>
          <w:tcPr>
            <w:tcW w:w="1418" w:type="dxa"/>
            <w:vAlign w:val="center"/>
          </w:tcPr>
          <w:p w14:paraId="558B2869" w14:textId="77777777" w:rsidR="0080079E" w:rsidRPr="00B96DDA" w:rsidRDefault="0080079E" w:rsidP="0080079E">
            <w:pPr>
              <w:spacing w:before="0" w:line="240" w:lineRule="atLeast"/>
              <w:rPr>
                <w:rFonts w:ascii="Verdana" w:hAnsi="Verdana"/>
                <w:position w:val="6"/>
              </w:rPr>
            </w:pPr>
            <w:r w:rsidRPr="00B96DDA">
              <w:rPr>
                <w:noProof/>
                <w:lang w:eastAsia="es-ES_tradnl"/>
              </w:rPr>
              <w:drawing>
                <wp:inline distT="0" distB="0" distL="0" distR="0" wp14:anchorId="702D0DC0" wp14:editId="0B75834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69A3A15" w14:textId="77777777" w:rsidR="0080079E" w:rsidRPr="00B96DDA" w:rsidRDefault="0080079E" w:rsidP="00C44E9E">
            <w:pPr>
              <w:spacing w:before="400" w:after="48" w:line="240" w:lineRule="atLeast"/>
              <w:rPr>
                <w:rFonts w:ascii="Verdana" w:hAnsi="Verdana"/>
                <w:position w:val="6"/>
              </w:rPr>
            </w:pPr>
            <w:r w:rsidRPr="00B96DDA">
              <w:rPr>
                <w:rFonts w:ascii="Verdana" w:hAnsi="Verdana" w:cs="Times"/>
                <w:b/>
                <w:position w:val="6"/>
                <w:sz w:val="20"/>
              </w:rPr>
              <w:t>Conferencia Mundial de Radiocomunicaciones (CMR-23)</w:t>
            </w:r>
            <w:r w:rsidRPr="00B96DDA">
              <w:rPr>
                <w:rFonts w:ascii="Verdana" w:hAnsi="Verdana" w:cs="Times"/>
                <w:b/>
                <w:position w:val="6"/>
                <w:sz w:val="20"/>
              </w:rPr>
              <w:br/>
            </w:r>
            <w:r w:rsidRPr="00B96DDA">
              <w:rPr>
                <w:rFonts w:ascii="Verdana" w:hAnsi="Verdana" w:cs="Times"/>
                <w:b/>
                <w:position w:val="6"/>
                <w:sz w:val="18"/>
                <w:szCs w:val="18"/>
              </w:rPr>
              <w:t>Dubái, 20 de noviembre - 15 de diciembre de 2023</w:t>
            </w:r>
          </w:p>
        </w:tc>
        <w:tc>
          <w:tcPr>
            <w:tcW w:w="1809" w:type="dxa"/>
            <w:vAlign w:val="center"/>
          </w:tcPr>
          <w:p w14:paraId="75B30DB8" w14:textId="77777777" w:rsidR="0080079E" w:rsidRPr="00B96DDA" w:rsidRDefault="0080079E" w:rsidP="0080079E">
            <w:pPr>
              <w:spacing w:before="0" w:line="240" w:lineRule="atLeast"/>
            </w:pPr>
            <w:bookmarkStart w:id="0" w:name="ditulogo"/>
            <w:bookmarkEnd w:id="0"/>
            <w:r w:rsidRPr="00B96DDA">
              <w:rPr>
                <w:noProof/>
                <w:lang w:eastAsia="es-ES_tradnl"/>
              </w:rPr>
              <w:drawing>
                <wp:inline distT="0" distB="0" distL="0" distR="0" wp14:anchorId="363AE0E3" wp14:editId="0BD23BF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96DDA" w14:paraId="2325A917" w14:textId="77777777" w:rsidTr="0050008E">
        <w:trPr>
          <w:cantSplit/>
        </w:trPr>
        <w:tc>
          <w:tcPr>
            <w:tcW w:w="6911" w:type="dxa"/>
            <w:gridSpan w:val="2"/>
            <w:tcBorders>
              <w:bottom w:val="single" w:sz="12" w:space="0" w:color="auto"/>
            </w:tcBorders>
          </w:tcPr>
          <w:p w14:paraId="4A1A2D8F" w14:textId="77777777" w:rsidR="0090121B" w:rsidRPr="00B96DDA"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952A8E1" w14:textId="77777777" w:rsidR="0090121B" w:rsidRPr="00B96DDA" w:rsidRDefault="0090121B" w:rsidP="0090121B">
            <w:pPr>
              <w:spacing w:before="0" w:line="240" w:lineRule="atLeast"/>
              <w:rPr>
                <w:rFonts w:ascii="Verdana" w:hAnsi="Verdana"/>
                <w:szCs w:val="24"/>
              </w:rPr>
            </w:pPr>
          </w:p>
        </w:tc>
      </w:tr>
      <w:tr w:rsidR="0090121B" w:rsidRPr="00B96DDA" w14:paraId="1595B577" w14:textId="77777777" w:rsidTr="0090121B">
        <w:trPr>
          <w:cantSplit/>
        </w:trPr>
        <w:tc>
          <w:tcPr>
            <w:tcW w:w="6911" w:type="dxa"/>
            <w:gridSpan w:val="2"/>
            <w:tcBorders>
              <w:top w:val="single" w:sz="12" w:space="0" w:color="auto"/>
            </w:tcBorders>
          </w:tcPr>
          <w:p w14:paraId="76D499AA" w14:textId="77777777" w:rsidR="0090121B" w:rsidRPr="00B96DDA"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5180571" w14:textId="77777777" w:rsidR="0090121B" w:rsidRPr="00B96DDA" w:rsidRDefault="0090121B" w:rsidP="0090121B">
            <w:pPr>
              <w:spacing w:before="0" w:line="240" w:lineRule="atLeast"/>
              <w:rPr>
                <w:rFonts w:ascii="Verdana" w:hAnsi="Verdana"/>
                <w:sz w:val="20"/>
              </w:rPr>
            </w:pPr>
          </w:p>
        </w:tc>
      </w:tr>
      <w:tr w:rsidR="0090121B" w:rsidRPr="00B96DDA" w14:paraId="66F2A7AB" w14:textId="77777777" w:rsidTr="0090121B">
        <w:trPr>
          <w:cantSplit/>
        </w:trPr>
        <w:tc>
          <w:tcPr>
            <w:tcW w:w="6911" w:type="dxa"/>
            <w:gridSpan w:val="2"/>
          </w:tcPr>
          <w:p w14:paraId="2B5F61E9" w14:textId="77777777" w:rsidR="0090121B" w:rsidRPr="00B96DDA" w:rsidRDefault="001E7D42" w:rsidP="00EA77F0">
            <w:pPr>
              <w:pStyle w:val="Committee"/>
              <w:framePr w:hSpace="0" w:wrap="auto" w:hAnchor="text" w:yAlign="inline"/>
              <w:rPr>
                <w:sz w:val="18"/>
                <w:szCs w:val="18"/>
                <w:lang w:val="es-ES_tradnl"/>
              </w:rPr>
            </w:pPr>
            <w:r w:rsidRPr="00B96DDA">
              <w:rPr>
                <w:sz w:val="18"/>
                <w:szCs w:val="18"/>
                <w:lang w:val="es-ES_tradnl"/>
              </w:rPr>
              <w:t>SESIÓN PLENARIA</w:t>
            </w:r>
          </w:p>
        </w:tc>
        <w:tc>
          <w:tcPr>
            <w:tcW w:w="3120" w:type="dxa"/>
            <w:gridSpan w:val="2"/>
          </w:tcPr>
          <w:p w14:paraId="053BECA8" w14:textId="77777777" w:rsidR="0090121B" w:rsidRPr="00B96DDA" w:rsidRDefault="00AE658F" w:rsidP="0045384C">
            <w:pPr>
              <w:spacing w:before="0"/>
              <w:rPr>
                <w:rFonts w:ascii="Verdana" w:hAnsi="Verdana"/>
                <w:sz w:val="18"/>
                <w:szCs w:val="18"/>
              </w:rPr>
            </w:pPr>
            <w:r w:rsidRPr="00B96DDA">
              <w:rPr>
                <w:rFonts w:ascii="Verdana" w:hAnsi="Verdana"/>
                <w:b/>
                <w:sz w:val="18"/>
                <w:szCs w:val="18"/>
              </w:rPr>
              <w:t>Addéndum 7 al</w:t>
            </w:r>
            <w:r w:rsidRPr="00B96DDA">
              <w:rPr>
                <w:rFonts w:ascii="Verdana" w:hAnsi="Verdana"/>
                <w:b/>
                <w:sz w:val="18"/>
                <w:szCs w:val="18"/>
              </w:rPr>
              <w:br/>
              <w:t>Documento 62(Add.27)</w:t>
            </w:r>
            <w:r w:rsidR="0090121B" w:rsidRPr="00B96DDA">
              <w:rPr>
                <w:rFonts w:ascii="Verdana" w:hAnsi="Verdana"/>
                <w:b/>
                <w:sz w:val="18"/>
                <w:szCs w:val="18"/>
              </w:rPr>
              <w:t>-</w:t>
            </w:r>
            <w:r w:rsidRPr="00B96DDA">
              <w:rPr>
                <w:rFonts w:ascii="Verdana" w:hAnsi="Verdana"/>
                <w:b/>
                <w:sz w:val="18"/>
                <w:szCs w:val="18"/>
              </w:rPr>
              <w:t>S</w:t>
            </w:r>
          </w:p>
        </w:tc>
      </w:tr>
      <w:bookmarkEnd w:id="1"/>
      <w:tr w:rsidR="000A5B9A" w:rsidRPr="00B96DDA" w14:paraId="65C08859" w14:textId="77777777" w:rsidTr="0090121B">
        <w:trPr>
          <w:cantSplit/>
        </w:trPr>
        <w:tc>
          <w:tcPr>
            <w:tcW w:w="6911" w:type="dxa"/>
            <w:gridSpan w:val="2"/>
          </w:tcPr>
          <w:p w14:paraId="061745A2" w14:textId="77777777" w:rsidR="000A5B9A" w:rsidRPr="00B96DDA" w:rsidRDefault="000A5B9A" w:rsidP="0045384C">
            <w:pPr>
              <w:spacing w:before="0" w:after="48"/>
              <w:rPr>
                <w:rFonts w:ascii="Verdana" w:hAnsi="Verdana"/>
                <w:b/>
                <w:smallCaps/>
                <w:sz w:val="18"/>
                <w:szCs w:val="18"/>
              </w:rPr>
            </w:pPr>
          </w:p>
        </w:tc>
        <w:tc>
          <w:tcPr>
            <w:tcW w:w="3120" w:type="dxa"/>
            <w:gridSpan w:val="2"/>
          </w:tcPr>
          <w:p w14:paraId="45D70AA7" w14:textId="77777777" w:rsidR="000A5B9A" w:rsidRPr="00B96DDA" w:rsidRDefault="000A5B9A" w:rsidP="0045384C">
            <w:pPr>
              <w:spacing w:before="0"/>
              <w:rPr>
                <w:rFonts w:ascii="Verdana" w:hAnsi="Verdana"/>
                <w:b/>
                <w:sz w:val="18"/>
                <w:szCs w:val="18"/>
              </w:rPr>
            </w:pPr>
            <w:r w:rsidRPr="00B96DDA">
              <w:rPr>
                <w:rFonts w:ascii="Verdana" w:hAnsi="Verdana"/>
                <w:b/>
                <w:sz w:val="18"/>
                <w:szCs w:val="18"/>
              </w:rPr>
              <w:t>26 de septiembre de 2023</w:t>
            </w:r>
          </w:p>
        </w:tc>
      </w:tr>
      <w:tr w:rsidR="000A5B9A" w:rsidRPr="00B96DDA" w14:paraId="634BC7F4" w14:textId="77777777" w:rsidTr="0090121B">
        <w:trPr>
          <w:cantSplit/>
        </w:trPr>
        <w:tc>
          <w:tcPr>
            <w:tcW w:w="6911" w:type="dxa"/>
            <w:gridSpan w:val="2"/>
          </w:tcPr>
          <w:p w14:paraId="263BBCD0" w14:textId="77777777" w:rsidR="000A5B9A" w:rsidRPr="00B96DDA" w:rsidRDefault="000A5B9A" w:rsidP="0045384C">
            <w:pPr>
              <w:spacing w:before="0" w:after="48"/>
              <w:rPr>
                <w:rFonts w:ascii="Verdana" w:hAnsi="Verdana"/>
                <w:b/>
                <w:smallCaps/>
                <w:sz w:val="18"/>
                <w:szCs w:val="18"/>
              </w:rPr>
            </w:pPr>
          </w:p>
        </w:tc>
        <w:tc>
          <w:tcPr>
            <w:tcW w:w="3120" w:type="dxa"/>
            <w:gridSpan w:val="2"/>
          </w:tcPr>
          <w:p w14:paraId="5CC7426A" w14:textId="77777777" w:rsidR="000A5B9A" w:rsidRPr="00B96DDA" w:rsidRDefault="000A5B9A" w:rsidP="0045384C">
            <w:pPr>
              <w:spacing w:before="0"/>
              <w:rPr>
                <w:rFonts w:ascii="Verdana" w:hAnsi="Verdana"/>
                <w:b/>
                <w:sz w:val="18"/>
                <w:szCs w:val="18"/>
              </w:rPr>
            </w:pPr>
            <w:r w:rsidRPr="00B96DDA">
              <w:rPr>
                <w:rFonts w:ascii="Verdana" w:hAnsi="Verdana"/>
                <w:b/>
                <w:sz w:val="18"/>
                <w:szCs w:val="18"/>
              </w:rPr>
              <w:t>Original: inglés</w:t>
            </w:r>
          </w:p>
        </w:tc>
      </w:tr>
      <w:tr w:rsidR="000A5B9A" w:rsidRPr="00B96DDA" w14:paraId="35F0A20F" w14:textId="77777777" w:rsidTr="006744FC">
        <w:trPr>
          <w:cantSplit/>
        </w:trPr>
        <w:tc>
          <w:tcPr>
            <w:tcW w:w="10031" w:type="dxa"/>
            <w:gridSpan w:val="4"/>
          </w:tcPr>
          <w:p w14:paraId="6D42C79C" w14:textId="77777777" w:rsidR="000A5B9A" w:rsidRPr="00B96DDA" w:rsidRDefault="000A5B9A" w:rsidP="0045384C">
            <w:pPr>
              <w:spacing w:before="0"/>
              <w:rPr>
                <w:rFonts w:ascii="Verdana" w:hAnsi="Verdana"/>
                <w:b/>
                <w:sz w:val="18"/>
                <w:szCs w:val="22"/>
              </w:rPr>
            </w:pPr>
          </w:p>
        </w:tc>
      </w:tr>
      <w:tr w:rsidR="000A5B9A" w:rsidRPr="00B96DDA" w14:paraId="0CC7B013" w14:textId="77777777" w:rsidTr="0050008E">
        <w:trPr>
          <w:cantSplit/>
        </w:trPr>
        <w:tc>
          <w:tcPr>
            <w:tcW w:w="10031" w:type="dxa"/>
            <w:gridSpan w:val="4"/>
          </w:tcPr>
          <w:p w14:paraId="6B85F2FC" w14:textId="77777777" w:rsidR="000A5B9A" w:rsidRPr="00B96DDA" w:rsidRDefault="000A5B9A" w:rsidP="000A5B9A">
            <w:pPr>
              <w:pStyle w:val="Source"/>
            </w:pPr>
            <w:bookmarkStart w:id="2" w:name="dsource" w:colFirst="0" w:colLast="0"/>
            <w:r w:rsidRPr="00B96DDA">
              <w:t>Propuestas Comunes de la Telecomunidad Asia-Pacífico</w:t>
            </w:r>
          </w:p>
        </w:tc>
      </w:tr>
      <w:tr w:rsidR="000A5B9A" w:rsidRPr="00B96DDA" w14:paraId="06AF4AFB" w14:textId="77777777" w:rsidTr="0050008E">
        <w:trPr>
          <w:cantSplit/>
        </w:trPr>
        <w:tc>
          <w:tcPr>
            <w:tcW w:w="10031" w:type="dxa"/>
            <w:gridSpan w:val="4"/>
          </w:tcPr>
          <w:p w14:paraId="63BA8C90" w14:textId="08B94F57" w:rsidR="000A5B9A" w:rsidRPr="00B96DDA" w:rsidRDefault="006E7612" w:rsidP="000A5B9A">
            <w:pPr>
              <w:pStyle w:val="Title1"/>
            </w:pPr>
            <w:bookmarkStart w:id="3" w:name="dtitle1" w:colFirst="0" w:colLast="0"/>
            <w:bookmarkEnd w:id="2"/>
            <w:r w:rsidRPr="00B96DDA">
              <w:t>PROPUESTAS PARA LOS TRABAJOS DE LA CONFERENCIA</w:t>
            </w:r>
          </w:p>
        </w:tc>
      </w:tr>
      <w:tr w:rsidR="000A5B9A" w:rsidRPr="00B96DDA" w14:paraId="52541D4B" w14:textId="77777777" w:rsidTr="0050008E">
        <w:trPr>
          <w:cantSplit/>
        </w:trPr>
        <w:tc>
          <w:tcPr>
            <w:tcW w:w="10031" w:type="dxa"/>
            <w:gridSpan w:val="4"/>
          </w:tcPr>
          <w:p w14:paraId="0DDC2A6C" w14:textId="77777777" w:rsidR="000A5B9A" w:rsidRPr="00B96DDA" w:rsidRDefault="000A5B9A" w:rsidP="000A5B9A">
            <w:pPr>
              <w:pStyle w:val="Title2"/>
            </w:pPr>
            <w:bookmarkStart w:id="4" w:name="dtitle2" w:colFirst="0" w:colLast="0"/>
            <w:bookmarkEnd w:id="3"/>
          </w:p>
        </w:tc>
      </w:tr>
      <w:tr w:rsidR="000A5B9A" w:rsidRPr="00B96DDA" w14:paraId="658ECA98" w14:textId="77777777" w:rsidTr="0050008E">
        <w:trPr>
          <w:cantSplit/>
        </w:trPr>
        <w:tc>
          <w:tcPr>
            <w:tcW w:w="10031" w:type="dxa"/>
            <w:gridSpan w:val="4"/>
          </w:tcPr>
          <w:p w14:paraId="7FF49897" w14:textId="77777777" w:rsidR="000A5B9A" w:rsidRPr="00B96DDA" w:rsidRDefault="000A5B9A" w:rsidP="000A5B9A">
            <w:pPr>
              <w:pStyle w:val="Agendaitem"/>
            </w:pPr>
            <w:bookmarkStart w:id="5" w:name="dtitle3" w:colFirst="0" w:colLast="0"/>
            <w:bookmarkEnd w:id="4"/>
            <w:r w:rsidRPr="00B96DDA">
              <w:t>Punto 10 del orden del día</w:t>
            </w:r>
          </w:p>
        </w:tc>
      </w:tr>
    </w:tbl>
    <w:bookmarkEnd w:id="5"/>
    <w:p w14:paraId="31FF1F3B" w14:textId="77777777" w:rsidR="00DE73B4" w:rsidRPr="00B96DDA" w:rsidRDefault="00DE73B4" w:rsidP="007E716E">
      <w:r w:rsidRPr="00B96DDA">
        <w:t>10</w:t>
      </w:r>
      <w:r w:rsidRPr="00B96DDA">
        <w:tab/>
        <w:t>recomendar al Consejo de la UIT los puntos que debe contener el orden del día de la próxima Conferencia Mundial de Radiocomunicaciones y los temas que se han de incluir en el orden del día preliminar de futuras conferencias, de c</w:t>
      </w:r>
      <w:bookmarkStart w:id="6" w:name="_GoBack"/>
      <w:bookmarkEnd w:id="6"/>
      <w:r w:rsidRPr="00B96DDA">
        <w:t xml:space="preserve">onformidad con el Artículo 7 del Convenio de la UIT y la Resolución </w:t>
      </w:r>
      <w:r w:rsidRPr="00B96DDA">
        <w:rPr>
          <w:b/>
          <w:bCs/>
        </w:rPr>
        <w:t>804 (Rev.CMR-19)</w:t>
      </w:r>
      <w:r w:rsidRPr="00B96DDA">
        <w:t>,</w:t>
      </w:r>
    </w:p>
    <w:p w14:paraId="6D3693DA" w14:textId="5AC6AE2D" w:rsidR="006E7612" w:rsidRPr="00B96DDA" w:rsidRDefault="006E7612" w:rsidP="006E7612">
      <w:pPr>
        <w:pStyle w:val="Headingb"/>
        <w:rPr>
          <w:rFonts w:eastAsia="SimSun"/>
          <w:lang w:eastAsia="zh-CN"/>
        </w:rPr>
      </w:pPr>
      <w:r w:rsidRPr="00B96DDA">
        <w:rPr>
          <w:rFonts w:eastAsia="SimSun"/>
          <w:lang w:eastAsia="zh-CN"/>
        </w:rPr>
        <w:t>Introducción</w:t>
      </w:r>
    </w:p>
    <w:p w14:paraId="1081B2DC" w14:textId="0FC35CF2" w:rsidR="006E7612" w:rsidRPr="00B96DDA" w:rsidRDefault="006E7612" w:rsidP="006E7612">
      <w:pPr>
        <w:rPr>
          <w:lang w:eastAsia="ko-KR"/>
        </w:rPr>
      </w:pPr>
      <w:r w:rsidRPr="00B96DDA">
        <w:rPr>
          <w:lang w:eastAsia="ko-KR"/>
        </w:rPr>
        <w:t>Los miembros de la APT consideran que, si el orden del día de la CMR-27 incluyera el punto 2.12 del orden del día preliminar, la Resolución en que se basa dicho punto debería incluir, entre otras cosas, la protección de los servicios a los que está atribuida la banda, así como de los servicios en la banda adyacente.</w:t>
      </w:r>
    </w:p>
    <w:p w14:paraId="79646593" w14:textId="1080FAA5" w:rsidR="006E7612" w:rsidRPr="00B96DDA" w:rsidRDefault="006E7612" w:rsidP="006E7612">
      <w:pPr>
        <w:rPr>
          <w:lang w:eastAsia="ko-KR"/>
        </w:rPr>
      </w:pPr>
      <w:r w:rsidRPr="00B96DDA">
        <w:rPr>
          <w:lang w:eastAsia="ko-KR"/>
        </w:rPr>
        <w:t>Los miembros de la APT apoyan el siguiente punto del orden del día preliminar de la CMR-31.</w:t>
      </w:r>
    </w:p>
    <w:p w14:paraId="1B99B17D" w14:textId="5EF00A98" w:rsidR="006E7612" w:rsidRPr="00B96DDA" w:rsidRDefault="006E7612" w:rsidP="006E7612">
      <w:pPr>
        <w:pStyle w:val="Headingb"/>
      </w:pPr>
      <w:r w:rsidRPr="00B96DDA">
        <w:t>Propuestas</w:t>
      </w:r>
    </w:p>
    <w:p w14:paraId="235DF77F" w14:textId="77777777" w:rsidR="00363A65" w:rsidRPr="00B96DDA" w:rsidRDefault="00363A65" w:rsidP="002C1A52"/>
    <w:p w14:paraId="66EC8D8A" w14:textId="77777777" w:rsidR="008750A8" w:rsidRPr="00B96DDA" w:rsidRDefault="008750A8" w:rsidP="008750A8">
      <w:pPr>
        <w:tabs>
          <w:tab w:val="clear" w:pos="1134"/>
          <w:tab w:val="clear" w:pos="1871"/>
          <w:tab w:val="clear" w:pos="2268"/>
        </w:tabs>
        <w:overflowPunct/>
        <w:autoSpaceDE/>
        <w:autoSpaceDN/>
        <w:adjustRightInd/>
        <w:spacing w:before="0"/>
        <w:textAlignment w:val="auto"/>
      </w:pPr>
      <w:r w:rsidRPr="00B96DDA">
        <w:br w:type="page"/>
      </w:r>
    </w:p>
    <w:p w14:paraId="1BFECF23" w14:textId="77777777" w:rsidR="001F42EE" w:rsidRPr="00B96DDA" w:rsidRDefault="00DE73B4">
      <w:pPr>
        <w:pStyle w:val="Proposal"/>
      </w:pPr>
      <w:r w:rsidRPr="00B96DDA">
        <w:lastRenderedPageBreak/>
        <w:t>ADD</w:t>
      </w:r>
      <w:r w:rsidRPr="00B96DDA">
        <w:tab/>
        <w:t>ACP/62A27A7/1</w:t>
      </w:r>
    </w:p>
    <w:p w14:paraId="15FD3720" w14:textId="52467F8F" w:rsidR="006E7612" w:rsidRPr="00B96DDA" w:rsidRDefault="006E7612" w:rsidP="006E7612">
      <w:pPr>
        <w:pStyle w:val="ResNo"/>
      </w:pPr>
      <w:r w:rsidRPr="00B96DDA">
        <w:t>PROYECTO DE NUEVA RESOLUCIÓN [ACP-AI10-2] (CMR-23)</w:t>
      </w:r>
    </w:p>
    <w:p w14:paraId="2E388950" w14:textId="56F5902B" w:rsidR="006E7612" w:rsidRPr="00B96DDA" w:rsidRDefault="006E7612" w:rsidP="006E7612">
      <w:pPr>
        <w:pStyle w:val="Restitle"/>
      </w:pPr>
      <w:r w:rsidRPr="00B96DDA">
        <w:t>Orden del día preli</w:t>
      </w:r>
      <w:r w:rsidR="00B520E8">
        <w:t>minar de la Conferencia Mundial</w:t>
      </w:r>
      <w:r w:rsidR="00B520E8">
        <w:br/>
      </w:r>
      <w:r w:rsidRPr="00B96DDA">
        <w:t>de Radiocomunicaciones de 2031</w:t>
      </w:r>
    </w:p>
    <w:p w14:paraId="49F88EDD" w14:textId="7E3C614E" w:rsidR="006E7612" w:rsidRPr="00B96DDA" w:rsidRDefault="006E7612" w:rsidP="006E7612">
      <w:pPr>
        <w:pStyle w:val="Normalaftertitle"/>
      </w:pPr>
      <w:r w:rsidRPr="00B96DDA">
        <w:t>La Conferencia Mundial de Radiocomunicaciones (Dubái, 2023),</w:t>
      </w:r>
    </w:p>
    <w:p w14:paraId="5F8D9517" w14:textId="77777777" w:rsidR="006E7612" w:rsidRPr="00B96DDA" w:rsidRDefault="006E7612" w:rsidP="006E7612">
      <w:pPr>
        <w:rPr>
          <w:lang w:eastAsia="ko-KR"/>
        </w:rPr>
      </w:pPr>
      <w:r w:rsidRPr="00B96DDA">
        <w:rPr>
          <w:lang w:eastAsia="ko-KR"/>
        </w:rPr>
        <w:t>…</w:t>
      </w:r>
    </w:p>
    <w:p w14:paraId="559D8745" w14:textId="7B757438" w:rsidR="006E7612" w:rsidRPr="00B96DDA" w:rsidRDefault="006E7612" w:rsidP="006E7612">
      <w:r w:rsidRPr="00B96DDA">
        <w:t>2</w:t>
      </w:r>
      <w:r w:rsidRPr="00B96DDA">
        <w:tab/>
        <w:t>de acuerdo con las propuestas presentadas por las administraciones, así como con el Informe de la Reunión Preparatoria de la Conferencia, y teniendo en cuenta los resultados de la CMR-27, considerar los siguientes puntos y tomar las medidas adecuadas:</w:t>
      </w:r>
    </w:p>
    <w:p w14:paraId="175B3BD5" w14:textId="77777777" w:rsidR="006E7612" w:rsidRPr="00B96DDA" w:rsidRDefault="006E7612" w:rsidP="006E7612">
      <w:pPr>
        <w:rPr>
          <w:lang w:eastAsia="ko-KR"/>
        </w:rPr>
      </w:pPr>
      <w:r w:rsidRPr="00B96DDA">
        <w:rPr>
          <w:lang w:eastAsia="ko-KR"/>
        </w:rPr>
        <w:t>…</w:t>
      </w:r>
    </w:p>
    <w:p w14:paraId="22132516" w14:textId="1A513D60" w:rsidR="006E7612" w:rsidRPr="00B96DDA" w:rsidRDefault="006E7612" w:rsidP="00B520E8">
      <w:r w:rsidRPr="00B96DDA">
        <w:t>2.2</w:t>
      </w:r>
      <w:r w:rsidRPr="00B96DDA">
        <w:tab/>
      </w:r>
      <w:r w:rsidR="00F421AC" w:rsidRPr="00B96DDA">
        <w:t xml:space="preserve">la utilización de las identificaciones existentes para las Telecomunicaciones Móviles Internacionales (IMT) en </w:t>
      </w:r>
      <w:r w:rsidRPr="00B96DDA">
        <w:t xml:space="preserve">las gamas de frecuencias [3 400-3 600 MHz] y [3 600-3 700 MHz] con </w:t>
      </w:r>
      <w:r w:rsidR="00F421AC" w:rsidRPr="00B96DDA">
        <w:t>miras</w:t>
      </w:r>
      <w:r w:rsidRPr="00B96DDA">
        <w:t xml:space="preserve"> a </w:t>
      </w:r>
      <w:r w:rsidR="00F421AC" w:rsidRPr="00B96DDA">
        <w:t xml:space="preserve">la posible supresión de la limitación relativa al servicio móvil aeronáutico para el uso de equipos de usuario IMT por aplicaciones no relacionadas con la seguridad, </w:t>
      </w:r>
      <w:r w:rsidR="00BD606D">
        <w:t>si</w:t>
      </w:r>
      <w:r w:rsidR="00F421AC" w:rsidRPr="00B96DDA">
        <w:t xml:space="preserve"> proceda,</w:t>
      </w:r>
      <w:r w:rsidRPr="00B96DDA">
        <w:t xml:space="preserve"> con</w:t>
      </w:r>
      <w:r w:rsidR="00F421AC" w:rsidRPr="00B96DDA">
        <w:t>forme a lo estipulado en</w:t>
      </w:r>
      <w:r w:rsidRPr="00B96DDA">
        <w:t xml:space="preserve"> la Resolución </w:t>
      </w:r>
      <w:r w:rsidRPr="00B96DDA">
        <w:rPr>
          <w:b/>
          <w:bCs/>
        </w:rPr>
        <w:t>[ACP</w:t>
      </w:r>
      <w:r w:rsidR="00EB07D1">
        <w:rPr>
          <w:b/>
          <w:bCs/>
        </w:rPr>
        <w:noBreakHyphen/>
      </w:r>
      <w:r w:rsidRPr="00B96DDA">
        <w:rPr>
          <w:b/>
          <w:bCs/>
        </w:rPr>
        <w:t>AI10</w:t>
      </w:r>
      <w:r w:rsidR="00EB07D1">
        <w:rPr>
          <w:b/>
          <w:bCs/>
        </w:rPr>
        <w:noBreakHyphen/>
      </w:r>
      <w:r w:rsidRPr="00B96DDA">
        <w:rPr>
          <w:b/>
          <w:bCs/>
        </w:rPr>
        <w:t>5]</w:t>
      </w:r>
      <w:r w:rsidR="00EB07D1">
        <w:rPr>
          <w:b/>
          <w:bCs/>
        </w:rPr>
        <w:t> </w:t>
      </w:r>
      <w:r w:rsidRPr="00B96DDA">
        <w:rPr>
          <w:b/>
          <w:bCs/>
        </w:rPr>
        <w:t>(CMR-23)</w:t>
      </w:r>
      <w:r w:rsidRPr="00B96DDA">
        <w:t>;</w:t>
      </w:r>
    </w:p>
    <w:p w14:paraId="195D29B0" w14:textId="59B59F31" w:rsidR="001F42EE" w:rsidRPr="00B96DDA" w:rsidRDefault="006E7612">
      <w:pPr>
        <w:rPr>
          <w:lang w:eastAsia="ko-KR"/>
        </w:rPr>
      </w:pPr>
      <w:r w:rsidRPr="00B96DDA">
        <w:rPr>
          <w:lang w:eastAsia="ko-KR"/>
        </w:rPr>
        <w:t>…</w:t>
      </w:r>
    </w:p>
    <w:p w14:paraId="261512B7" w14:textId="77777777" w:rsidR="001F42EE" w:rsidRPr="00B96DDA" w:rsidRDefault="001F42EE">
      <w:pPr>
        <w:pStyle w:val="Reasons"/>
      </w:pPr>
    </w:p>
    <w:p w14:paraId="117BBECA" w14:textId="77777777" w:rsidR="001F42EE" w:rsidRPr="00B96DDA" w:rsidRDefault="00DE73B4">
      <w:pPr>
        <w:pStyle w:val="Proposal"/>
      </w:pPr>
      <w:r w:rsidRPr="00B96DDA">
        <w:t>ADD</w:t>
      </w:r>
      <w:r w:rsidRPr="00B96DDA">
        <w:tab/>
        <w:t>ACP/62A27A7/2</w:t>
      </w:r>
    </w:p>
    <w:p w14:paraId="01BDAE3B" w14:textId="1E3F0711" w:rsidR="00F421AC" w:rsidRPr="00B96DDA" w:rsidRDefault="00F421AC" w:rsidP="00016ECF">
      <w:pPr>
        <w:pStyle w:val="ResNo"/>
      </w:pPr>
      <w:r w:rsidRPr="00B96DDA">
        <w:t>PROYECTO DE NUEVA RESOLUCIÓN [ACP-AI10-5] (CMR-23)</w:t>
      </w:r>
    </w:p>
    <w:p w14:paraId="0061A5CC" w14:textId="266BBD60" w:rsidR="00F421AC" w:rsidRPr="00B96DDA" w:rsidRDefault="00F421AC" w:rsidP="00F421AC">
      <w:pPr>
        <w:pStyle w:val="Restitle"/>
      </w:pPr>
      <w:bookmarkStart w:id="7" w:name="_Toc36190256"/>
      <w:bookmarkStart w:id="8" w:name="_Toc39734936"/>
      <w:r w:rsidRPr="00B96DDA">
        <w:t xml:space="preserve">Estudios relativos a la posible supresión </w:t>
      </w:r>
      <w:bookmarkStart w:id="9" w:name="_Hlk148953860"/>
      <w:r w:rsidRPr="00B96DDA">
        <w:t>de la limitación relativa al servicio móvil aeronáutico</w:t>
      </w:r>
      <w:bookmarkEnd w:id="9"/>
      <w:r w:rsidR="00B520E8">
        <w:t xml:space="preserve"> </w:t>
      </w:r>
      <w:r w:rsidRPr="00B96DDA">
        <w:t>en las gamas de frecuencias [3 400-3 600</w:t>
      </w:r>
      <w:r w:rsidR="00EB07D1">
        <w:t> </w:t>
      </w:r>
      <w:r w:rsidR="00B520E8">
        <w:t>MHz]</w:t>
      </w:r>
      <w:r w:rsidR="00B520E8">
        <w:br/>
      </w:r>
      <w:r w:rsidRPr="00B96DDA">
        <w:t>y [3</w:t>
      </w:r>
      <w:r w:rsidR="00EB07D1">
        <w:t> </w:t>
      </w:r>
      <w:r w:rsidRPr="00B96DDA">
        <w:t>600</w:t>
      </w:r>
      <w:r w:rsidR="00EB07D1">
        <w:noBreakHyphen/>
      </w:r>
      <w:r w:rsidRPr="00B96DDA">
        <w:t>3</w:t>
      </w:r>
      <w:r w:rsidR="00EB07D1">
        <w:t> </w:t>
      </w:r>
      <w:r w:rsidRPr="00B96DDA">
        <w:t>700</w:t>
      </w:r>
      <w:r w:rsidR="00EB07D1">
        <w:t> </w:t>
      </w:r>
      <w:r w:rsidRPr="00B96DDA">
        <w:t>MHz] para la utilización</w:t>
      </w:r>
      <w:r w:rsidR="00B520E8">
        <w:t xml:space="preserve"> de equipos de usuario</w:t>
      </w:r>
      <w:r w:rsidR="00B520E8">
        <w:br/>
      </w:r>
      <w:r w:rsidRPr="00B96DDA">
        <w:t>de las Telecomunicaciones Móviles</w:t>
      </w:r>
      <w:r w:rsidR="00B520E8">
        <w:t xml:space="preserve"> Internacionales</w:t>
      </w:r>
      <w:r w:rsidR="00B520E8">
        <w:br/>
      </w:r>
      <w:r w:rsidRPr="00B96DDA">
        <w:t>por aplicaciones no relacionadas</w:t>
      </w:r>
      <w:r w:rsidR="00B520E8">
        <w:t xml:space="preserve"> </w:t>
      </w:r>
      <w:r w:rsidRPr="00B96DDA">
        <w:t>con la seguridad</w:t>
      </w:r>
      <w:bookmarkEnd w:id="7"/>
      <w:bookmarkEnd w:id="8"/>
    </w:p>
    <w:p w14:paraId="3D2227F9" w14:textId="4B60412A" w:rsidR="00F421AC" w:rsidRPr="00B96DDA" w:rsidRDefault="00F421AC" w:rsidP="00F421AC">
      <w:pPr>
        <w:pStyle w:val="Normalaftertitle"/>
      </w:pPr>
      <w:r w:rsidRPr="00B96DDA">
        <w:t>La Conferencia Mundial de Radiocomunicaciones (Dubái, 2023),</w:t>
      </w:r>
    </w:p>
    <w:p w14:paraId="62646362" w14:textId="77777777" w:rsidR="00F421AC" w:rsidRPr="00B96DDA" w:rsidRDefault="00F421AC" w:rsidP="00F421AC">
      <w:pPr>
        <w:pStyle w:val="Call"/>
      </w:pPr>
      <w:r w:rsidRPr="00B96DDA">
        <w:t>considerando</w:t>
      </w:r>
    </w:p>
    <w:p w14:paraId="40458C5B" w14:textId="77777777" w:rsidR="00F421AC" w:rsidRPr="00B96DDA" w:rsidRDefault="00F421AC" w:rsidP="00F421AC">
      <w:r w:rsidRPr="00B96DDA">
        <w:rPr>
          <w:i/>
        </w:rPr>
        <w:t>a)</w:t>
      </w:r>
      <w:r w:rsidRPr="00B96DDA">
        <w:rPr>
          <w:i/>
        </w:rPr>
        <w:tab/>
      </w:r>
      <w:r w:rsidRPr="00B96DDA">
        <w:t>que es necesario aumentar la conectividad de los vehículos aeronáuticos a raíz de la demanda existente y las futuras necesidades de la comunidad aeronáutica;</w:t>
      </w:r>
    </w:p>
    <w:p w14:paraId="47264C29" w14:textId="77777777" w:rsidR="00F421AC" w:rsidRPr="00B96DDA" w:rsidRDefault="00F421AC" w:rsidP="00F421AC">
      <w:r w:rsidRPr="00B96DDA">
        <w:rPr>
          <w:i/>
          <w:iCs/>
        </w:rPr>
        <w:t>b)</w:t>
      </w:r>
      <w:r w:rsidRPr="00B96DDA">
        <w:tab/>
        <w:t>que las redes de Telecomunicaciones Móviles Internacionales (IMT) actuales y futuras pueden prestar servicios de conectividad a helicópteros, aeronaves de pequeño tamaño y sistemas de aeronaves no tripuladas (SANT);</w:t>
      </w:r>
    </w:p>
    <w:p w14:paraId="23449737" w14:textId="77777777" w:rsidR="00F421AC" w:rsidRPr="00B96DDA" w:rsidRDefault="00F421AC" w:rsidP="00F421AC">
      <w:r w:rsidRPr="00B96DDA">
        <w:rPr>
          <w:i/>
          <w:iCs/>
        </w:rPr>
        <w:t>c)</w:t>
      </w:r>
      <w:r w:rsidRPr="00B96DDA">
        <w:tab/>
        <w:t xml:space="preserve">que las redes IMT actuales y futuras pueden proporcionar funciones de comunicaciones para las operaciones de los SANT más allá de la línea de visibilidad directa; </w:t>
      </w:r>
    </w:p>
    <w:p w14:paraId="1969D60D" w14:textId="77777777" w:rsidR="00F421AC" w:rsidRPr="00B96DDA" w:rsidRDefault="00F421AC" w:rsidP="00F421AC">
      <w:r w:rsidRPr="00B96DDA">
        <w:rPr>
          <w:i/>
          <w:iCs/>
        </w:rPr>
        <w:t>d)</w:t>
      </w:r>
      <w:r w:rsidRPr="00B96DDA">
        <w:tab/>
        <w:t>que las futuras redes IMT pueden prestar servicios de conectividad directa aire-tierra a aviones comerciales provistos de equipos específicos a bordo;</w:t>
      </w:r>
    </w:p>
    <w:p w14:paraId="0C4565A0" w14:textId="77777777" w:rsidR="00F421AC" w:rsidRPr="00B96DDA" w:rsidRDefault="00F421AC" w:rsidP="00F421AC">
      <w:r w:rsidRPr="00B96DDA">
        <w:rPr>
          <w:i/>
          <w:iCs/>
        </w:rPr>
        <w:lastRenderedPageBreak/>
        <w:t>e)</w:t>
      </w:r>
      <w:r w:rsidRPr="00B96DDA">
        <w:tab/>
        <w:t xml:space="preserve">que en varios estudios se ha demostrado la viabilidad de las capacidades de las IMT identificadas en el </w:t>
      </w:r>
      <w:r w:rsidRPr="00B96DDA">
        <w:rPr>
          <w:i/>
          <w:iCs/>
        </w:rPr>
        <w:t>considerando</w:t>
      </w:r>
      <w:r w:rsidRPr="00B96DDA">
        <w:t xml:space="preserve"> anterior y que esas capacidades son desarrolladas actualmente por varias organizaciones de normalización,</w:t>
      </w:r>
    </w:p>
    <w:p w14:paraId="5D5867BE" w14:textId="77777777" w:rsidR="00F421AC" w:rsidRPr="00B96DDA" w:rsidRDefault="00F421AC" w:rsidP="00F421AC">
      <w:pPr>
        <w:pStyle w:val="Call"/>
      </w:pPr>
      <w:r w:rsidRPr="00B96DDA">
        <w:t>observando</w:t>
      </w:r>
    </w:p>
    <w:p w14:paraId="2390BBD7" w14:textId="77777777" w:rsidR="00F421AC" w:rsidRPr="00B96DDA" w:rsidRDefault="00F421AC" w:rsidP="00F421AC">
      <w:r w:rsidRPr="00B96DDA">
        <w:rPr>
          <w:i/>
        </w:rPr>
        <w:t>a)</w:t>
      </w:r>
      <w:r w:rsidRPr="00B96DDA">
        <w:rPr>
          <w:i/>
        </w:rPr>
        <w:tab/>
      </w:r>
      <w:r w:rsidRPr="00B96DDA">
        <w:t xml:space="preserve">que en los estudios sobre compartición y compatibilidad del Sector de Radiocomunicaciones de la UIT en los que se respalda la identificación de bandas de frecuencias específicas para las IMT no se tuvieron en cuenta los casos de utilización que figuran en los </w:t>
      </w:r>
      <w:r w:rsidRPr="00B96DDA">
        <w:rPr>
          <w:i/>
          <w:iCs/>
        </w:rPr>
        <w:t>considerando</w:t>
      </w:r>
      <w:r w:rsidRPr="00B96DDA">
        <w:t> </w:t>
      </w:r>
      <w:r w:rsidRPr="00B96DDA">
        <w:rPr>
          <w:i/>
          <w:iCs/>
        </w:rPr>
        <w:t>b)</w:t>
      </w:r>
      <w:r w:rsidRPr="00B96DDA">
        <w:t xml:space="preserve"> a </w:t>
      </w:r>
      <w:r w:rsidRPr="00B96DDA">
        <w:rPr>
          <w:i/>
          <w:iCs/>
        </w:rPr>
        <w:t>e)</w:t>
      </w:r>
      <w:r w:rsidRPr="00B96DDA">
        <w:t>;</w:t>
      </w:r>
    </w:p>
    <w:p w14:paraId="1FA9706D" w14:textId="3247341D" w:rsidR="00F421AC" w:rsidRPr="00B96DDA" w:rsidRDefault="00F421AC" w:rsidP="00F421AC">
      <w:r w:rsidRPr="00B96DDA">
        <w:rPr>
          <w:i/>
          <w:iCs/>
        </w:rPr>
        <w:t>b)</w:t>
      </w:r>
      <w:r w:rsidRPr="00B96DDA">
        <w:tab/>
        <w:t>que en la Resolución </w:t>
      </w:r>
      <w:r w:rsidRPr="00B96DDA">
        <w:rPr>
          <w:b/>
          <w:bCs/>
        </w:rPr>
        <w:t>224 (Rev.CMR-19)</w:t>
      </w:r>
      <w:r w:rsidRPr="00B96DDA">
        <w:t xml:space="preserve"> se abordan las bandas de frecuencias para la componente terrenal de las Telecomunicaciones Móviles Internacionales por debajo de 1</w:t>
      </w:r>
      <w:r w:rsidR="00EB07D1">
        <w:t> </w:t>
      </w:r>
      <w:r w:rsidRPr="00B96DDA">
        <w:t>GHz;</w:t>
      </w:r>
    </w:p>
    <w:p w14:paraId="122FAE28" w14:textId="42B04E04" w:rsidR="00F421AC" w:rsidRPr="00B96DDA" w:rsidRDefault="00F421AC" w:rsidP="00F421AC">
      <w:r w:rsidRPr="00B96DDA">
        <w:rPr>
          <w:i/>
          <w:iCs/>
        </w:rPr>
        <w:t>c)</w:t>
      </w:r>
      <w:r w:rsidRPr="00B96DDA">
        <w:tab/>
        <w:t>que las bandas de frecuencias 3</w:t>
      </w:r>
      <w:r w:rsidR="00EB07D1">
        <w:t> </w:t>
      </w:r>
      <w:r w:rsidRPr="00B96DDA">
        <w:t>400-3</w:t>
      </w:r>
      <w:r w:rsidR="00EB07D1">
        <w:t> </w:t>
      </w:r>
      <w:r w:rsidRPr="00B96DDA">
        <w:t>600 MHz y 3</w:t>
      </w:r>
      <w:r w:rsidR="00EB07D1">
        <w:t> </w:t>
      </w:r>
      <w:r w:rsidRPr="00B96DDA">
        <w:t>600-3 700</w:t>
      </w:r>
      <w:r w:rsidR="00EB07D1">
        <w:t> </w:t>
      </w:r>
      <w:r w:rsidRPr="00B96DDA">
        <w:t>MHz están atribuidas a título primario al servicio móvil</w:t>
      </w:r>
      <w:r w:rsidR="00BD606D">
        <w:t>,</w:t>
      </w:r>
      <w:r w:rsidRPr="00B96DDA">
        <w:t xml:space="preserve"> salvo móvil aeronáutico,</w:t>
      </w:r>
    </w:p>
    <w:p w14:paraId="4A38ED07" w14:textId="77777777" w:rsidR="00F421AC" w:rsidRPr="00B96DDA" w:rsidRDefault="00F421AC" w:rsidP="00F421AC">
      <w:pPr>
        <w:pStyle w:val="Call"/>
      </w:pPr>
      <w:r w:rsidRPr="00B96DDA">
        <w:t>reconociendo</w:t>
      </w:r>
    </w:p>
    <w:p w14:paraId="04E9FDBD" w14:textId="77777777" w:rsidR="00F421AC" w:rsidRPr="00B96DDA" w:rsidRDefault="00F421AC" w:rsidP="00F421AC">
      <w:r w:rsidRPr="00B96DDA">
        <w:t>que la supresión de la limitación que afecta al servicio móvil aeronáutico en las bandas propuestas permitiría unificar la utilización de las identificaciones a las IMT por parte de los equipos de usuario aeronáuticos en todas las Regiones,</w:t>
      </w:r>
    </w:p>
    <w:p w14:paraId="1FB7E71F" w14:textId="00ADC39A" w:rsidR="00F421AC" w:rsidRPr="00B96DDA" w:rsidRDefault="00F421AC" w:rsidP="00F421AC">
      <w:pPr>
        <w:pStyle w:val="Call"/>
      </w:pPr>
      <w:r w:rsidRPr="00B96DDA">
        <w:t>resuelve invitar al UIT-R</w:t>
      </w:r>
    </w:p>
    <w:p w14:paraId="6D2A5139" w14:textId="77777777" w:rsidR="00F421AC" w:rsidRPr="00B96DDA" w:rsidRDefault="00F421AC" w:rsidP="00F421AC">
      <w:r w:rsidRPr="00B96DDA">
        <w:t>1</w:t>
      </w:r>
      <w:r w:rsidRPr="00B96DDA">
        <w:tab/>
        <w:t>a que analice los casos hipotéticos pertinentes relativos al servicio móvil aeronáutico sobre conectividad aire-tierra y tierra-aire de equipo de usuario de a bordo en redes IMT que han de examinarse en estudios de compatibilidad y compartición;</w:t>
      </w:r>
    </w:p>
    <w:p w14:paraId="0B7AE40F" w14:textId="77777777" w:rsidR="00F421AC" w:rsidRPr="00B96DDA" w:rsidRDefault="00F421AC" w:rsidP="00F421AC">
      <w:r w:rsidRPr="00B96DDA">
        <w:t>2</w:t>
      </w:r>
      <w:r w:rsidRPr="00B96DDA">
        <w:tab/>
        <w:t>a que identifique los parámetros técnicos pertinentes asociados a los sistemas móviles aeronáuticos;</w:t>
      </w:r>
    </w:p>
    <w:p w14:paraId="048BB9BE" w14:textId="77777777" w:rsidR="00F421AC" w:rsidRPr="00B96DDA" w:rsidRDefault="00F421AC" w:rsidP="00F421AC">
      <w:r w:rsidRPr="00B96DDA">
        <w:t>3</w:t>
      </w:r>
      <w:r w:rsidRPr="00B96DDA">
        <w:tab/>
        <w:t>a que lleve a cabo estudios de compartición y compatibilidad con los servicios existentes, en particular en las bandas de frecuencias adyacentes;</w:t>
      </w:r>
    </w:p>
    <w:p w14:paraId="7F615A87" w14:textId="298FB913" w:rsidR="00F421AC" w:rsidRPr="00B96DDA" w:rsidRDefault="00F421AC" w:rsidP="00F421AC">
      <w:r w:rsidRPr="00B96DDA">
        <w:t>4</w:t>
      </w:r>
      <w:r w:rsidRPr="00B96DDA">
        <w:tab/>
        <w:t xml:space="preserve">a que determine la posibilidad de suprimir la excepción del servicio móvil aeronáutico, u otras medidas reglamentarias adecuadas, en las gamas de frecuencias </w:t>
      </w:r>
      <w:r w:rsidR="000C3545" w:rsidRPr="00B96DDA">
        <w:t>[3 400</w:t>
      </w:r>
      <w:r w:rsidR="00EB07D1">
        <w:noBreakHyphen/>
      </w:r>
      <w:r w:rsidR="000C3545" w:rsidRPr="00B96DDA">
        <w:t>3 600</w:t>
      </w:r>
      <w:r w:rsidR="00EB07D1">
        <w:t> </w:t>
      </w:r>
      <w:r w:rsidR="000C3545" w:rsidRPr="00B96DDA">
        <w:t>MHz en la Región 3] [y 3 600-3 700</w:t>
      </w:r>
      <w:r w:rsidR="00EB07D1">
        <w:t> </w:t>
      </w:r>
      <w:r w:rsidR="000C3545" w:rsidRPr="00B96DDA">
        <w:t>MHz en la Región 3], en función de los</w:t>
      </w:r>
      <w:r w:rsidR="008F156D">
        <w:t xml:space="preserve"> resultados de los estudios del </w:t>
      </w:r>
      <w:r w:rsidR="000C3545" w:rsidRPr="00B96DDA">
        <w:t>UIT-R antes mencionados</w:t>
      </w:r>
      <w:r w:rsidRPr="00B96DDA">
        <w:t>,</w:t>
      </w:r>
    </w:p>
    <w:p w14:paraId="54DAE933" w14:textId="10FDFE29" w:rsidR="00F421AC" w:rsidRPr="00B96DDA" w:rsidRDefault="00F421AC" w:rsidP="00F421AC">
      <w:pPr>
        <w:pStyle w:val="Call"/>
      </w:pPr>
      <w:r w:rsidRPr="00B96DDA">
        <w:rPr>
          <w:szCs w:val="24"/>
        </w:rPr>
        <w:t xml:space="preserve">invita a la </w:t>
      </w:r>
      <w:r w:rsidR="000C3545" w:rsidRPr="00B96DDA">
        <w:rPr>
          <w:szCs w:val="24"/>
        </w:rPr>
        <w:t>CMR</w:t>
      </w:r>
      <w:r w:rsidR="00EB07D1">
        <w:rPr>
          <w:szCs w:val="24"/>
        </w:rPr>
        <w:noBreakHyphen/>
      </w:r>
      <w:r w:rsidR="000C3545" w:rsidRPr="00B96DDA">
        <w:rPr>
          <w:szCs w:val="24"/>
        </w:rPr>
        <w:t>31</w:t>
      </w:r>
    </w:p>
    <w:p w14:paraId="6D31229D" w14:textId="0E6071FE" w:rsidR="00F421AC" w:rsidRPr="00B96DDA" w:rsidRDefault="00F421AC" w:rsidP="00F421AC">
      <w:r w:rsidRPr="00B96DDA">
        <w:t xml:space="preserve">a </w:t>
      </w:r>
      <w:r w:rsidR="000C3545" w:rsidRPr="00B96DDA">
        <w:t>considerar los resultados de los estudios del UIT-R antes mencionados y a adoptar las medidas oportunas en relación con la posibilidad de suprimir la excepción del servicio móvil aeronáutico, u otras medidas reglamentarias adecuadas, en las gamas de frecuencias [3 400-3 600</w:t>
      </w:r>
      <w:r w:rsidR="00EB07D1">
        <w:t> </w:t>
      </w:r>
      <w:r w:rsidR="008F156D">
        <w:t>MHz] [y </w:t>
      </w:r>
      <w:r w:rsidR="000C3545" w:rsidRPr="00B96DDA">
        <w:t>3</w:t>
      </w:r>
      <w:r w:rsidR="00EB07D1">
        <w:t> </w:t>
      </w:r>
      <w:r w:rsidR="000C3545" w:rsidRPr="00B96DDA">
        <w:t>600</w:t>
      </w:r>
      <w:r w:rsidR="008F156D">
        <w:t> </w:t>
      </w:r>
      <w:r w:rsidR="000C3545" w:rsidRPr="00B96DDA">
        <w:t>3</w:t>
      </w:r>
      <w:r w:rsidR="00EB07D1">
        <w:t> </w:t>
      </w:r>
      <w:r w:rsidR="000C3545" w:rsidRPr="00B96DDA">
        <w:t>700 MHz] [en la Región 3], garantizando al mismo tiempo la plena protección de los servicios a los que están atribuidas esas bandas de frecuencias, así como de los servicios en las bandas adyacentes</w:t>
      </w:r>
      <w:r w:rsidRPr="00B96DDA">
        <w:t>.</w:t>
      </w:r>
    </w:p>
    <w:p w14:paraId="0BA887A9" w14:textId="16400064" w:rsidR="000C3545" w:rsidRPr="00B96DDA" w:rsidRDefault="00DE73B4" w:rsidP="000C3545">
      <w:pPr>
        <w:pStyle w:val="Reasons"/>
      </w:pPr>
      <w:r w:rsidRPr="00B96DDA">
        <w:rPr>
          <w:b/>
        </w:rPr>
        <w:t>Motivos:</w:t>
      </w:r>
      <w:r w:rsidRPr="00B96DDA">
        <w:tab/>
      </w:r>
      <w:r w:rsidR="000C3545" w:rsidRPr="00B96DDA">
        <w:t>Propuesta de punto del orden del día preliminar de la CMR-31, cuyo objetivo es considerar la supresión de la limitación relativa al servicio móvil aeronáutico en las gamas de frecuencias [3 400-3 600</w:t>
      </w:r>
      <w:r w:rsidR="00EB07D1">
        <w:t> </w:t>
      </w:r>
      <w:r w:rsidR="000C3545" w:rsidRPr="00B96DDA">
        <w:t>MHz] y [3 600-3 700</w:t>
      </w:r>
      <w:r w:rsidR="00EB07D1">
        <w:t> </w:t>
      </w:r>
      <w:r w:rsidR="000C3545" w:rsidRPr="00B96DDA">
        <w:t>MHz] para la utilización de equipos de usuario de las Telecomunicaciones Móviles Internacionales por aplicaciones no relacionadas con la seguridad.</w:t>
      </w:r>
    </w:p>
    <w:p w14:paraId="348D4119" w14:textId="29C80423" w:rsidR="008F156D" w:rsidRPr="00B96DDA" w:rsidRDefault="008F156D" w:rsidP="008F156D">
      <w:pPr>
        <w:tabs>
          <w:tab w:val="clear" w:pos="1134"/>
          <w:tab w:val="clear" w:pos="1871"/>
          <w:tab w:val="clear" w:pos="2268"/>
        </w:tabs>
        <w:overflowPunct/>
        <w:autoSpaceDE/>
        <w:autoSpaceDN/>
        <w:adjustRightInd/>
        <w:spacing w:before="0"/>
        <w:textAlignment w:val="auto"/>
      </w:pPr>
      <w:r>
        <w:br w:type="page"/>
      </w:r>
    </w:p>
    <w:tbl>
      <w:tblPr>
        <w:tblpPr w:leftFromText="180" w:rightFromText="180" w:vertAnchor="text" w:tblpX="-84" w:tblpY="1"/>
        <w:tblOverlap w:val="never"/>
        <w:tblW w:w="0" w:type="auto"/>
        <w:tblLook w:val="04A0" w:firstRow="1" w:lastRow="0" w:firstColumn="1" w:lastColumn="0" w:noHBand="0" w:noVBand="1"/>
      </w:tblPr>
      <w:tblGrid>
        <w:gridCol w:w="3915"/>
        <w:gridCol w:w="5724"/>
      </w:tblGrid>
      <w:tr w:rsidR="000C3545" w:rsidRPr="00B96DDA" w14:paraId="636DD5E4" w14:textId="77777777" w:rsidTr="00EF56E1">
        <w:trPr>
          <w:cantSplit/>
        </w:trPr>
        <w:tc>
          <w:tcPr>
            <w:tcW w:w="0" w:type="auto"/>
            <w:gridSpan w:val="2"/>
          </w:tcPr>
          <w:p w14:paraId="5CA5E5CD" w14:textId="2228E489" w:rsidR="000C3545" w:rsidRPr="00B96DDA" w:rsidRDefault="000C3545" w:rsidP="00EF56E1">
            <w:pPr>
              <w:keepNext/>
              <w:spacing w:after="120"/>
              <w:jc w:val="both"/>
              <w:rPr>
                <w:b/>
                <w:bCs/>
              </w:rPr>
            </w:pPr>
            <w:r w:rsidRPr="00B96DDA">
              <w:rPr>
                <w:b/>
                <w:bCs/>
              </w:rPr>
              <w:lastRenderedPageBreak/>
              <w:t>Asunto:</w:t>
            </w:r>
            <w:r w:rsidR="006F009F">
              <w:rPr>
                <w:rFonts w:eastAsia="SimSun"/>
                <w:b/>
                <w:bCs/>
                <w:lang w:eastAsia="zh-CN"/>
              </w:rPr>
              <w:t xml:space="preserve"> </w:t>
            </w:r>
            <w:r w:rsidRPr="00B96DDA">
              <w:rPr>
                <w:rFonts w:eastAsia="SimSun"/>
                <w:b/>
                <w:bCs/>
                <w:lang w:eastAsia="zh-CN"/>
              </w:rPr>
              <w:t>Propuesta de punto del orden del día de la CMR-31</w:t>
            </w:r>
          </w:p>
        </w:tc>
      </w:tr>
      <w:tr w:rsidR="000C3545" w:rsidRPr="00B96DDA" w14:paraId="0D1B8B93" w14:textId="77777777" w:rsidTr="00EF56E1">
        <w:trPr>
          <w:cantSplit/>
        </w:trPr>
        <w:tc>
          <w:tcPr>
            <w:tcW w:w="0" w:type="auto"/>
            <w:gridSpan w:val="2"/>
            <w:tcBorders>
              <w:top w:val="nil"/>
              <w:left w:val="nil"/>
              <w:bottom w:val="single" w:sz="4" w:space="0" w:color="auto"/>
              <w:right w:val="nil"/>
            </w:tcBorders>
          </w:tcPr>
          <w:p w14:paraId="07B385AA" w14:textId="51F0A63B" w:rsidR="000C3545" w:rsidRPr="00B96DDA" w:rsidRDefault="000C3545" w:rsidP="00EF56E1">
            <w:pPr>
              <w:keepNext/>
              <w:spacing w:after="120"/>
              <w:rPr>
                <w:rFonts w:eastAsia="SimSun"/>
                <w:b/>
                <w:i/>
                <w:color w:val="000000"/>
                <w:lang w:eastAsia="zh-CN"/>
              </w:rPr>
            </w:pPr>
            <w:r w:rsidRPr="00B96DDA">
              <w:rPr>
                <w:b/>
                <w:bCs/>
              </w:rPr>
              <w:t>Origen:</w:t>
            </w:r>
            <w:r w:rsidRPr="00B96DDA">
              <w:rPr>
                <w:rFonts w:eastAsia="SimSun"/>
                <w:b/>
                <w:bCs/>
                <w:lang w:eastAsia="zh-CN"/>
              </w:rPr>
              <w:t xml:space="preserve"> APT</w:t>
            </w:r>
          </w:p>
        </w:tc>
      </w:tr>
      <w:tr w:rsidR="000C3545" w:rsidRPr="00B96DDA" w14:paraId="38D956F1" w14:textId="77777777" w:rsidTr="00EF56E1">
        <w:trPr>
          <w:cantSplit/>
        </w:trPr>
        <w:tc>
          <w:tcPr>
            <w:tcW w:w="0" w:type="auto"/>
            <w:gridSpan w:val="2"/>
            <w:tcBorders>
              <w:top w:val="single" w:sz="4" w:space="0" w:color="auto"/>
              <w:left w:val="nil"/>
              <w:bottom w:val="single" w:sz="4" w:space="0" w:color="auto"/>
              <w:right w:val="nil"/>
            </w:tcBorders>
          </w:tcPr>
          <w:p w14:paraId="74C63E72" w14:textId="77777777" w:rsidR="000C3545" w:rsidRPr="00B96DDA" w:rsidRDefault="000C3545" w:rsidP="00EF56E1">
            <w:pPr>
              <w:keepNext/>
              <w:spacing w:after="120"/>
              <w:rPr>
                <w:b/>
                <w:i/>
                <w:color w:val="000000"/>
              </w:rPr>
            </w:pPr>
            <w:r w:rsidRPr="00B96DDA">
              <w:rPr>
                <w:b/>
                <w:i/>
                <w:color w:val="000000"/>
              </w:rPr>
              <w:t>Propuesta</w:t>
            </w:r>
            <w:r w:rsidRPr="00B96DDA">
              <w:rPr>
                <w:b/>
                <w:iCs/>
                <w:color w:val="000000"/>
              </w:rPr>
              <w:t>:</w:t>
            </w:r>
          </w:p>
          <w:p w14:paraId="74569685" w14:textId="2A7059AF" w:rsidR="000C3545" w:rsidRPr="00B96DDA" w:rsidRDefault="005A0377" w:rsidP="00016ECF">
            <w:pPr>
              <w:rPr>
                <w:b/>
                <w:i/>
              </w:rPr>
            </w:pPr>
            <w:r w:rsidRPr="00B96DDA">
              <w:t xml:space="preserve">La </w:t>
            </w:r>
            <w:r w:rsidR="000C3545" w:rsidRPr="00B96DDA">
              <w:t>utilización de las identificaciones existentes para las Telecomunicaciones Móviles Internacionales (IMT) en las gamas de frecuencias [3 400-3 600 MHz] y [3 600-3 700</w:t>
            </w:r>
            <w:r w:rsidR="00EB07D1">
              <w:t> </w:t>
            </w:r>
            <w:r w:rsidR="000C3545" w:rsidRPr="00B96DDA">
              <w:t>MHz]</w:t>
            </w:r>
            <w:r w:rsidR="00BD606D">
              <w:t>,</w:t>
            </w:r>
            <w:r w:rsidR="000C3545" w:rsidRPr="00B96DDA">
              <w:t xml:space="preserve"> con miras a la posible supresión de la limitación relativa al servicio móvil aeronáutico para el uso de equipos de usuario IMT por aplicaciones no relacionadas con la seguridad, </w:t>
            </w:r>
            <w:r w:rsidR="00BD606D">
              <w:t>si</w:t>
            </w:r>
            <w:r w:rsidR="000C3545" w:rsidRPr="00B96DDA">
              <w:t xml:space="preserve"> proceda, conforme a lo estipulado en la Resolución </w:t>
            </w:r>
            <w:r w:rsidR="004C5D7C">
              <w:rPr>
                <w:b/>
                <w:bCs/>
              </w:rPr>
              <w:t>25</w:t>
            </w:r>
            <w:r w:rsidRPr="00B96DDA">
              <w:rPr>
                <w:b/>
                <w:bCs/>
              </w:rPr>
              <w:t>1</w:t>
            </w:r>
            <w:r w:rsidR="000C3545" w:rsidRPr="00B96DDA">
              <w:rPr>
                <w:b/>
                <w:bCs/>
              </w:rPr>
              <w:t xml:space="preserve"> (CMR-23)</w:t>
            </w:r>
            <w:r w:rsidR="00BD606D" w:rsidRPr="00BD606D">
              <w:t>.</w:t>
            </w:r>
          </w:p>
        </w:tc>
      </w:tr>
      <w:tr w:rsidR="000C3545" w:rsidRPr="00B96DDA" w14:paraId="5DF97049" w14:textId="77777777" w:rsidTr="00EF56E1">
        <w:trPr>
          <w:cantSplit/>
        </w:trPr>
        <w:tc>
          <w:tcPr>
            <w:tcW w:w="0" w:type="auto"/>
            <w:gridSpan w:val="2"/>
            <w:tcBorders>
              <w:top w:val="single" w:sz="4" w:space="0" w:color="auto"/>
              <w:left w:val="nil"/>
              <w:bottom w:val="single" w:sz="4" w:space="0" w:color="auto"/>
              <w:right w:val="nil"/>
            </w:tcBorders>
          </w:tcPr>
          <w:p w14:paraId="04E92150" w14:textId="77777777" w:rsidR="000C3545" w:rsidRPr="00B96DDA" w:rsidRDefault="000C3545" w:rsidP="00EF56E1">
            <w:pPr>
              <w:keepNext/>
              <w:spacing w:after="120"/>
              <w:rPr>
                <w:b/>
                <w:i/>
                <w:color w:val="000000"/>
              </w:rPr>
            </w:pPr>
            <w:r w:rsidRPr="00B96DDA">
              <w:rPr>
                <w:b/>
                <w:i/>
                <w:color w:val="000000"/>
              </w:rPr>
              <w:t>Antecedentes/motivos</w:t>
            </w:r>
            <w:r w:rsidRPr="00B96DDA">
              <w:rPr>
                <w:b/>
                <w:iCs/>
                <w:color w:val="000000"/>
              </w:rPr>
              <w:t>:</w:t>
            </w:r>
          </w:p>
          <w:p w14:paraId="353F71B1" w14:textId="25BB4593" w:rsidR="000C3545" w:rsidRPr="00B96DDA" w:rsidRDefault="005A0377" w:rsidP="00016ECF">
            <w:r w:rsidRPr="00B96DDA">
              <w:t>Existe</w:t>
            </w:r>
            <w:r w:rsidR="000C3545" w:rsidRPr="00B96DDA">
              <w:t xml:space="preserve"> una demanda </w:t>
            </w:r>
            <w:r w:rsidRPr="00B96DDA">
              <w:t xml:space="preserve">cada vez mayor </w:t>
            </w:r>
            <w:r w:rsidR="000C3545" w:rsidRPr="00B96DDA">
              <w:t>de conectividad aire-tierra y tierra-aire asequible</w:t>
            </w:r>
            <w:r w:rsidRPr="00B96DDA">
              <w:t>, debido a</w:t>
            </w:r>
            <w:r w:rsidR="000C3545" w:rsidRPr="00B96DDA">
              <w:t xml:space="preserve"> l</w:t>
            </w:r>
            <w:r w:rsidRPr="00B96DDA">
              <w:t xml:space="preserve">as crecientes expectativas </w:t>
            </w:r>
            <w:r w:rsidR="000C3545" w:rsidRPr="00B96DDA">
              <w:t>que rodea</w:t>
            </w:r>
            <w:r w:rsidRPr="00B96DDA">
              <w:t>n</w:t>
            </w:r>
            <w:r w:rsidR="000C3545" w:rsidRPr="00B96DDA">
              <w:t xml:space="preserve"> a la conectividad en aeronaves. Varias campañas de pruebas han demostrado que las redes IMT pueden colmar esa demanda de conectividad. </w:t>
            </w:r>
            <w:r w:rsidRPr="00B96DDA">
              <w:t>Diversas</w:t>
            </w:r>
            <w:r w:rsidR="000C3545" w:rsidRPr="00B96DDA">
              <w:t xml:space="preserve"> organizaciones de normalización, como 3GPP y CCSA, </w:t>
            </w:r>
            <w:r w:rsidRPr="00B96DDA">
              <w:t>están preparando</w:t>
            </w:r>
            <w:r w:rsidR="000C3545" w:rsidRPr="00B96DDA">
              <w:t xml:space="preserve"> </w:t>
            </w:r>
            <w:r w:rsidR="00BD606D">
              <w:t xml:space="preserve">actualmente </w:t>
            </w:r>
            <w:r w:rsidR="000C3545" w:rsidRPr="00B96DDA">
              <w:t xml:space="preserve">las especificaciones de las funcionalidades necesarias </w:t>
            </w:r>
            <w:r w:rsidRPr="00B96DDA">
              <w:t>a tal efecto.</w:t>
            </w:r>
          </w:p>
        </w:tc>
      </w:tr>
      <w:tr w:rsidR="000C3545" w:rsidRPr="00B96DDA" w14:paraId="3881A5D2" w14:textId="77777777" w:rsidTr="00EF56E1">
        <w:trPr>
          <w:cantSplit/>
        </w:trPr>
        <w:tc>
          <w:tcPr>
            <w:tcW w:w="0" w:type="auto"/>
            <w:gridSpan w:val="2"/>
            <w:tcBorders>
              <w:top w:val="single" w:sz="4" w:space="0" w:color="auto"/>
              <w:left w:val="nil"/>
              <w:bottom w:val="single" w:sz="4" w:space="0" w:color="auto"/>
              <w:right w:val="nil"/>
            </w:tcBorders>
          </w:tcPr>
          <w:p w14:paraId="45558A51" w14:textId="77777777" w:rsidR="000C3545" w:rsidRPr="00B96DDA" w:rsidRDefault="000C3545" w:rsidP="00EF56E1">
            <w:pPr>
              <w:keepNext/>
              <w:spacing w:after="120"/>
              <w:rPr>
                <w:b/>
                <w:i/>
              </w:rPr>
            </w:pPr>
            <w:r w:rsidRPr="00B96DDA">
              <w:rPr>
                <w:b/>
                <w:i/>
              </w:rPr>
              <w:t>Servicios de radiocomunicaciones en cuestión</w:t>
            </w:r>
            <w:r w:rsidRPr="00B96DDA">
              <w:rPr>
                <w:b/>
                <w:iCs/>
              </w:rPr>
              <w:t>:</w:t>
            </w:r>
          </w:p>
          <w:p w14:paraId="7DA8318B" w14:textId="6C1A8992" w:rsidR="000C3545" w:rsidRPr="00B96DDA" w:rsidRDefault="004C5D7C" w:rsidP="00016ECF">
            <w:pPr>
              <w:rPr>
                <w:b/>
                <w:i/>
              </w:rPr>
            </w:pPr>
            <w:r>
              <w:t>S</w:t>
            </w:r>
            <w:r w:rsidR="000C3545" w:rsidRPr="00B96DDA">
              <w:t>ervicio móvil, servicio fijo por satélite (espacio-Tierra), servicio de radiodifusión</w:t>
            </w:r>
          </w:p>
        </w:tc>
      </w:tr>
      <w:tr w:rsidR="000C3545" w:rsidRPr="00B96DDA" w14:paraId="73844B07" w14:textId="77777777" w:rsidTr="00EF56E1">
        <w:trPr>
          <w:cantSplit/>
        </w:trPr>
        <w:tc>
          <w:tcPr>
            <w:tcW w:w="0" w:type="auto"/>
            <w:gridSpan w:val="2"/>
            <w:tcBorders>
              <w:top w:val="single" w:sz="4" w:space="0" w:color="auto"/>
              <w:left w:val="nil"/>
              <w:bottom w:val="single" w:sz="4" w:space="0" w:color="auto"/>
              <w:right w:val="nil"/>
            </w:tcBorders>
          </w:tcPr>
          <w:p w14:paraId="60C33ABC" w14:textId="77777777" w:rsidR="000C3545" w:rsidRPr="00B96DDA" w:rsidRDefault="000C3545" w:rsidP="00EF56E1">
            <w:pPr>
              <w:keepNext/>
              <w:spacing w:after="120"/>
              <w:rPr>
                <w:b/>
                <w:i/>
              </w:rPr>
            </w:pPr>
            <w:r w:rsidRPr="00B96DDA">
              <w:rPr>
                <w:b/>
                <w:i/>
              </w:rPr>
              <w:t>Indicación de posibles dificultades</w:t>
            </w:r>
            <w:r w:rsidRPr="00B96DDA">
              <w:rPr>
                <w:b/>
                <w:iCs/>
              </w:rPr>
              <w:t>:</w:t>
            </w:r>
          </w:p>
          <w:p w14:paraId="3CB12925" w14:textId="77777777" w:rsidR="000C3545" w:rsidRPr="00B96DDA" w:rsidRDefault="000C3545" w:rsidP="00016ECF">
            <w:pPr>
              <w:rPr>
                <w:b/>
                <w:i/>
              </w:rPr>
            </w:pPr>
            <w:r w:rsidRPr="00B96DDA">
              <w:t>Estudios de compartición con los servicios de radiocomunicaciones que utilizan las mismas bandas y las bandas adyacentes</w:t>
            </w:r>
          </w:p>
        </w:tc>
      </w:tr>
      <w:tr w:rsidR="000C3545" w:rsidRPr="00B96DDA" w14:paraId="2C1E1109" w14:textId="77777777" w:rsidTr="00EF56E1">
        <w:trPr>
          <w:cantSplit/>
        </w:trPr>
        <w:tc>
          <w:tcPr>
            <w:tcW w:w="0" w:type="auto"/>
            <w:gridSpan w:val="2"/>
            <w:tcBorders>
              <w:top w:val="single" w:sz="4" w:space="0" w:color="auto"/>
              <w:left w:val="nil"/>
              <w:bottom w:val="single" w:sz="4" w:space="0" w:color="auto"/>
              <w:right w:val="nil"/>
            </w:tcBorders>
          </w:tcPr>
          <w:p w14:paraId="353F3C89" w14:textId="77777777" w:rsidR="000C3545" w:rsidRPr="00B96DDA" w:rsidRDefault="000C3545" w:rsidP="00EF56E1">
            <w:pPr>
              <w:keepNext/>
              <w:spacing w:after="120"/>
              <w:rPr>
                <w:b/>
                <w:iCs/>
              </w:rPr>
            </w:pPr>
            <w:r w:rsidRPr="00B96DDA">
              <w:rPr>
                <w:b/>
                <w:i/>
              </w:rPr>
              <w:t>Estudios previos o en curso sobre el tema</w:t>
            </w:r>
            <w:r w:rsidRPr="00B96DDA">
              <w:rPr>
                <w:b/>
                <w:iCs/>
              </w:rPr>
              <w:t>:</w:t>
            </w:r>
          </w:p>
          <w:p w14:paraId="56022A50" w14:textId="09C887B8" w:rsidR="000C3545" w:rsidRPr="00B96DDA" w:rsidRDefault="000C3545" w:rsidP="00016ECF">
            <w:pPr>
              <w:rPr>
                <w:i/>
              </w:rPr>
            </w:pPr>
            <w:r w:rsidRPr="00B96DDA">
              <w:rPr>
                <w:rFonts w:eastAsia="SimSun"/>
                <w:lang w:eastAsia="zh-CN"/>
              </w:rPr>
              <w:t>Resolución </w:t>
            </w:r>
            <w:r w:rsidR="005A0377" w:rsidRPr="004C5D7C">
              <w:t>[</w:t>
            </w:r>
            <w:r w:rsidR="005A0377" w:rsidRPr="004C5D7C">
              <w:rPr>
                <w:b/>
                <w:bCs/>
              </w:rPr>
              <w:t>251 (Rev.CMR</w:t>
            </w:r>
            <w:r w:rsidR="005A0377" w:rsidRPr="004C5D7C">
              <w:rPr>
                <w:b/>
                <w:bCs/>
              </w:rPr>
              <w:noBreakHyphen/>
              <w:t xml:space="preserve">23)]/[IMT aéreas </w:t>
            </w:r>
            <w:r w:rsidR="00BD606D" w:rsidRPr="004C5D7C">
              <w:rPr>
                <w:b/>
                <w:bCs/>
              </w:rPr>
              <w:t>(</w:t>
            </w:r>
            <w:r w:rsidR="005A0377" w:rsidRPr="004C5D7C">
              <w:rPr>
                <w:b/>
                <w:bCs/>
              </w:rPr>
              <w:t>CMR-23)</w:t>
            </w:r>
            <w:r w:rsidR="005A0377" w:rsidRPr="004C5D7C">
              <w:t>]</w:t>
            </w:r>
          </w:p>
        </w:tc>
      </w:tr>
      <w:tr w:rsidR="000C3545" w:rsidRPr="00B96DDA" w14:paraId="319335AF" w14:textId="77777777" w:rsidTr="000C3545">
        <w:trPr>
          <w:cantSplit/>
        </w:trPr>
        <w:tc>
          <w:tcPr>
            <w:tcW w:w="3791" w:type="dxa"/>
            <w:tcBorders>
              <w:top w:val="single" w:sz="4" w:space="0" w:color="auto"/>
              <w:left w:val="nil"/>
              <w:bottom w:val="single" w:sz="4" w:space="0" w:color="auto"/>
              <w:right w:val="single" w:sz="4" w:space="0" w:color="auto"/>
            </w:tcBorders>
          </w:tcPr>
          <w:p w14:paraId="1880552C" w14:textId="62F5FFB7" w:rsidR="000C3545" w:rsidRPr="00B96DDA" w:rsidRDefault="008F156D" w:rsidP="00016ECF">
            <w:pPr>
              <w:keepNext/>
              <w:keepLines/>
              <w:spacing w:after="120"/>
              <w:rPr>
                <w:b/>
                <w:i/>
                <w:color w:val="000000"/>
              </w:rPr>
            </w:pPr>
            <w:r>
              <w:rPr>
                <w:b/>
                <w:i/>
                <w:color w:val="000000"/>
              </w:rPr>
              <w:t>Estudios que han de efectuarse</w:t>
            </w:r>
            <w:r>
              <w:rPr>
                <w:b/>
                <w:i/>
                <w:color w:val="000000"/>
              </w:rPr>
              <w:br/>
            </w:r>
            <w:r w:rsidR="000C3545" w:rsidRPr="00B96DDA">
              <w:rPr>
                <w:b/>
                <w:i/>
                <w:color w:val="000000"/>
              </w:rPr>
              <w:t>a cargo de</w:t>
            </w:r>
            <w:r w:rsidR="000C3545" w:rsidRPr="00B96DDA">
              <w:rPr>
                <w:b/>
                <w:iCs/>
                <w:color w:val="000000"/>
              </w:rPr>
              <w:t>:</w:t>
            </w:r>
          </w:p>
          <w:p w14:paraId="0E5036BB" w14:textId="4A716E23" w:rsidR="000C3545" w:rsidRPr="00B96DDA" w:rsidRDefault="000C3545" w:rsidP="00016ECF">
            <w:pPr>
              <w:keepNext/>
              <w:keepLines/>
              <w:spacing w:after="120"/>
              <w:rPr>
                <w:b/>
                <w:i/>
                <w:color w:val="000000"/>
              </w:rPr>
            </w:pPr>
            <w:r w:rsidRPr="00B96DDA">
              <w:rPr>
                <w:color w:val="000000"/>
                <w:lang w:eastAsia="zh-CN"/>
              </w:rPr>
              <w:t>Comisión de Estudio 5 del UIT-</w:t>
            </w:r>
            <w:r w:rsidR="005A0377" w:rsidRPr="00B96DDA">
              <w:rPr>
                <w:color w:val="000000"/>
                <w:lang w:eastAsia="zh-CN"/>
              </w:rPr>
              <w:t>R</w:t>
            </w:r>
            <w:r w:rsidRPr="00B96DDA">
              <w:rPr>
                <w:color w:val="000000"/>
                <w:lang w:eastAsia="zh-CN"/>
              </w:rPr>
              <w:t xml:space="preserve"> (Grupo de Trabajo 5D)</w:t>
            </w:r>
          </w:p>
        </w:tc>
        <w:tc>
          <w:tcPr>
            <w:tcW w:w="5848" w:type="dxa"/>
            <w:tcBorders>
              <w:top w:val="single" w:sz="4" w:space="0" w:color="auto"/>
              <w:left w:val="single" w:sz="4" w:space="0" w:color="auto"/>
              <w:bottom w:val="single" w:sz="4" w:space="0" w:color="auto"/>
              <w:right w:val="nil"/>
            </w:tcBorders>
          </w:tcPr>
          <w:p w14:paraId="36504AD3" w14:textId="77777777" w:rsidR="000C3545" w:rsidRPr="00B96DDA" w:rsidRDefault="000C3545" w:rsidP="00016ECF">
            <w:pPr>
              <w:keepNext/>
              <w:keepLines/>
              <w:spacing w:after="120"/>
              <w:rPr>
                <w:b/>
                <w:iCs/>
                <w:color w:val="000000"/>
              </w:rPr>
            </w:pPr>
            <w:r w:rsidRPr="00B96DDA">
              <w:rPr>
                <w:b/>
                <w:i/>
                <w:color w:val="000000"/>
              </w:rPr>
              <w:t>con participación de</w:t>
            </w:r>
            <w:r w:rsidRPr="00B96DDA">
              <w:rPr>
                <w:b/>
                <w:iCs/>
                <w:color w:val="000000"/>
              </w:rPr>
              <w:t>:</w:t>
            </w:r>
          </w:p>
          <w:p w14:paraId="41533E8B" w14:textId="40A12343" w:rsidR="000C3545" w:rsidRPr="00016ECF" w:rsidRDefault="005A0377" w:rsidP="00016ECF">
            <w:pPr>
              <w:keepNext/>
              <w:keepLines/>
              <w:rPr>
                <w:b/>
                <w:i/>
                <w:iCs/>
              </w:rPr>
            </w:pPr>
            <w:r w:rsidRPr="00016ECF">
              <w:rPr>
                <w:i/>
                <w:iCs/>
              </w:rPr>
              <w:t>Por determinar</w:t>
            </w:r>
          </w:p>
        </w:tc>
      </w:tr>
      <w:tr w:rsidR="000C3545" w:rsidRPr="00B96DDA" w14:paraId="35301501" w14:textId="77777777" w:rsidTr="00EF56E1">
        <w:trPr>
          <w:cantSplit/>
        </w:trPr>
        <w:tc>
          <w:tcPr>
            <w:tcW w:w="0" w:type="auto"/>
            <w:gridSpan w:val="2"/>
            <w:tcBorders>
              <w:top w:val="single" w:sz="4" w:space="0" w:color="auto"/>
              <w:left w:val="nil"/>
              <w:bottom w:val="single" w:sz="4" w:space="0" w:color="auto"/>
              <w:right w:val="nil"/>
            </w:tcBorders>
          </w:tcPr>
          <w:p w14:paraId="777F5695" w14:textId="77777777" w:rsidR="000C3545" w:rsidRPr="00B96DDA" w:rsidRDefault="000C3545" w:rsidP="00EF56E1">
            <w:pPr>
              <w:keepNext/>
              <w:spacing w:after="120"/>
              <w:rPr>
                <w:b/>
                <w:i/>
                <w:color w:val="000000"/>
              </w:rPr>
            </w:pPr>
            <w:r w:rsidRPr="00B96DDA">
              <w:rPr>
                <w:b/>
                <w:i/>
                <w:color w:val="000000"/>
              </w:rPr>
              <w:t>Comisiones de Estudio del UIT-R interesadas</w:t>
            </w:r>
            <w:r w:rsidRPr="00B96DDA">
              <w:rPr>
                <w:b/>
                <w:iCs/>
                <w:color w:val="000000"/>
              </w:rPr>
              <w:t>:</w:t>
            </w:r>
          </w:p>
          <w:p w14:paraId="6B29946D" w14:textId="77777777" w:rsidR="000C3545" w:rsidRPr="00B96DDA" w:rsidRDefault="000C3545" w:rsidP="00EF56E1">
            <w:pPr>
              <w:keepNext/>
              <w:spacing w:after="120"/>
              <w:rPr>
                <w:b/>
                <w:i/>
              </w:rPr>
            </w:pPr>
            <w:r w:rsidRPr="00B96DDA">
              <w:rPr>
                <w:lang w:eastAsia="zh-CN"/>
              </w:rPr>
              <w:t>CE 4, CE 5</w:t>
            </w:r>
          </w:p>
        </w:tc>
      </w:tr>
      <w:tr w:rsidR="000C3545" w:rsidRPr="00B96DDA" w14:paraId="6F6F4184" w14:textId="77777777" w:rsidTr="00EF56E1">
        <w:trPr>
          <w:cantSplit/>
        </w:trPr>
        <w:tc>
          <w:tcPr>
            <w:tcW w:w="0" w:type="auto"/>
            <w:gridSpan w:val="2"/>
            <w:tcBorders>
              <w:top w:val="single" w:sz="4" w:space="0" w:color="auto"/>
              <w:left w:val="nil"/>
              <w:bottom w:val="single" w:sz="4" w:space="0" w:color="auto"/>
              <w:right w:val="nil"/>
            </w:tcBorders>
          </w:tcPr>
          <w:p w14:paraId="10A2A780" w14:textId="77777777" w:rsidR="000C3545" w:rsidRPr="00B96DDA" w:rsidRDefault="000C3545" w:rsidP="00EF56E1">
            <w:pPr>
              <w:keepNext/>
              <w:spacing w:after="120"/>
              <w:rPr>
                <w:b/>
                <w:i/>
              </w:rPr>
            </w:pPr>
            <w:r w:rsidRPr="00B96DDA">
              <w:rPr>
                <w:b/>
                <w:i/>
              </w:rPr>
              <w:t>Consecuencias en los recursos de la UIT, incluidas las implicaciones financieras (véase el CV126)</w:t>
            </w:r>
            <w:r w:rsidRPr="00B96DDA">
              <w:rPr>
                <w:b/>
                <w:iCs/>
              </w:rPr>
              <w:t>:</w:t>
            </w:r>
          </w:p>
          <w:p w14:paraId="4B008EB3" w14:textId="77777777" w:rsidR="000C3545" w:rsidRPr="00016ECF" w:rsidRDefault="000C3545" w:rsidP="00016ECF">
            <w:pPr>
              <w:rPr>
                <w:b/>
                <w:i/>
                <w:iCs/>
              </w:rPr>
            </w:pPr>
            <w:r w:rsidRPr="00016ECF">
              <w:rPr>
                <w:i/>
                <w:iCs/>
              </w:rPr>
              <w:t xml:space="preserve">No se han identificado implicaciones financieras directas hasta la fecha. </w:t>
            </w:r>
          </w:p>
        </w:tc>
      </w:tr>
      <w:tr w:rsidR="000C3545" w:rsidRPr="00B96DDA" w14:paraId="01821374" w14:textId="77777777" w:rsidTr="000C3545">
        <w:trPr>
          <w:cantSplit/>
        </w:trPr>
        <w:tc>
          <w:tcPr>
            <w:tcW w:w="3791" w:type="dxa"/>
            <w:tcBorders>
              <w:top w:val="single" w:sz="4" w:space="0" w:color="auto"/>
              <w:left w:val="nil"/>
              <w:bottom w:val="single" w:sz="4" w:space="0" w:color="auto"/>
              <w:right w:val="nil"/>
            </w:tcBorders>
          </w:tcPr>
          <w:p w14:paraId="1A3152A7" w14:textId="4AD2B541" w:rsidR="000C3545" w:rsidRPr="00B96DDA" w:rsidRDefault="000C3545" w:rsidP="00EF56E1">
            <w:pPr>
              <w:keepNext/>
              <w:spacing w:after="120"/>
              <w:rPr>
                <w:b/>
                <w:iCs/>
              </w:rPr>
            </w:pPr>
            <w:r w:rsidRPr="00B96DDA">
              <w:rPr>
                <w:b/>
                <w:i/>
              </w:rPr>
              <w:t>Propuesta regional común</w:t>
            </w:r>
            <w:r w:rsidRPr="00B96DDA">
              <w:rPr>
                <w:b/>
                <w:iCs/>
              </w:rPr>
              <w:t>:</w:t>
            </w:r>
            <w:r w:rsidR="008F156D">
              <w:rPr>
                <w:b/>
                <w:iCs/>
              </w:rPr>
              <w:br/>
            </w:r>
            <w:r w:rsidRPr="00B96DDA">
              <w:rPr>
                <w:bCs/>
                <w:iCs/>
              </w:rPr>
              <w:t>Por determinar</w:t>
            </w:r>
          </w:p>
        </w:tc>
        <w:tc>
          <w:tcPr>
            <w:tcW w:w="5848" w:type="dxa"/>
            <w:tcBorders>
              <w:top w:val="single" w:sz="4" w:space="0" w:color="auto"/>
              <w:left w:val="nil"/>
              <w:bottom w:val="single" w:sz="4" w:space="0" w:color="auto"/>
              <w:right w:val="nil"/>
            </w:tcBorders>
          </w:tcPr>
          <w:p w14:paraId="713C8125" w14:textId="37627E56" w:rsidR="000C3545" w:rsidRPr="00B96DDA" w:rsidRDefault="000C3545" w:rsidP="00EF56E1">
            <w:pPr>
              <w:keepNext/>
              <w:spacing w:after="120"/>
              <w:rPr>
                <w:b/>
                <w:iCs/>
              </w:rPr>
            </w:pPr>
            <w:r w:rsidRPr="00B96DDA">
              <w:rPr>
                <w:b/>
                <w:i/>
              </w:rPr>
              <w:t>Propuesta presentada por más de un país</w:t>
            </w:r>
            <w:r w:rsidRPr="00B96DDA">
              <w:rPr>
                <w:b/>
                <w:iCs/>
              </w:rPr>
              <w:t>:</w:t>
            </w:r>
            <w:r w:rsidR="008F156D">
              <w:rPr>
                <w:b/>
                <w:iCs/>
              </w:rPr>
              <w:br/>
            </w:r>
            <w:r w:rsidRPr="00B96DDA">
              <w:rPr>
                <w:bCs/>
                <w:iCs/>
              </w:rPr>
              <w:t>Por determinar</w:t>
            </w:r>
          </w:p>
          <w:p w14:paraId="39335649" w14:textId="77777777" w:rsidR="000C3545" w:rsidRPr="00B96DDA" w:rsidRDefault="000C3545" w:rsidP="00EF56E1">
            <w:pPr>
              <w:keepNext/>
              <w:spacing w:after="120"/>
              <w:rPr>
                <w:b/>
                <w:i/>
              </w:rPr>
            </w:pPr>
            <w:r w:rsidRPr="00B96DDA">
              <w:rPr>
                <w:b/>
                <w:i/>
              </w:rPr>
              <w:t>Número de países</w:t>
            </w:r>
            <w:r w:rsidRPr="00B96DDA">
              <w:rPr>
                <w:b/>
                <w:iCs/>
              </w:rPr>
              <w:t xml:space="preserve">: </w:t>
            </w:r>
            <w:r w:rsidRPr="00B96DDA">
              <w:rPr>
                <w:bCs/>
                <w:iCs/>
              </w:rPr>
              <w:t>Por determinar</w:t>
            </w:r>
          </w:p>
        </w:tc>
      </w:tr>
      <w:tr w:rsidR="000C3545" w:rsidRPr="00B96DDA" w14:paraId="1031AF06" w14:textId="77777777" w:rsidTr="00EF56E1">
        <w:trPr>
          <w:cantSplit/>
        </w:trPr>
        <w:tc>
          <w:tcPr>
            <w:tcW w:w="0" w:type="auto"/>
            <w:gridSpan w:val="2"/>
            <w:tcBorders>
              <w:top w:val="single" w:sz="4" w:space="0" w:color="auto"/>
              <w:left w:val="nil"/>
              <w:bottom w:val="nil"/>
              <w:right w:val="nil"/>
            </w:tcBorders>
          </w:tcPr>
          <w:p w14:paraId="7630EFF3" w14:textId="77777777" w:rsidR="000C3545" w:rsidRPr="00B96DDA" w:rsidRDefault="000C3545" w:rsidP="00EF56E1">
            <w:pPr>
              <w:spacing w:after="120"/>
              <w:rPr>
                <w:b/>
                <w:i/>
              </w:rPr>
            </w:pPr>
            <w:r w:rsidRPr="00B96DDA">
              <w:rPr>
                <w:b/>
                <w:i/>
              </w:rPr>
              <w:t>Observaciones</w:t>
            </w:r>
          </w:p>
          <w:p w14:paraId="4E7240ED" w14:textId="77777777" w:rsidR="000C3545" w:rsidRPr="00B96DDA" w:rsidRDefault="000C3545" w:rsidP="00EF56E1">
            <w:pPr>
              <w:spacing w:after="120"/>
              <w:rPr>
                <w:b/>
                <w:i/>
              </w:rPr>
            </w:pPr>
          </w:p>
        </w:tc>
      </w:tr>
    </w:tbl>
    <w:p w14:paraId="5D14345F" w14:textId="77777777" w:rsidR="000C3545" w:rsidRPr="00B96DDA" w:rsidRDefault="000C3545" w:rsidP="008F156D"/>
    <w:p w14:paraId="1572586E" w14:textId="5068DB3A" w:rsidR="000C3545" w:rsidRPr="00B96DDA" w:rsidRDefault="000C3545" w:rsidP="000C3545">
      <w:pPr>
        <w:jc w:val="center"/>
      </w:pPr>
      <w:r w:rsidRPr="00B96DDA">
        <w:t>______________</w:t>
      </w:r>
    </w:p>
    <w:sectPr w:rsidR="000C3545" w:rsidRPr="00B96DDA">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82D6" w14:textId="77777777" w:rsidR="00666B37" w:rsidRDefault="00666B37">
      <w:r>
        <w:separator/>
      </w:r>
    </w:p>
  </w:endnote>
  <w:endnote w:type="continuationSeparator" w:id="0">
    <w:p w14:paraId="73A1175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CAD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0BC026" w14:textId="107FF67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700A4">
      <w:rPr>
        <w:noProof/>
      </w:rPr>
      <w:t>23.10.23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EAB0" w14:textId="2DA1B857" w:rsidR="0077084A" w:rsidRDefault="00DE73B4" w:rsidP="00B86034">
    <w:pPr>
      <w:pStyle w:val="Footer"/>
      <w:ind w:right="360"/>
      <w:rPr>
        <w:lang w:val="en-US"/>
      </w:rPr>
    </w:pPr>
    <w:r>
      <w:fldChar w:fldCharType="begin"/>
    </w:r>
    <w:r>
      <w:rPr>
        <w:lang w:val="en-US"/>
      </w:rPr>
      <w:instrText xml:space="preserve"> FILENAME \p  \* MERGEFORMAT </w:instrText>
    </w:r>
    <w:r>
      <w:fldChar w:fldCharType="separate"/>
    </w:r>
    <w:r w:rsidR="009A0F9F">
      <w:rPr>
        <w:lang w:val="en-US"/>
      </w:rPr>
      <w:t>P:\ESP\ITU-R\CONF-R\CMR23\000\062ADD27ADD07S.docx</w:t>
    </w:r>
    <w:r>
      <w:fldChar w:fldCharType="end"/>
    </w:r>
    <w:r w:rsidRPr="00DE73B4">
      <w:rPr>
        <w:lang w:val="en-US"/>
      </w:rPr>
      <w:t xml:space="preserve"> </w:t>
    </w:r>
    <w:r>
      <w:rPr>
        <w:lang w:val="en-US"/>
      </w:rPr>
      <w:t>(528998)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148952259"/>
  <w:p w14:paraId="514F57F6" w14:textId="4B68A3F5" w:rsidR="0077084A" w:rsidRPr="00DE73B4" w:rsidRDefault="0077084A" w:rsidP="00B47331">
    <w:pPr>
      <w:pStyle w:val="Footer"/>
      <w:rPr>
        <w:lang w:val="en-US"/>
      </w:rPr>
    </w:pPr>
    <w:r>
      <w:fldChar w:fldCharType="begin"/>
    </w:r>
    <w:r>
      <w:rPr>
        <w:lang w:val="en-US"/>
      </w:rPr>
      <w:instrText xml:space="preserve"> FILENAME \p  \* MERGEFORMAT </w:instrText>
    </w:r>
    <w:r>
      <w:fldChar w:fldCharType="separate"/>
    </w:r>
    <w:r w:rsidR="009A0F9F">
      <w:rPr>
        <w:lang w:val="en-US"/>
      </w:rPr>
      <w:t>P:\ESP\ITU-R\CONF-R\CMR23\000\062ADD27ADD07S.docx</w:t>
    </w:r>
    <w:r>
      <w:fldChar w:fldCharType="end"/>
    </w:r>
    <w:bookmarkEnd w:id="10"/>
    <w:r w:rsidR="00DE73B4" w:rsidRPr="00DE73B4">
      <w:rPr>
        <w:lang w:val="en-US"/>
      </w:rPr>
      <w:t xml:space="preserve"> </w:t>
    </w:r>
    <w:r w:rsidR="00DE73B4">
      <w:rPr>
        <w:lang w:val="en-US"/>
      </w:rPr>
      <w:t>(528998)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3B81" w14:textId="77777777" w:rsidR="00666B37" w:rsidRDefault="00666B37">
      <w:r>
        <w:rPr>
          <w:b/>
        </w:rPr>
        <w:t>_______________</w:t>
      </w:r>
    </w:p>
  </w:footnote>
  <w:footnote w:type="continuationSeparator" w:id="0">
    <w:p w14:paraId="51507A0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8A37" w14:textId="6F2898F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917B7">
      <w:rPr>
        <w:rStyle w:val="PageNumber"/>
        <w:noProof/>
      </w:rPr>
      <w:t>2</w:t>
    </w:r>
    <w:r>
      <w:rPr>
        <w:rStyle w:val="PageNumber"/>
      </w:rPr>
      <w:fldChar w:fldCharType="end"/>
    </w:r>
  </w:p>
  <w:p w14:paraId="00E8136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62(Add.27)(Add.7)-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ECF"/>
    <w:rsid w:val="0002785D"/>
    <w:rsid w:val="00087AE8"/>
    <w:rsid w:val="00091054"/>
    <w:rsid w:val="000A2A7D"/>
    <w:rsid w:val="000A5B9A"/>
    <w:rsid w:val="000C3545"/>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42EE"/>
    <w:rsid w:val="0023659C"/>
    <w:rsid w:val="00236D2A"/>
    <w:rsid w:val="0024569E"/>
    <w:rsid w:val="00255F12"/>
    <w:rsid w:val="00262C09"/>
    <w:rsid w:val="00271176"/>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C5D7C"/>
    <w:rsid w:val="004D2749"/>
    <w:rsid w:val="004D2C7C"/>
    <w:rsid w:val="005133B5"/>
    <w:rsid w:val="00524392"/>
    <w:rsid w:val="00532097"/>
    <w:rsid w:val="0058350F"/>
    <w:rsid w:val="00583C7E"/>
    <w:rsid w:val="0059098E"/>
    <w:rsid w:val="005A0377"/>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E7612"/>
    <w:rsid w:val="006F009F"/>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8F156D"/>
    <w:rsid w:val="0090121B"/>
    <w:rsid w:val="009144C9"/>
    <w:rsid w:val="0094091F"/>
    <w:rsid w:val="00962171"/>
    <w:rsid w:val="00973754"/>
    <w:rsid w:val="009A0F9F"/>
    <w:rsid w:val="009C0BED"/>
    <w:rsid w:val="009E11EC"/>
    <w:rsid w:val="009F5EC5"/>
    <w:rsid w:val="00A021CC"/>
    <w:rsid w:val="00A118DB"/>
    <w:rsid w:val="00A4450C"/>
    <w:rsid w:val="00AA5E6C"/>
    <w:rsid w:val="00AC49B1"/>
    <w:rsid w:val="00AE5677"/>
    <w:rsid w:val="00AE658F"/>
    <w:rsid w:val="00AF2F78"/>
    <w:rsid w:val="00AF7D29"/>
    <w:rsid w:val="00B111B3"/>
    <w:rsid w:val="00B239FA"/>
    <w:rsid w:val="00B372AB"/>
    <w:rsid w:val="00B47331"/>
    <w:rsid w:val="00B520E8"/>
    <w:rsid w:val="00B52D55"/>
    <w:rsid w:val="00B8288C"/>
    <w:rsid w:val="00B86034"/>
    <w:rsid w:val="00B96DDA"/>
    <w:rsid w:val="00BD606D"/>
    <w:rsid w:val="00BE2E80"/>
    <w:rsid w:val="00BE5EDD"/>
    <w:rsid w:val="00BE6A1F"/>
    <w:rsid w:val="00C126C4"/>
    <w:rsid w:val="00C44E9E"/>
    <w:rsid w:val="00C63EB5"/>
    <w:rsid w:val="00C87DA7"/>
    <w:rsid w:val="00C917B7"/>
    <w:rsid w:val="00CA4945"/>
    <w:rsid w:val="00CC01E0"/>
    <w:rsid w:val="00CD5FEE"/>
    <w:rsid w:val="00CE60D2"/>
    <w:rsid w:val="00CE7431"/>
    <w:rsid w:val="00D00CA8"/>
    <w:rsid w:val="00D0288A"/>
    <w:rsid w:val="00D700A4"/>
    <w:rsid w:val="00D72A5D"/>
    <w:rsid w:val="00DA71A3"/>
    <w:rsid w:val="00DC1922"/>
    <w:rsid w:val="00DC629B"/>
    <w:rsid w:val="00DE1C31"/>
    <w:rsid w:val="00DE73B4"/>
    <w:rsid w:val="00E05BFF"/>
    <w:rsid w:val="00E262F1"/>
    <w:rsid w:val="00E3176A"/>
    <w:rsid w:val="00E36CE4"/>
    <w:rsid w:val="00E54754"/>
    <w:rsid w:val="00E56BD3"/>
    <w:rsid w:val="00E71D14"/>
    <w:rsid w:val="00EA77F0"/>
    <w:rsid w:val="00EB07D1"/>
    <w:rsid w:val="00F32316"/>
    <w:rsid w:val="00F421AC"/>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AF867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6E7612"/>
    <w:rPr>
      <w:rFonts w:ascii="Times New Roman" w:hAnsi="Times New Roman"/>
      <w:sz w:val="24"/>
      <w:lang w:val="es-ES_tradnl" w:eastAsia="en-US"/>
    </w:rPr>
  </w:style>
  <w:style w:type="character" w:customStyle="1" w:styleId="RestitleChar">
    <w:name w:val="Res_title Char"/>
    <w:link w:val="Restitle"/>
    <w:qFormat/>
    <w:rsid w:val="006E7612"/>
    <w:rPr>
      <w:rFonts w:ascii="Times New Roman Bold" w:hAnsi="Times New Roman Bold"/>
      <w:b/>
      <w:sz w:val="28"/>
      <w:lang w:val="es-ES_tradnl" w:eastAsia="en-US"/>
    </w:rPr>
  </w:style>
  <w:style w:type="character" w:customStyle="1" w:styleId="CallChar">
    <w:name w:val="Call Char"/>
    <w:basedOn w:val="DefaultParagraphFont"/>
    <w:link w:val="Call"/>
    <w:qFormat/>
    <w:locked/>
    <w:rsid w:val="00F421AC"/>
    <w:rPr>
      <w:rFonts w:ascii="Times New Roman" w:hAnsi="Times New Roman"/>
      <w:i/>
      <w:sz w:val="24"/>
      <w:lang w:val="es-ES_tradnl" w:eastAsia="en-US"/>
    </w:rPr>
  </w:style>
  <w:style w:type="paragraph" w:styleId="Revision">
    <w:name w:val="Revision"/>
    <w:hidden/>
    <w:uiPriority w:val="99"/>
    <w:semiHidden/>
    <w:rsid w:val="00F421A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DA3E-0D9D-40CF-A05D-817769D5388E}">
  <ds:schemaRefs>
    <ds:schemaRef ds:uri="http://schemas.microsoft.com/sharepoint/v3/contenttype/forms"/>
  </ds:schemaRefs>
</ds:datastoreItem>
</file>

<file path=customXml/itemProps2.xml><?xml version="1.0" encoding="utf-8"?>
<ds:datastoreItem xmlns:ds="http://schemas.openxmlformats.org/officeDocument/2006/customXml" ds:itemID="{39A35C88-322F-4C47-9397-706994E3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6DC7A-643D-48B8-96CC-B2753BF650E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1C6179F-6467-4F0F-94A9-164EC25E01C1}">
  <ds:schemaRefs>
    <ds:schemaRef ds:uri="http://schemas.microsoft.com/sharepoint/events"/>
  </ds:schemaRefs>
</ds:datastoreItem>
</file>

<file path=customXml/itemProps5.xml><?xml version="1.0" encoding="utf-8"?>
<ds:datastoreItem xmlns:ds="http://schemas.openxmlformats.org/officeDocument/2006/customXml" ds:itemID="{ACFF09DD-3098-4759-81EE-725E6F21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1204</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R23-WRC23-C-0062!A27-A7!MSW-S</vt:lpstr>
    </vt:vector>
  </TitlesOfParts>
  <Manager>Secretaría General - Pool</Manager>
  <Company>Unión Internacional de Telecomunicaciones (UIT)</Company>
  <LinksUpToDate>false</LinksUpToDate>
  <CharactersWithSpaces>7835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R23-WRC23-C-0062!A27-A7!MSW-S</dc:title>
  <dc:subject>Conferencia Mundial de Radiocomunicaciones - 2019</dc:subject>
  <dc:creator>Documents Proposals Manager (DPM)</dc:creator>
  <cp:keywords>DPM_v2023.8.1.1_prod</cp:keywords>
  <dc:description/>
  <cp:lastModifiedBy>Spanish</cp:lastModifiedBy>
  <cp:revision>11</cp:revision>
  <cp:lastPrinted>2003-02-19T20:20:00Z</cp:lastPrinted>
  <dcterms:created xsi:type="dcterms:W3CDTF">2023-10-23T10:24:00Z</dcterms:created>
  <dcterms:modified xsi:type="dcterms:W3CDTF">2023-10-27T13:34:00Z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