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F1D2A" w14:paraId="725F9A64" w14:textId="77777777" w:rsidTr="00C1305F">
        <w:trPr>
          <w:cantSplit/>
        </w:trPr>
        <w:tc>
          <w:tcPr>
            <w:tcW w:w="1418" w:type="dxa"/>
            <w:vAlign w:val="center"/>
          </w:tcPr>
          <w:p w14:paraId="41FAA545" w14:textId="161E2593" w:rsidR="00C1305F" w:rsidRPr="00CF1D2A" w:rsidRDefault="00C1305F" w:rsidP="004A19EA">
            <w:pPr>
              <w:spacing w:before="0"/>
              <w:rPr>
                <w:rFonts w:ascii="Verdana" w:hAnsi="Verdana"/>
                <w:b/>
                <w:bCs/>
                <w:sz w:val="20"/>
              </w:rPr>
            </w:pPr>
            <w:r w:rsidRPr="00CF1D2A">
              <w:rPr>
                <w:noProof/>
                <w:lang w:eastAsia="fr-CH"/>
              </w:rPr>
              <w:drawing>
                <wp:inline distT="0" distB="0" distL="0" distR="0" wp14:anchorId="46B6E058" wp14:editId="70C9717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7A32C9F" w14:textId="430346AF" w:rsidR="00C1305F" w:rsidRPr="00CF1D2A" w:rsidRDefault="00C1305F" w:rsidP="004A19EA">
            <w:pPr>
              <w:spacing w:before="400" w:after="48"/>
              <w:rPr>
                <w:rFonts w:ascii="Verdana" w:hAnsi="Verdana"/>
                <w:b/>
                <w:bCs/>
                <w:sz w:val="20"/>
              </w:rPr>
            </w:pPr>
            <w:r w:rsidRPr="00CF1D2A">
              <w:rPr>
                <w:rFonts w:ascii="Verdana" w:hAnsi="Verdana"/>
                <w:b/>
                <w:bCs/>
                <w:sz w:val="20"/>
              </w:rPr>
              <w:t>Conférence mondiale des radiocommunications (CMR-23)</w:t>
            </w:r>
            <w:r w:rsidRPr="00CF1D2A">
              <w:rPr>
                <w:rFonts w:ascii="Verdana" w:hAnsi="Verdana"/>
                <w:b/>
                <w:bCs/>
                <w:sz w:val="20"/>
              </w:rPr>
              <w:br/>
            </w:r>
            <w:r w:rsidRPr="00CF1D2A">
              <w:rPr>
                <w:rFonts w:ascii="Verdana" w:hAnsi="Verdana"/>
                <w:b/>
                <w:bCs/>
                <w:sz w:val="18"/>
                <w:szCs w:val="18"/>
              </w:rPr>
              <w:t xml:space="preserve">Dubaï, 20 novembre </w:t>
            </w:r>
            <w:r w:rsidR="00FB76BA" w:rsidRPr="00CF1D2A">
              <w:rPr>
                <w:rFonts w:ascii="Verdana" w:hAnsi="Verdana"/>
                <w:b/>
                <w:bCs/>
                <w:sz w:val="18"/>
                <w:szCs w:val="18"/>
              </w:rPr>
              <w:t>–</w:t>
            </w:r>
            <w:r w:rsidRPr="00CF1D2A">
              <w:rPr>
                <w:rFonts w:ascii="Verdana" w:hAnsi="Verdana"/>
                <w:b/>
                <w:bCs/>
                <w:sz w:val="18"/>
                <w:szCs w:val="18"/>
              </w:rPr>
              <w:t xml:space="preserve"> 15 décembre 2023</w:t>
            </w:r>
          </w:p>
        </w:tc>
        <w:tc>
          <w:tcPr>
            <w:tcW w:w="1809" w:type="dxa"/>
            <w:vAlign w:val="center"/>
          </w:tcPr>
          <w:p w14:paraId="59F3A075" w14:textId="77777777" w:rsidR="00C1305F" w:rsidRPr="00CF1D2A" w:rsidRDefault="00C1305F" w:rsidP="004A19EA">
            <w:pPr>
              <w:spacing w:before="0"/>
            </w:pPr>
            <w:bookmarkStart w:id="0" w:name="ditulogo"/>
            <w:bookmarkEnd w:id="0"/>
            <w:r w:rsidRPr="00CF1D2A">
              <w:rPr>
                <w:noProof/>
                <w:lang w:eastAsia="fr-CH"/>
              </w:rPr>
              <w:drawing>
                <wp:inline distT="0" distB="0" distL="0" distR="0" wp14:anchorId="7B122EAD" wp14:editId="0395A44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F1D2A" w14:paraId="611AF847" w14:textId="77777777" w:rsidTr="0050008E">
        <w:trPr>
          <w:cantSplit/>
        </w:trPr>
        <w:tc>
          <w:tcPr>
            <w:tcW w:w="6911" w:type="dxa"/>
            <w:gridSpan w:val="2"/>
            <w:tcBorders>
              <w:bottom w:val="single" w:sz="12" w:space="0" w:color="auto"/>
            </w:tcBorders>
          </w:tcPr>
          <w:p w14:paraId="58B2F220" w14:textId="77777777" w:rsidR="00BB1D82" w:rsidRPr="00CF1D2A" w:rsidRDefault="00BB1D82" w:rsidP="004A19EA">
            <w:pPr>
              <w:spacing w:before="0" w:after="48"/>
              <w:rPr>
                <w:b/>
                <w:smallCaps/>
                <w:szCs w:val="24"/>
              </w:rPr>
            </w:pPr>
            <w:bookmarkStart w:id="1" w:name="dhead"/>
          </w:p>
        </w:tc>
        <w:tc>
          <w:tcPr>
            <w:tcW w:w="3120" w:type="dxa"/>
            <w:gridSpan w:val="2"/>
            <w:tcBorders>
              <w:bottom w:val="single" w:sz="12" w:space="0" w:color="auto"/>
            </w:tcBorders>
          </w:tcPr>
          <w:p w14:paraId="63FFA2F2" w14:textId="77777777" w:rsidR="00BB1D82" w:rsidRPr="00CF1D2A" w:rsidRDefault="00BB1D82" w:rsidP="004A19EA">
            <w:pPr>
              <w:spacing w:before="0"/>
              <w:rPr>
                <w:rFonts w:ascii="Verdana" w:hAnsi="Verdana"/>
                <w:szCs w:val="24"/>
              </w:rPr>
            </w:pPr>
          </w:p>
        </w:tc>
      </w:tr>
      <w:tr w:rsidR="00BB1D82" w:rsidRPr="00CF1D2A" w14:paraId="246C0BCB" w14:textId="77777777" w:rsidTr="00BB1D82">
        <w:trPr>
          <w:cantSplit/>
        </w:trPr>
        <w:tc>
          <w:tcPr>
            <w:tcW w:w="6911" w:type="dxa"/>
            <w:gridSpan w:val="2"/>
            <w:tcBorders>
              <w:top w:val="single" w:sz="12" w:space="0" w:color="auto"/>
            </w:tcBorders>
          </w:tcPr>
          <w:p w14:paraId="62B397E1" w14:textId="77777777" w:rsidR="00BB1D82" w:rsidRPr="00CF1D2A" w:rsidRDefault="00BB1D82" w:rsidP="004A19EA">
            <w:pPr>
              <w:spacing w:before="0" w:after="48"/>
              <w:rPr>
                <w:rFonts w:ascii="Verdana" w:hAnsi="Verdana"/>
                <w:b/>
                <w:smallCaps/>
                <w:sz w:val="20"/>
              </w:rPr>
            </w:pPr>
          </w:p>
        </w:tc>
        <w:tc>
          <w:tcPr>
            <w:tcW w:w="3120" w:type="dxa"/>
            <w:gridSpan w:val="2"/>
            <w:tcBorders>
              <w:top w:val="single" w:sz="12" w:space="0" w:color="auto"/>
            </w:tcBorders>
          </w:tcPr>
          <w:p w14:paraId="1ED675A5" w14:textId="77777777" w:rsidR="00BB1D82" w:rsidRPr="00CF1D2A" w:rsidRDefault="00BB1D82" w:rsidP="004A19EA">
            <w:pPr>
              <w:spacing w:before="0"/>
              <w:rPr>
                <w:rFonts w:ascii="Verdana" w:hAnsi="Verdana"/>
                <w:sz w:val="20"/>
              </w:rPr>
            </w:pPr>
          </w:p>
        </w:tc>
      </w:tr>
      <w:tr w:rsidR="00BB1D82" w:rsidRPr="00CF1D2A" w14:paraId="71984B2C" w14:textId="77777777" w:rsidTr="00BB1D82">
        <w:trPr>
          <w:cantSplit/>
        </w:trPr>
        <w:tc>
          <w:tcPr>
            <w:tcW w:w="6911" w:type="dxa"/>
            <w:gridSpan w:val="2"/>
          </w:tcPr>
          <w:p w14:paraId="600D1DD8" w14:textId="77777777" w:rsidR="00BB1D82" w:rsidRPr="00CF1D2A" w:rsidRDefault="006D4724" w:rsidP="004A19EA">
            <w:pPr>
              <w:spacing w:before="0"/>
              <w:rPr>
                <w:rFonts w:ascii="Verdana" w:hAnsi="Verdana"/>
                <w:b/>
                <w:sz w:val="20"/>
              </w:rPr>
            </w:pPr>
            <w:r w:rsidRPr="00CF1D2A">
              <w:rPr>
                <w:rFonts w:ascii="Verdana" w:hAnsi="Verdana"/>
                <w:b/>
                <w:sz w:val="20"/>
              </w:rPr>
              <w:t>SÉANCE PLÉNIÈRE</w:t>
            </w:r>
          </w:p>
        </w:tc>
        <w:tc>
          <w:tcPr>
            <w:tcW w:w="3120" w:type="dxa"/>
            <w:gridSpan w:val="2"/>
          </w:tcPr>
          <w:p w14:paraId="723EE306" w14:textId="77777777" w:rsidR="00BB1D82" w:rsidRPr="00CF1D2A" w:rsidRDefault="006D4724" w:rsidP="004A19EA">
            <w:pPr>
              <w:spacing w:before="0"/>
              <w:rPr>
                <w:rFonts w:ascii="Verdana" w:hAnsi="Verdana"/>
                <w:sz w:val="20"/>
              </w:rPr>
            </w:pPr>
            <w:r w:rsidRPr="00CF1D2A">
              <w:rPr>
                <w:rFonts w:ascii="Verdana" w:hAnsi="Verdana"/>
                <w:b/>
                <w:sz w:val="20"/>
              </w:rPr>
              <w:t>Addendum 7 au</w:t>
            </w:r>
            <w:r w:rsidRPr="00CF1D2A">
              <w:rPr>
                <w:rFonts w:ascii="Verdana" w:hAnsi="Verdana"/>
                <w:b/>
                <w:sz w:val="20"/>
              </w:rPr>
              <w:br/>
              <w:t>Document 62(Add.27)</w:t>
            </w:r>
            <w:r w:rsidR="00BB1D82" w:rsidRPr="00CF1D2A">
              <w:rPr>
                <w:rFonts w:ascii="Verdana" w:hAnsi="Verdana"/>
                <w:b/>
                <w:sz w:val="20"/>
              </w:rPr>
              <w:t>-</w:t>
            </w:r>
            <w:r w:rsidRPr="00CF1D2A">
              <w:rPr>
                <w:rFonts w:ascii="Verdana" w:hAnsi="Verdana"/>
                <w:b/>
                <w:sz w:val="20"/>
              </w:rPr>
              <w:t>F</w:t>
            </w:r>
          </w:p>
        </w:tc>
      </w:tr>
      <w:bookmarkEnd w:id="1"/>
      <w:tr w:rsidR="00690C7B" w:rsidRPr="00CF1D2A" w14:paraId="05745D31" w14:textId="77777777" w:rsidTr="00BB1D82">
        <w:trPr>
          <w:cantSplit/>
        </w:trPr>
        <w:tc>
          <w:tcPr>
            <w:tcW w:w="6911" w:type="dxa"/>
            <w:gridSpan w:val="2"/>
          </w:tcPr>
          <w:p w14:paraId="7A88C9B2" w14:textId="77777777" w:rsidR="00690C7B" w:rsidRPr="00CF1D2A" w:rsidRDefault="00690C7B" w:rsidP="004A19EA">
            <w:pPr>
              <w:spacing w:before="0"/>
              <w:rPr>
                <w:rFonts w:ascii="Verdana" w:hAnsi="Verdana"/>
                <w:b/>
                <w:sz w:val="20"/>
              </w:rPr>
            </w:pPr>
          </w:p>
        </w:tc>
        <w:tc>
          <w:tcPr>
            <w:tcW w:w="3120" w:type="dxa"/>
            <w:gridSpan w:val="2"/>
          </w:tcPr>
          <w:p w14:paraId="6CAEB576" w14:textId="77777777" w:rsidR="00690C7B" w:rsidRPr="00CF1D2A" w:rsidRDefault="00690C7B" w:rsidP="004A19EA">
            <w:pPr>
              <w:spacing w:before="0"/>
              <w:rPr>
                <w:rFonts w:ascii="Verdana" w:hAnsi="Verdana"/>
                <w:b/>
                <w:sz w:val="20"/>
              </w:rPr>
            </w:pPr>
            <w:r w:rsidRPr="00CF1D2A">
              <w:rPr>
                <w:rFonts w:ascii="Verdana" w:hAnsi="Verdana"/>
                <w:b/>
                <w:sz w:val="20"/>
              </w:rPr>
              <w:t>26 septembre 2023</w:t>
            </w:r>
          </w:p>
        </w:tc>
      </w:tr>
      <w:tr w:rsidR="00690C7B" w:rsidRPr="00CF1D2A" w14:paraId="4EFEF2BF" w14:textId="77777777" w:rsidTr="00BB1D82">
        <w:trPr>
          <w:cantSplit/>
        </w:trPr>
        <w:tc>
          <w:tcPr>
            <w:tcW w:w="6911" w:type="dxa"/>
            <w:gridSpan w:val="2"/>
          </w:tcPr>
          <w:p w14:paraId="5C27D4E0" w14:textId="77777777" w:rsidR="00690C7B" w:rsidRPr="00CF1D2A" w:rsidRDefault="00690C7B" w:rsidP="004A19EA">
            <w:pPr>
              <w:spacing w:before="0" w:after="48"/>
              <w:rPr>
                <w:rFonts w:ascii="Verdana" w:hAnsi="Verdana"/>
                <w:b/>
                <w:smallCaps/>
                <w:sz w:val="20"/>
              </w:rPr>
            </w:pPr>
          </w:p>
        </w:tc>
        <w:tc>
          <w:tcPr>
            <w:tcW w:w="3120" w:type="dxa"/>
            <w:gridSpan w:val="2"/>
          </w:tcPr>
          <w:p w14:paraId="7F1E786D" w14:textId="77777777" w:rsidR="00690C7B" w:rsidRPr="00CF1D2A" w:rsidRDefault="00690C7B" w:rsidP="004A19EA">
            <w:pPr>
              <w:spacing w:before="0"/>
              <w:rPr>
                <w:rFonts w:ascii="Verdana" w:hAnsi="Verdana"/>
                <w:b/>
                <w:sz w:val="20"/>
              </w:rPr>
            </w:pPr>
            <w:r w:rsidRPr="00CF1D2A">
              <w:rPr>
                <w:rFonts w:ascii="Verdana" w:hAnsi="Verdana"/>
                <w:b/>
                <w:sz w:val="20"/>
              </w:rPr>
              <w:t>Original: anglais</w:t>
            </w:r>
          </w:p>
        </w:tc>
      </w:tr>
      <w:tr w:rsidR="00690C7B" w:rsidRPr="00CF1D2A" w14:paraId="6CAAC87C" w14:textId="77777777" w:rsidTr="00C11970">
        <w:trPr>
          <w:cantSplit/>
        </w:trPr>
        <w:tc>
          <w:tcPr>
            <w:tcW w:w="10031" w:type="dxa"/>
            <w:gridSpan w:val="4"/>
          </w:tcPr>
          <w:p w14:paraId="25B35AB0" w14:textId="77777777" w:rsidR="00690C7B" w:rsidRPr="00CF1D2A" w:rsidRDefault="00690C7B" w:rsidP="004A19EA">
            <w:pPr>
              <w:spacing w:before="0"/>
              <w:rPr>
                <w:rFonts w:ascii="Verdana" w:hAnsi="Verdana"/>
                <w:b/>
                <w:sz w:val="20"/>
              </w:rPr>
            </w:pPr>
          </w:p>
        </w:tc>
      </w:tr>
      <w:tr w:rsidR="00690C7B" w:rsidRPr="00CF1D2A" w14:paraId="4105C4B1" w14:textId="77777777" w:rsidTr="0050008E">
        <w:trPr>
          <w:cantSplit/>
        </w:trPr>
        <w:tc>
          <w:tcPr>
            <w:tcW w:w="10031" w:type="dxa"/>
            <w:gridSpan w:val="4"/>
          </w:tcPr>
          <w:p w14:paraId="6EDA1FE0" w14:textId="77777777" w:rsidR="00690C7B" w:rsidRPr="00CF1D2A" w:rsidRDefault="00690C7B" w:rsidP="004A19EA">
            <w:pPr>
              <w:pStyle w:val="Source"/>
            </w:pPr>
            <w:bookmarkStart w:id="2" w:name="dsource" w:colFirst="0" w:colLast="0"/>
            <w:r w:rsidRPr="00CF1D2A">
              <w:t>Propositions communes de la Télécommunauté Asie-Pacifique</w:t>
            </w:r>
          </w:p>
        </w:tc>
      </w:tr>
      <w:tr w:rsidR="00690C7B" w:rsidRPr="00CF1D2A" w14:paraId="5D78E820" w14:textId="77777777" w:rsidTr="0050008E">
        <w:trPr>
          <w:cantSplit/>
        </w:trPr>
        <w:tc>
          <w:tcPr>
            <w:tcW w:w="10031" w:type="dxa"/>
            <w:gridSpan w:val="4"/>
          </w:tcPr>
          <w:p w14:paraId="15579EEF" w14:textId="6F3163E9" w:rsidR="00690C7B" w:rsidRPr="00CF1D2A" w:rsidRDefault="00FB76BA" w:rsidP="004A19EA">
            <w:pPr>
              <w:pStyle w:val="Title1"/>
            </w:pPr>
            <w:bookmarkStart w:id="3" w:name="dtitle1" w:colFirst="0" w:colLast="0"/>
            <w:bookmarkEnd w:id="2"/>
            <w:r w:rsidRPr="00CF1D2A">
              <w:t>PROPOSITIONS POUR LES TRAVAUX DE LA CONFÉRENCE</w:t>
            </w:r>
          </w:p>
        </w:tc>
      </w:tr>
      <w:tr w:rsidR="00690C7B" w:rsidRPr="00CF1D2A" w14:paraId="51385D80" w14:textId="77777777" w:rsidTr="0050008E">
        <w:trPr>
          <w:cantSplit/>
        </w:trPr>
        <w:tc>
          <w:tcPr>
            <w:tcW w:w="10031" w:type="dxa"/>
            <w:gridSpan w:val="4"/>
          </w:tcPr>
          <w:p w14:paraId="026E0166" w14:textId="77777777" w:rsidR="00690C7B" w:rsidRPr="00CF1D2A" w:rsidRDefault="00690C7B" w:rsidP="004A19EA">
            <w:pPr>
              <w:pStyle w:val="Title2"/>
            </w:pPr>
            <w:bookmarkStart w:id="4" w:name="dtitle2" w:colFirst="0" w:colLast="0"/>
            <w:bookmarkEnd w:id="3"/>
          </w:p>
        </w:tc>
      </w:tr>
      <w:tr w:rsidR="00690C7B" w:rsidRPr="00CF1D2A" w14:paraId="7E3843DC" w14:textId="77777777" w:rsidTr="0050008E">
        <w:trPr>
          <w:cantSplit/>
        </w:trPr>
        <w:tc>
          <w:tcPr>
            <w:tcW w:w="10031" w:type="dxa"/>
            <w:gridSpan w:val="4"/>
          </w:tcPr>
          <w:p w14:paraId="7A67E139" w14:textId="77777777" w:rsidR="00690C7B" w:rsidRPr="00CF1D2A" w:rsidRDefault="00690C7B" w:rsidP="004A19EA">
            <w:pPr>
              <w:pStyle w:val="Agendaitem"/>
              <w:rPr>
                <w:lang w:val="fr-FR"/>
              </w:rPr>
            </w:pPr>
            <w:bookmarkStart w:id="5" w:name="dtitle3" w:colFirst="0" w:colLast="0"/>
            <w:bookmarkEnd w:id="4"/>
            <w:r w:rsidRPr="00CF1D2A">
              <w:rPr>
                <w:lang w:val="fr-FR"/>
              </w:rPr>
              <w:t>Point 10 de l'ordre du jour</w:t>
            </w:r>
          </w:p>
        </w:tc>
      </w:tr>
    </w:tbl>
    <w:bookmarkEnd w:id="5"/>
    <w:p w14:paraId="4F904E60" w14:textId="77777777" w:rsidR="00DD2E03" w:rsidRPr="00CF1D2A" w:rsidRDefault="00DD2E03" w:rsidP="004A19EA">
      <w:r w:rsidRPr="00CF1D2A">
        <w:t>10</w:t>
      </w:r>
      <w:r w:rsidRPr="00CF1D2A">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CF1D2A">
        <w:rPr>
          <w:b/>
        </w:rPr>
        <w:t>804 (Rév.CMR-19)</w:t>
      </w:r>
      <w:r w:rsidRPr="00CF1D2A">
        <w:t>,</w:t>
      </w:r>
    </w:p>
    <w:p w14:paraId="6E1B91AA" w14:textId="09D2C923" w:rsidR="003A583E" w:rsidRPr="00CF1D2A" w:rsidRDefault="001430A4" w:rsidP="004A19EA">
      <w:pPr>
        <w:pStyle w:val="Headingb"/>
      </w:pPr>
      <w:r w:rsidRPr="00CF1D2A">
        <w:t>Introduction</w:t>
      </w:r>
    </w:p>
    <w:p w14:paraId="2A265842" w14:textId="5C215D58" w:rsidR="001430A4" w:rsidRPr="00CF1D2A" w:rsidRDefault="004A19EA" w:rsidP="004A19EA">
      <w:r w:rsidRPr="00CF1D2A">
        <w:t xml:space="preserve">Les </w:t>
      </w:r>
      <w:r w:rsidR="00432B8F" w:rsidRPr="00CF1D2A">
        <w:t>M</w:t>
      </w:r>
      <w:r w:rsidRPr="00CF1D2A">
        <w:t xml:space="preserve">embres de l'APT estiment que, si le point 2.12 de l'ordre du jour préliminaire est inscrit à l'ordre du jour de la CMR-27, il est nécessaire que la Résolution </w:t>
      </w:r>
      <w:r w:rsidR="00B701DA" w:rsidRPr="00CF1D2A">
        <w:t xml:space="preserve">associée à </w:t>
      </w:r>
      <w:r w:rsidRPr="00CF1D2A">
        <w:t>ce point porte</w:t>
      </w:r>
      <w:r w:rsidR="001C5560" w:rsidRPr="00CF1D2A">
        <w:t xml:space="preserve">, notamment, </w:t>
      </w:r>
      <w:r w:rsidRPr="00CF1D2A">
        <w:t>sur la protection des services auxquels la bande de fréquences est attribuée, ainsi que des services dans la bande de fréquences adjacente.</w:t>
      </w:r>
    </w:p>
    <w:p w14:paraId="6750B7D6" w14:textId="2D113284" w:rsidR="004A19EA" w:rsidRPr="00CF1D2A" w:rsidRDefault="004A19EA" w:rsidP="004A19EA">
      <w:r w:rsidRPr="00CF1D2A">
        <w:t xml:space="preserve">Les </w:t>
      </w:r>
      <w:r w:rsidR="00432B8F" w:rsidRPr="00CF1D2A">
        <w:t>M</w:t>
      </w:r>
      <w:r w:rsidRPr="00CF1D2A">
        <w:t xml:space="preserve">embres de l'APT </w:t>
      </w:r>
      <w:r w:rsidR="00B701DA" w:rsidRPr="00CF1D2A">
        <w:t xml:space="preserve">sont favorables </w:t>
      </w:r>
      <w:r w:rsidRPr="00CF1D2A">
        <w:t xml:space="preserve">à l'inscription </w:t>
      </w:r>
      <w:r w:rsidR="001C5560" w:rsidRPr="00CF1D2A">
        <w:t xml:space="preserve">du point </w:t>
      </w:r>
      <w:r w:rsidR="00B701DA" w:rsidRPr="00CF1D2A">
        <w:t xml:space="preserve">ci-après </w:t>
      </w:r>
      <w:r w:rsidRPr="00CF1D2A">
        <w:t>à l'ordre du jour préliminaire de la CMR-31.</w:t>
      </w:r>
    </w:p>
    <w:p w14:paraId="670DBD19" w14:textId="52086F3C" w:rsidR="001430A4" w:rsidRPr="00CF1D2A" w:rsidRDefault="001430A4" w:rsidP="004A19EA">
      <w:pPr>
        <w:pStyle w:val="Headingb"/>
      </w:pPr>
      <w:r w:rsidRPr="00CF1D2A">
        <w:t>Propositions</w:t>
      </w:r>
    </w:p>
    <w:p w14:paraId="32B009F7" w14:textId="77777777" w:rsidR="0015203F" w:rsidRPr="00CF1D2A" w:rsidRDefault="0015203F" w:rsidP="004A19EA">
      <w:pPr>
        <w:tabs>
          <w:tab w:val="clear" w:pos="1134"/>
          <w:tab w:val="clear" w:pos="1871"/>
          <w:tab w:val="clear" w:pos="2268"/>
        </w:tabs>
        <w:overflowPunct/>
        <w:autoSpaceDE/>
        <w:autoSpaceDN/>
        <w:adjustRightInd/>
        <w:spacing w:before="0"/>
        <w:textAlignment w:val="auto"/>
      </w:pPr>
      <w:r w:rsidRPr="00CF1D2A">
        <w:br w:type="page"/>
      </w:r>
    </w:p>
    <w:p w14:paraId="267B0F17" w14:textId="77777777" w:rsidR="00007B4E" w:rsidRPr="00CF1D2A" w:rsidRDefault="00DD2E03" w:rsidP="004A19EA">
      <w:pPr>
        <w:pStyle w:val="Proposal"/>
      </w:pPr>
      <w:r w:rsidRPr="00CF1D2A">
        <w:lastRenderedPageBreak/>
        <w:t>ADD</w:t>
      </w:r>
      <w:r w:rsidRPr="00CF1D2A">
        <w:tab/>
        <w:t>ACP/62A27A7/1</w:t>
      </w:r>
    </w:p>
    <w:p w14:paraId="1A72EFF0" w14:textId="3F76AE2E" w:rsidR="00007B4E" w:rsidRPr="00CF1D2A" w:rsidRDefault="00946F32" w:rsidP="004A19EA">
      <w:pPr>
        <w:pStyle w:val="ResNo"/>
      </w:pPr>
      <w:r w:rsidRPr="00CF1D2A">
        <w:t>PROJET DE NOUVELLE RéSOLUTION [ACP-ai10-2] (CMR-23)</w:t>
      </w:r>
    </w:p>
    <w:p w14:paraId="05EF6C15" w14:textId="5A4CFD39" w:rsidR="001430A4" w:rsidRPr="00CF1D2A" w:rsidRDefault="004A19EA" w:rsidP="004A19EA">
      <w:pPr>
        <w:pStyle w:val="Restitle"/>
      </w:pPr>
      <w:r w:rsidRPr="00CF1D2A">
        <w:t>Ordre du jour préliminaire de la Conférence mondiale des radiocommunications de 2031</w:t>
      </w:r>
    </w:p>
    <w:p w14:paraId="629BEAD5" w14:textId="07CBCE45" w:rsidR="001430A4" w:rsidRPr="00CF1D2A" w:rsidRDefault="00946F32" w:rsidP="004A19EA">
      <w:pPr>
        <w:pStyle w:val="Normalaftertitle"/>
      </w:pPr>
      <w:r w:rsidRPr="00CF1D2A">
        <w:t>La Conférence mondiale des radiocommunications (Dubaï, 2023)</w:t>
      </w:r>
    </w:p>
    <w:p w14:paraId="0099F3B8" w14:textId="2D1D7F5D" w:rsidR="001430A4" w:rsidRPr="00CF1D2A" w:rsidRDefault="001430A4" w:rsidP="004A19EA">
      <w:r w:rsidRPr="00CF1D2A">
        <w:t>...</w:t>
      </w:r>
    </w:p>
    <w:p w14:paraId="5ECA4884" w14:textId="6DD0E234" w:rsidR="001430A4" w:rsidRPr="00CF1D2A" w:rsidRDefault="001430A4" w:rsidP="00432B8F">
      <w:pPr>
        <w:tabs>
          <w:tab w:val="clear" w:pos="1134"/>
          <w:tab w:val="clear" w:pos="1871"/>
          <w:tab w:val="clear" w:pos="2268"/>
        </w:tabs>
      </w:pPr>
      <w:r w:rsidRPr="00CF1D2A">
        <w:t>2</w:t>
      </w:r>
      <w:r w:rsidRPr="00CF1D2A">
        <w:tab/>
      </w:r>
      <w:r w:rsidR="004A19EA" w:rsidRPr="00CF1D2A">
        <w:t>sur la base des propositions des administrations et du rapport de la Réunion de préparation à la Conférence et compte tenu des résultats de la CMR-27, examiner les points suivants et prendre les mesures appropriées:</w:t>
      </w:r>
    </w:p>
    <w:p w14:paraId="18FB65CE" w14:textId="38A27A46" w:rsidR="001430A4" w:rsidRPr="00CF1D2A" w:rsidRDefault="001430A4" w:rsidP="004A19EA">
      <w:r w:rsidRPr="00CF1D2A">
        <w:t>...</w:t>
      </w:r>
    </w:p>
    <w:p w14:paraId="5B4AC2CD" w14:textId="1874D165" w:rsidR="001430A4" w:rsidRPr="00CF1D2A" w:rsidRDefault="001430A4" w:rsidP="00432B8F">
      <w:pPr>
        <w:pStyle w:val="enumlev1"/>
        <w:tabs>
          <w:tab w:val="clear" w:pos="1134"/>
          <w:tab w:val="clear" w:pos="1871"/>
          <w:tab w:val="clear" w:pos="2608"/>
          <w:tab w:val="clear" w:pos="3345"/>
        </w:tabs>
        <w:ind w:left="0" w:firstLine="0"/>
      </w:pPr>
      <w:r w:rsidRPr="00CF1D2A">
        <w:t>2.2</w:t>
      </w:r>
      <w:r w:rsidRPr="00CF1D2A">
        <w:tab/>
      </w:r>
      <w:r w:rsidR="0012059E" w:rsidRPr="00CF1D2A">
        <w:t xml:space="preserve">l'utilisation des </w:t>
      </w:r>
      <w:r w:rsidR="004A19EA" w:rsidRPr="00CF1D2A">
        <w:t>bandes</w:t>
      </w:r>
      <w:r w:rsidR="0012059E" w:rsidRPr="00CF1D2A">
        <w:t xml:space="preserve"> de fréquences actuellement identifiées pour les </w:t>
      </w:r>
      <w:r w:rsidR="001C5560" w:rsidRPr="00CF1D2A">
        <w:t>t</w:t>
      </w:r>
      <w:r w:rsidR="0012059E" w:rsidRPr="00CF1D2A">
        <w:t>élécommunications mobiles internationales (IMT) dans l</w:t>
      </w:r>
      <w:r w:rsidR="001C5560" w:rsidRPr="00CF1D2A">
        <w:t xml:space="preserve">es </w:t>
      </w:r>
      <w:r w:rsidR="0012059E" w:rsidRPr="00CF1D2A">
        <w:t>gamme</w:t>
      </w:r>
      <w:r w:rsidR="001C5560" w:rsidRPr="00CF1D2A">
        <w:t>s</w:t>
      </w:r>
      <w:r w:rsidR="0012059E" w:rsidRPr="00CF1D2A">
        <w:t xml:space="preserve"> de fréquences </w:t>
      </w:r>
      <w:r w:rsidR="004A19EA" w:rsidRPr="00CF1D2A">
        <w:t>[3</w:t>
      </w:r>
      <w:r w:rsidR="00A464A6" w:rsidRPr="00CF1D2A">
        <w:t> </w:t>
      </w:r>
      <w:r w:rsidR="004A19EA" w:rsidRPr="00CF1D2A">
        <w:t>400-3 600 MHz] et [3</w:t>
      </w:r>
      <w:r w:rsidR="00432B8F" w:rsidRPr="00CF1D2A">
        <w:t> </w:t>
      </w:r>
      <w:r w:rsidR="004A19EA" w:rsidRPr="00CF1D2A">
        <w:t>600</w:t>
      </w:r>
      <w:r w:rsidR="00432B8F" w:rsidRPr="00CF1D2A">
        <w:noBreakHyphen/>
      </w:r>
      <w:r w:rsidR="004A19EA" w:rsidRPr="00CF1D2A">
        <w:t>3</w:t>
      </w:r>
      <w:r w:rsidR="00432B8F" w:rsidRPr="00CF1D2A">
        <w:t> </w:t>
      </w:r>
      <w:r w:rsidR="004A19EA" w:rsidRPr="00CF1D2A">
        <w:t>700</w:t>
      </w:r>
      <w:r w:rsidR="00432B8F" w:rsidRPr="00CF1D2A">
        <w:t> </w:t>
      </w:r>
      <w:r w:rsidR="004A19EA" w:rsidRPr="00CF1D2A">
        <w:t>MHz], en vue de la suppression possible de</w:t>
      </w:r>
      <w:r w:rsidR="0012059E" w:rsidRPr="00CF1D2A">
        <w:t xml:space="preserve"> la limite relative au service mobile aéronautique pour l'utilisation d'équipements d'utilisateur IMT par des applications non liées à la sécurité, s'il y a lieu, conformément à la Résolution </w:t>
      </w:r>
      <w:r w:rsidR="004A19EA" w:rsidRPr="00CF1D2A">
        <w:rPr>
          <w:b/>
          <w:bCs/>
        </w:rPr>
        <w:t>[ACP-AI10-5] (CMR-23</w:t>
      </w:r>
      <w:r w:rsidR="0012059E" w:rsidRPr="00CF1D2A">
        <w:rPr>
          <w:b/>
          <w:bCs/>
        </w:rPr>
        <w:t>)</w:t>
      </w:r>
      <w:r w:rsidR="0012059E" w:rsidRPr="00CF1D2A">
        <w:t>;</w:t>
      </w:r>
    </w:p>
    <w:p w14:paraId="12386EDB" w14:textId="6C889C27" w:rsidR="00347A31" w:rsidRPr="00CF1D2A" w:rsidRDefault="00347A31" w:rsidP="004A19EA">
      <w:r w:rsidRPr="00CF1D2A">
        <w:t>...</w:t>
      </w:r>
    </w:p>
    <w:p w14:paraId="31CE5524" w14:textId="77777777" w:rsidR="00347A31" w:rsidRPr="00CF1D2A" w:rsidRDefault="00347A31" w:rsidP="008C134F">
      <w:pPr>
        <w:pStyle w:val="Reasons"/>
      </w:pPr>
    </w:p>
    <w:p w14:paraId="0F880338" w14:textId="77777777" w:rsidR="00347A31" w:rsidRPr="00CF1D2A" w:rsidRDefault="00DD2E03" w:rsidP="004A19EA">
      <w:pPr>
        <w:pStyle w:val="Proposal"/>
      </w:pPr>
      <w:r w:rsidRPr="00CF1D2A">
        <w:t>ADD</w:t>
      </w:r>
      <w:r w:rsidRPr="00CF1D2A">
        <w:tab/>
        <w:t>ACP/62A27A7/2</w:t>
      </w:r>
    </w:p>
    <w:p w14:paraId="6FF03F73" w14:textId="7E8668B1" w:rsidR="00347A31" w:rsidRPr="00CF1D2A" w:rsidRDefault="00946F32" w:rsidP="004A19EA">
      <w:pPr>
        <w:pStyle w:val="ResNo"/>
      </w:pPr>
      <w:r w:rsidRPr="00CF1D2A">
        <w:t>PROJET DE NOUVELLE RéSOLUTION [ACP-AI10-5] (CMR-23)</w:t>
      </w:r>
    </w:p>
    <w:p w14:paraId="6EBF233F" w14:textId="484A935E" w:rsidR="00347A31" w:rsidRPr="00CF1D2A" w:rsidRDefault="00432B8F" w:rsidP="004A19EA">
      <w:pPr>
        <w:pStyle w:val="Restitle"/>
      </w:pPr>
      <w:bookmarkStart w:id="6" w:name="_Toc35933824"/>
      <w:bookmarkStart w:id="7" w:name="_Toc39829240"/>
      <w:r w:rsidRPr="00CF1D2A">
        <w:t>É</w:t>
      </w:r>
      <w:r w:rsidR="004A19EA" w:rsidRPr="00CF1D2A">
        <w:t>tudes relatives à la s</w:t>
      </w:r>
      <w:r w:rsidR="005E35E8" w:rsidRPr="00CF1D2A">
        <w:t xml:space="preserve">uppression </w:t>
      </w:r>
      <w:r w:rsidR="004A19EA" w:rsidRPr="00CF1D2A">
        <w:t xml:space="preserve">possible </w:t>
      </w:r>
      <w:r w:rsidR="005E35E8" w:rsidRPr="00CF1D2A">
        <w:t>de la limite concernant le service mobile aéronautique dans l</w:t>
      </w:r>
      <w:r w:rsidR="004A19EA" w:rsidRPr="00CF1D2A">
        <w:t>es</w:t>
      </w:r>
      <w:r w:rsidR="005E35E8" w:rsidRPr="00CF1D2A">
        <w:t xml:space="preserve"> gamme</w:t>
      </w:r>
      <w:r w:rsidR="004A19EA" w:rsidRPr="00CF1D2A">
        <w:t>s</w:t>
      </w:r>
      <w:r w:rsidR="005E35E8" w:rsidRPr="00CF1D2A">
        <w:t xml:space="preserve"> de fréquences </w:t>
      </w:r>
      <w:r w:rsidR="004A19EA" w:rsidRPr="00CF1D2A">
        <w:t>[3 400-3 600 MHz] et [3</w:t>
      </w:r>
      <w:r w:rsidR="00A464A6" w:rsidRPr="00CF1D2A">
        <w:t> </w:t>
      </w:r>
      <w:r w:rsidR="004A19EA" w:rsidRPr="00CF1D2A">
        <w:t xml:space="preserve">600-3 700 MHz] </w:t>
      </w:r>
      <w:r w:rsidR="005E35E8" w:rsidRPr="00CF1D2A">
        <w:t>pour l'utilisation d'équipements d'utilisateur pour les Télécommunications mobiles internationales par des</w:t>
      </w:r>
      <w:r w:rsidRPr="00CF1D2A">
        <w:br/>
      </w:r>
      <w:r w:rsidR="005E35E8" w:rsidRPr="00CF1D2A">
        <w:t>applications non liées à la sécurité</w:t>
      </w:r>
      <w:bookmarkEnd w:id="6"/>
      <w:bookmarkEnd w:id="7"/>
    </w:p>
    <w:p w14:paraId="35B82D7C" w14:textId="3A8C1AE2" w:rsidR="00347A31" w:rsidRPr="00CF1D2A" w:rsidRDefault="005E35E8" w:rsidP="004A19EA">
      <w:pPr>
        <w:pStyle w:val="Normalaftertitle"/>
      </w:pPr>
      <w:r w:rsidRPr="00CF1D2A">
        <w:t>La Conférence mondiale des radiocommunications (</w:t>
      </w:r>
      <w:r w:rsidR="00946F32" w:rsidRPr="00CF1D2A">
        <w:t>Dubaï, 2023</w:t>
      </w:r>
      <w:r w:rsidRPr="00CF1D2A">
        <w:t>),</w:t>
      </w:r>
    </w:p>
    <w:p w14:paraId="3CC9F4B1" w14:textId="404A4084" w:rsidR="00347A31" w:rsidRPr="00CF1D2A" w:rsidRDefault="00347A31" w:rsidP="004A19EA">
      <w:pPr>
        <w:pStyle w:val="Call"/>
      </w:pPr>
      <w:r w:rsidRPr="00CF1D2A">
        <w:t>considérant</w:t>
      </w:r>
    </w:p>
    <w:p w14:paraId="1CE3DCCC" w14:textId="77777777" w:rsidR="00725E1A" w:rsidRPr="00CF1D2A" w:rsidRDefault="00725E1A" w:rsidP="00432B8F">
      <w:pPr>
        <w:tabs>
          <w:tab w:val="clear" w:pos="1134"/>
          <w:tab w:val="clear" w:pos="1871"/>
          <w:tab w:val="clear" w:pos="2268"/>
        </w:tabs>
      </w:pPr>
      <w:r w:rsidRPr="00CF1D2A">
        <w:rPr>
          <w:i/>
        </w:rPr>
        <w:t>a)</w:t>
      </w:r>
      <w:r w:rsidRPr="00CF1D2A">
        <w:rPr>
          <w:i/>
        </w:rPr>
        <w:tab/>
      </w:r>
      <w:r w:rsidRPr="00CF1D2A">
        <w:rPr>
          <w:iCs/>
        </w:rPr>
        <w:t>qu'il est nécessaire de renforcer la connectivité des véhicules aéronautiques pour répondre à la demande existante et aux besoins futurs de la communauté aéronautique;</w:t>
      </w:r>
    </w:p>
    <w:p w14:paraId="6C9A4AD5" w14:textId="77777777" w:rsidR="00725E1A" w:rsidRPr="00CF1D2A" w:rsidRDefault="00725E1A" w:rsidP="00432B8F">
      <w:pPr>
        <w:tabs>
          <w:tab w:val="clear" w:pos="1134"/>
          <w:tab w:val="clear" w:pos="1871"/>
          <w:tab w:val="clear" w:pos="2268"/>
        </w:tabs>
      </w:pPr>
      <w:r w:rsidRPr="00CF1D2A">
        <w:rPr>
          <w:i/>
        </w:rPr>
        <w:t>b)</w:t>
      </w:r>
      <w:r w:rsidRPr="00CF1D2A">
        <w:rPr>
          <w:i/>
        </w:rPr>
        <w:tab/>
      </w:r>
      <w:r w:rsidRPr="00CF1D2A">
        <w:rPr>
          <w:iCs/>
        </w:rPr>
        <w:t>que les réseaux des Télécommunications mobiles internationales (IMT) actuels et futurs permettent de fournir des services de connectivité aux hélicoptères, aux</w:t>
      </w:r>
      <w:r w:rsidRPr="00CF1D2A">
        <w:rPr>
          <w:i/>
        </w:rPr>
        <w:t xml:space="preserve"> </w:t>
      </w:r>
      <w:r w:rsidRPr="00CF1D2A">
        <w:rPr>
          <w:iCs/>
        </w:rPr>
        <w:t>petits aéronefs et aux systèmes d'aéronef sans pilote</w:t>
      </w:r>
      <w:r w:rsidRPr="00CF1D2A">
        <w:t xml:space="preserve"> (UAS);</w:t>
      </w:r>
    </w:p>
    <w:p w14:paraId="7635CD94" w14:textId="77777777" w:rsidR="00725E1A" w:rsidRPr="00CF1D2A" w:rsidRDefault="00725E1A" w:rsidP="00432B8F">
      <w:pPr>
        <w:tabs>
          <w:tab w:val="clear" w:pos="1134"/>
          <w:tab w:val="clear" w:pos="1871"/>
          <w:tab w:val="clear" w:pos="2268"/>
        </w:tabs>
      </w:pPr>
      <w:r w:rsidRPr="00CF1D2A">
        <w:rPr>
          <w:i/>
        </w:rPr>
        <w:t>c)</w:t>
      </w:r>
      <w:r w:rsidRPr="00CF1D2A">
        <w:rPr>
          <w:i/>
        </w:rPr>
        <w:tab/>
      </w:r>
      <w:r w:rsidRPr="00CF1D2A">
        <w:rPr>
          <w:iCs/>
        </w:rPr>
        <w:t>que les réseaux IMT actuels et futurs peuvent assurer des fonctions de communication pour l'exploitation</w:t>
      </w:r>
      <w:r w:rsidRPr="00CF1D2A">
        <w:t xml:space="preserve"> </w:t>
      </w:r>
      <w:r w:rsidRPr="00CF1D2A">
        <w:rPr>
          <w:iCs/>
        </w:rPr>
        <w:t>des systèmes</w:t>
      </w:r>
      <w:r w:rsidRPr="00CF1D2A">
        <w:t xml:space="preserve"> UAS en vol hors vue</w:t>
      </w:r>
      <w:r w:rsidRPr="00CF1D2A">
        <w:rPr>
          <w:iCs/>
        </w:rPr>
        <w:t>;</w:t>
      </w:r>
    </w:p>
    <w:p w14:paraId="091C9EE1" w14:textId="77777777" w:rsidR="00725E1A" w:rsidRPr="00CF1D2A" w:rsidRDefault="00725E1A" w:rsidP="00432B8F">
      <w:pPr>
        <w:tabs>
          <w:tab w:val="clear" w:pos="1134"/>
          <w:tab w:val="clear" w:pos="1871"/>
          <w:tab w:val="clear" w:pos="2268"/>
        </w:tabs>
        <w:rPr>
          <w:iCs/>
        </w:rPr>
      </w:pPr>
      <w:r w:rsidRPr="00CF1D2A">
        <w:rPr>
          <w:i/>
        </w:rPr>
        <w:t>d)</w:t>
      </w:r>
      <w:r w:rsidRPr="00CF1D2A">
        <w:rPr>
          <w:i/>
        </w:rPr>
        <w:tab/>
      </w:r>
      <w:r w:rsidRPr="00CF1D2A">
        <w:rPr>
          <w:iCs/>
        </w:rPr>
        <w:t>que les futurs réseaux IMT pourront assurer des services de connectivité directe air-sol pour les aéronefs commerciaux dotés d'équipements de bord spéciaux;</w:t>
      </w:r>
    </w:p>
    <w:p w14:paraId="10A5E2DB" w14:textId="2A07D7CF" w:rsidR="00347A31" w:rsidRPr="00CF1D2A" w:rsidRDefault="00725E1A" w:rsidP="00432B8F">
      <w:pPr>
        <w:tabs>
          <w:tab w:val="clear" w:pos="1134"/>
          <w:tab w:val="clear" w:pos="1871"/>
          <w:tab w:val="clear" w:pos="2268"/>
        </w:tabs>
      </w:pPr>
      <w:r w:rsidRPr="00CF1D2A">
        <w:rPr>
          <w:i/>
        </w:rPr>
        <w:lastRenderedPageBreak/>
        <w:t>e)</w:t>
      </w:r>
      <w:r w:rsidRPr="00CF1D2A">
        <w:rPr>
          <w:i/>
        </w:rPr>
        <w:tab/>
      </w:r>
      <w:r w:rsidRPr="00CF1D2A">
        <w:t xml:space="preserve">que plusieurs études ont démontré la viabilité des capacités des IMT identifiées dans les paragraphes du </w:t>
      </w:r>
      <w:r w:rsidRPr="00CF1D2A">
        <w:rPr>
          <w:i/>
        </w:rPr>
        <w:t>considérant</w:t>
      </w:r>
      <w:r w:rsidRPr="00CF1D2A">
        <w:t xml:space="preserve"> ci-dessus et que ces capacités sont actuellement définies par des organisations de normalisation,</w:t>
      </w:r>
    </w:p>
    <w:p w14:paraId="7CC7EF72" w14:textId="67C323B8" w:rsidR="00347A31" w:rsidRPr="00CF1D2A" w:rsidRDefault="00347A31" w:rsidP="004A19EA">
      <w:pPr>
        <w:pStyle w:val="Call"/>
      </w:pPr>
      <w:r w:rsidRPr="00CF1D2A">
        <w:t>notant</w:t>
      </w:r>
    </w:p>
    <w:p w14:paraId="2F96CE41" w14:textId="5DA1C237" w:rsidR="00347A31" w:rsidRPr="00CF1D2A" w:rsidRDefault="00347A31" w:rsidP="00432B8F">
      <w:pPr>
        <w:tabs>
          <w:tab w:val="clear" w:pos="1134"/>
          <w:tab w:val="clear" w:pos="1871"/>
          <w:tab w:val="clear" w:pos="2268"/>
        </w:tabs>
      </w:pPr>
      <w:r w:rsidRPr="00CF1D2A">
        <w:rPr>
          <w:i/>
          <w:iCs/>
        </w:rPr>
        <w:t>a)</w:t>
      </w:r>
      <w:r w:rsidRPr="00CF1D2A">
        <w:tab/>
      </w:r>
      <w:r w:rsidR="00725E1A" w:rsidRPr="00CF1D2A">
        <w:rPr>
          <w:color w:val="000000"/>
        </w:rPr>
        <w:t xml:space="preserve">que les études de partage et de compatibilité effectuées par le Secteur des radiocommunications de l'UIT en vue d'appuyer l'identification de certaines bandes de fréquences pour les IMT n'ont pas pris en considération les cas d'utilisation décrits aux points </w:t>
      </w:r>
      <w:r w:rsidR="00725E1A" w:rsidRPr="00CF1D2A">
        <w:rPr>
          <w:i/>
          <w:iCs/>
          <w:color w:val="000000"/>
        </w:rPr>
        <w:t>b)</w:t>
      </w:r>
      <w:r w:rsidR="00725E1A" w:rsidRPr="00CF1D2A">
        <w:rPr>
          <w:color w:val="000000"/>
        </w:rPr>
        <w:t xml:space="preserve"> à </w:t>
      </w:r>
      <w:r w:rsidR="00725E1A" w:rsidRPr="00CF1D2A">
        <w:rPr>
          <w:i/>
          <w:iCs/>
          <w:color w:val="000000"/>
        </w:rPr>
        <w:t>e)</w:t>
      </w:r>
      <w:r w:rsidR="00725E1A" w:rsidRPr="00CF1D2A">
        <w:rPr>
          <w:color w:val="000000"/>
        </w:rPr>
        <w:t xml:space="preserve"> du </w:t>
      </w:r>
      <w:r w:rsidR="00725E1A" w:rsidRPr="00CF1D2A">
        <w:rPr>
          <w:i/>
          <w:iCs/>
          <w:color w:val="000000"/>
        </w:rPr>
        <w:t>considérant</w:t>
      </w:r>
      <w:r w:rsidRPr="00CF1D2A">
        <w:t>;</w:t>
      </w:r>
    </w:p>
    <w:p w14:paraId="12A5777C" w14:textId="55608BDD" w:rsidR="00347A31" w:rsidRPr="00CF1D2A" w:rsidRDefault="00347A31" w:rsidP="00432B8F">
      <w:pPr>
        <w:tabs>
          <w:tab w:val="clear" w:pos="1134"/>
          <w:tab w:val="clear" w:pos="1871"/>
          <w:tab w:val="clear" w:pos="2268"/>
        </w:tabs>
      </w:pPr>
      <w:r w:rsidRPr="00CF1D2A">
        <w:rPr>
          <w:i/>
          <w:iCs/>
        </w:rPr>
        <w:t>b)</w:t>
      </w:r>
      <w:r w:rsidRPr="00CF1D2A">
        <w:tab/>
      </w:r>
      <w:r w:rsidR="00725E1A" w:rsidRPr="00CF1D2A">
        <w:rPr>
          <w:color w:val="000000"/>
        </w:rPr>
        <w:t xml:space="preserve">que la Résolution </w:t>
      </w:r>
      <w:r w:rsidR="00725E1A" w:rsidRPr="00CF1D2A">
        <w:rPr>
          <w:b/>
          <w:bCs/>
          <w:color w:val="000000"/>
        </w:rPr>
        <w:t>224 (Rév.CMR-19)</w:t>
      </w:r>
      <w:r w:rsidR="00725E1A" w:rsidRPr="00CF1D2A">
        <w:rPr>
          <w:color w:val="000000"/>
        </w:rPr>
        <w:t xml:space="preserve"> porte sur les bandes de fréquences pour la composante de Terre des IMT au-dessous de 1 GHz;</w:t>
      </w:r>
    </w:p>
    <w:p w14:paraId="54B55899" w14:textId="76125348" w:rsidR="00347A31" w:rsidRPr="00CF1D2A" w:rsidRDefault="00946F32" w:rsidP="00432B8F">
      <w:pPr>
        <w:tabs>
          <w:tab w:val="clear" w:pos="1134"/>
          <w:tab w:val="clear" w:pos="1871"/>
          <w:tab w:val="clear" w:pos="2268"/>
        </w:tabs>
      </w:pPr>
      <w:r w:rsidRPr="00CF1D2A">
        <w:rPr>
          <w:i/>
          <w:iCs/>
        </w:rPr>
        <w:t>c</w:t>
      </w:r>
      <w:r w:rsidR="00347A31" w:rsidRPr="00CF1D2A">
        <w:rPr>
          <w:i/>
          <w:iCs/>
        </w:rPr>
        <w:t>)</w:t>
      </w:r>
      <w:r w:rsidR="00347A31" w:rsidRPr="00CF1D2A">
        <w:tab/>
      </w:r>
      <w:r w:rsidR="00725E1A" w:rsidRPr="00CF1D2A">
        <w:rPr>
          <w:color w:val="000000"/>
        </w:rPr>
        <w:t xml:space="preserve">que </w:t>
      </w:r>
      <w:r w:rsidR="004A19EA" w:rsidRPr="00CF1D2A">
        <w:rPr>
          <w:color w:val="000000"/>
        </w:rPr>
        <w:t>les bandes de fréquences 3 400-3 600 MHz et 3 600-3 700 MHz sont attribuées à titre primaire au service mobile, à l'exception du service mobile aéronautique</w:t>
      </w:r>
      <w:r w:rsidR="00347A31" w:rsidRPr="00CF1D2A">
        <w:t>,</w:t>
      </w:r>
    </w:p>
    <w:p w14:paraId="5468738F" w14:textId="3E963B99" w:rsidR="00347A31" w:rsidRPr="00CF1D2A" w:rsidRDefault="00347A31" w:rsidP="004A19EA">
      <w:pPr>
        <w:pStyle w:val="Call"/>
      </w:pPr>
      <w:r w:rsidRPr="00CF1D2A">
        <w:t>reconnaissant</w:t>
      </w:r>
    </w:p>
    <w:p w14:paraId="5635A0EB" w14:textId="20B62442" w:rsidR="00347A31" w:rsidRPr="00CF1D2A" w:rsidRDefault="00725E1A" w:rsidP="004A19EA">
      <w:r w:rsidRPr="00CF1D2A">
        <w:t>que la suppression de la limite relative au service mobile aéronautique dans les bandes de fréquences proposées permettrait d'uniformiser l'utilisation des bandes de fréquences identifiées pour les IMT par les équipements d'utilisateur aéronautiques dans toutes les Régions,</w:t>
      </w:r>
    </w:p>
    <w:p w14:paraId="1D8CDFAE" w14:textId="2467DC88" w:rsidR="00347A31" w:rsidRPr="00CF1D2A" w:rsidRDefault="00725E1A" w:rsidP="004A19EA">
      <w:pPr>
        <w:pStyle w:val="Call"/>
      </w:pPr>
      <w:r w:rsidRPr="00CF1D2A">
        <w:t>décide d'inviter le Secteur des radiocommunications de l'UIT</w:t>
      </w:r>
    </w:p>
    <w:p w14:paraId="6DE8D864" w14:textId="77777777" w:rsidR="00725E1A" w:rsidRPr="00CF1D2A" w:rsidRDefault="00725E1A" w:rsidP="00432B8F">
      <w:pPr>
        <w:tabs>
          <w:tab w:val="clear" w:pos="1134"/>
          <w:tab w:val="clear" w:pos="1871"/>
          <w:tab w:val="clear" w:pos="2268"/>
        </w:tabs>
      </w:pPr>
      <w:r w:rsidRPr="00CF1D2A">
        <w:t>1</w:t>
      </w:r>
      <w:r w:rsidRPr="00CF1D2A">
        <w:tab/>
        <w:t xml:space="preserve">à analyser les scénarios pertinents concernant le service mobile aéronautique pour la connectivité air-sol et sol-air des </w:t>
      </w:r>
      <w:r w:rsidRPr="00CF1D2A">
        <w:rPr>
          <w:color w:val="000000"/>
        </w:rPr>
        <w:t>équipements d'utilisateur aéroportés des réseaux IMT qui seront examinés dans les études de partage et de compatibilité;</w:t>
      </w:r>
    </w:p>
    <w:p w14:paraId="18C254D7" w14:textId="77777777" w:rsidR="00725E1A" w:rsidRPr="00CF1D2A" w:rsidRDefault="00725E1A" w:rsidP="00432B8F">
      <w:pPr>
        <w:tabs>
          <w:tab w:val="clear" w:pos="1134"/>
          <w:tab w:val="clear" w:pos="1871"/>
          <w:tab w:val="clear" w:pos="2268"/>
        </w:tabs>
      </w:pPr>
      <w:r w:rsidRPr="00CF1D2A">
        <w:t>2</w:t>
      </w:r>
      <w:r w:rsidRPr="00CF1D2A">
        <w:tab/>
        <w:t>à identifier les paramètres techniques pertinents associés aux systèmes du service mobile aéronautique;</w:t>
      </w:r>
    </w:p>
    <w:p w14:paraId="723D6DC8" w14:textId="77777777" w:rsidR="00725E1A" w:rsidRPr="00CF1D2A" w:rsidRDefault="00725E1A" w:rsidP="00432B8F">
      <w:pPr>
        <w:tabs>
          <w:tab w:val="clear" w:pos="1134"/>
          <w:tab w:val="clear" w:pos="1871"/>
          <w:tab w:val="clear" w:pos="2268"/>
        </w:tabs>
      </w:pPr>
      <w:r w:rsidRPr="00CF1D2A">
        <w:t>3</w:t>
      </w:r>
      <w:r w:rsidRPr="00CF1D2A">
        <w:tab/>
        <w:t>à procéder à des études de partage et de compatibilité avec les services existants, y compris dans les bandes de fréquences adjacentes;</w:t>
      </w:r>
    </w:p>
    <w:p w14:paraId="566ABCB2" w14:textId="7E70D8E6" w:rsidR="00347A31" w:rsidRPr="00CF1D2A" w:rsidRDefault="00725E1A" w:rsidP="00432B8F">
      <w:pPr>
        <w:tabs>
          <w:tab w:val="clear" w:pos="1134"/>
          <w:tab w:val="clear" w:pos="1871"/>
          <w:tab w:val="clear" w:pos="2268"/>
        </w:tabs>
      </w:pPr>
      <w:r w:rsidRPr="00CF1D2A">
        <w:t>4</w:t>
      </w:r>
      <w:r w:rsidRPr="00CF1D2A">
        <w:tab/>
        <w:t xml:space="preserve">à déterminer s'il est possible de supprimer l'exception concernant le service mobile aéronautique ou de prendre d'autres mesures réglementaires appropriées dans les gammes de fréquences </w:t>
      </w:r>
      <w:r w:rsidR="001C5560" w:rsidRPr="00CF1D2A">
        <w:t>[</w:t>
      </w:r>
      <w:r w:rsidR="00946F32" w:rsidRPr="00CF1D2A">
        <w:t>3 400-3 600</w:t>
      </w:r>
      <w:r w:rsidRPr="00CF1D2A">
        <w:t xml:space="preserve"> MHz en Région </w:t>
      </w:r>
      <w:r w:rsidR="00946F32" w:rsidRPr="00CF1D2A">
        <w:t>3</w:t>
      </w:r>
      <w:r w:rsidR="001C5560" w:rsidRPr="00CF1D2A">
        <w:t>]</w:t>
      </w:r>
      <w:r w:rsidRPr="00CF1D2A">
        <w:t xml:space="preserve"> </w:t>
      </w:r>
      <w:r w:rsidR="001C5560" w:rsidRPr="00CF1D2A">
        <w:t>[</w:t>
      </w:r>
      <w:r w:rsidRPr="00CF1D2A">
        <w:t xml:space="preserve">et </w:t>
      </w:r>
      <w:r w:rsidR="00946F32" w:rsidRPr="00CF1D2A">
        <w:t>3 600-3 700</w:t>
      </w:r>
      <w:r w:rsidRPr="00CF1D2A">
        <w:t xml:space="preserve"> MHz en Région </w:t>
      </w:r>
      <w:r w:rsidR="00946F32" w:rsidRPr="00CF1D2A">
        <w:t>3</w:t>
      </w:r>
      <w:r w:rsidR="001C5560" w:rsidRPr="00CF1D2A">
        <w:t>]</w:t>
      </w:r>
      <w:r w:rsidRPr="00CF1D2A">
        <w:t>, compte tenu des résultats des études</w:t>
      </w:r>
      <w:r w:rsidR="004A19EA" w:rsidRPr="00CF1D2A">
        <w:t xml:space="preserve"> de l'UIT-R susmentionnées</w:t>
      </w:r>
      <w:r w:rsidRPr="00CF1D2A">
        <w:t>,</w:t>
      </w:r>
    </w:p>
    <w:p w14:paraId="15A48F1C" w14:textId="2FBA7F7C" w:rsidR="00347A31" w:rsidRPr="00CF1D2A" w:rsidRDefault="00725E1A" w:rsidP="004A19EA">
      <w:pPr>
        <w:pStyle w:val="Call"/>
      </w:pPr>
      <w:r w:rsidRPr="00CF1D2A">
        <w:t>invite la Conférence mondiale des radiocommunications de 20</w:t>
      </w:r>
      <w:r w:rsidR="004A19EA" w:rsidRPr="00CF1D2A">
        <w:t>31</w:t>
      </w:r>
    </w:p>
    <w:p w14:paraId="2423F6D1" w14:textId="67664892" w:rsidR="00347A31" w:rsidRPr="00CF1D2A" w:rsidRDefault="00725E1A" w:rsidP="004A19EA">
      <w:r w:rsidRPr="00CF1D2A">
        <w:t xml:space="preserve">à examiner les résultats des études </w:t>
      </w:r>
      <w:r w:rsidR="004A19EA" w:rsidRPr="00CF1D2A">
        <w:t xml:space="preserve">de l'UIT-R </w:t>
      </w:r>
      <w:r w:rsidRPr="00CF1D2A">
        <w:t>ci-dessus et à prendre les mesures voulues</w:t>
      </w:r>
      <w:r w:rsidR="004A19EA" w:rsidRPr="00CF1D2A">
        <w:t xml:space="preserve"> en ce qui concerne la suppression possible de l</w:t>
      </w:r>
      <w:r w:rsidR="00502AB7" w:rsidRPr="00CF1D2A">
        <w:t xml:space="preserve">'exception </w:t>
      </w:r>
      <w:r w:rsidR="004A19EA" w:rsidRPr="00CF1D2A">
        <w:t xml:space="preserve">concernant le service mobile aéronautique </w:t>
      </w:r>
      <w:r w:rsidR="00502AB7" w:rsidRPr="00CF1D2A">
        <w:t xml:space="preserve">ou d'autres mesures réglementaires appropriées dans </w:t>
      </w:r>
      <w:r w:rsidR="004A19EA" w:rsidRPr="00CF1D2A">
        <w:t xml:space="preserve">les gammes de fréquences [3 400-3 600 MHz] </w:t>
      </w:r>
      <w:r w:rsidR="00502AB7" w:rsidRPr="00CF1D2A">
        <w:t>[</w:t>
      </w:r>
      <w:r w:rsidR="004A19EA" w:rsidRPr="00CF1D2A">
        <w:t xml:space="preserve">et 3 600-3 700 MHz] </w:t>
      </w:r>
      <w:r w:rsidR="00502AB7" w:rsidRPr="00CF1D2A">
        <w:t>[en Région 3], tout en assurant la protection pleine et entière des services auxquels ces bandes de fréquences sont attribuées ainsi que des services dans les bandes de fréquences adjacentes</w:t>
      </w:r>
      <w:r w:rsidRPr="00CF1D2A">
        <w:t>.</w:t>
      </w:r>
    </w:p>
    <w:p w14:paraId="741E3A7E" w14:textId="5A667CA3" w:rsidR="00007B4E" w:rsidRPr="00CF1D2A" w:rsidRDefault="00DD2E03" w:rsidP="004A19EA">
      <w:pPr>
        <w:pStyle w:val="Reasons"/>
      </w:pPr>
      <w:r w:rsidRPr="00CF1D2A">
        <w:rPr>
          <w:b/>
        </w:rPr>
        <w:t>Motifs:</w:t>
      </w:r>
      <w:r w:rsidRPr="00CF1D2A">
        <w:tab/>
      </w:r>
      <w:r w:rsidR="005B0EDE" w:rsidRPr="00CF1D2A">
        <w:t xml:space="preserve">Proposition de point de l'ordre du jour préliminaire de la CMR-31 </w:t>
      </w:r>
      <w:r w:rsidR="00B701DA" w:rsidRPr="00CF1D2A">
        <w:t>ayant pour objet d</w:t>
      </w:r>
      <w:r w:rsidR="008C134F" w:rsidRPr="00CF1D2A">
        <w:t>'</w:t>
      </w:r>
      <w:r w:rsidR="00B701DA" w:rsidRPr="00CF1D2A">
        <w:t xml:space="preserve">étudier la possibilité de supprimer </w:t>
      </w:r>
      <w:r w:rsidR="005B0EDE" w:rsidRPr="00CF1D2A">
        <w:t xml:space="preserve">la </w:t>
      </w:r>
      <w:r w:rsidR="009A5256" w:rsidRPr="00CF1D2A">
        <w:t xml:space="preserve">limite relative au service mobile aéronautique </w:t>
      </w:r>
      <w:r w:rsidR="005B0EDE" w:rsidRPr="00CF1D2A">
        <w:t xml:space="preserve">dans les gammes de fréquences [3 400-3 600 MHz] et [ 3 600-3 700 MHz] pour </w:t>
      </w:r>
      <w:r w:rsidR="009A5256" w:rsidRPr="00CF1D2A">
        <w:t xml:space="preserve">l'utilisation d'équipements d'utilisateur </w:t>
      </w:r>
      <w:r w:rsidR="005B0EDE" w:rsidRPr="00CF1D2A">
        <w:t>des télécommunications mobiles internationales</w:t>
      </w:r>
      <w:r w:rsidR="009A5256" w:rsidRPr="00CF1D2A">
        <w:t xml:space="preserve"> par des applications non liées à la sécurité</w:t>
      </w:r>
      <w:r w:rsidR="005B0EDE" w:rsidRPr="00CF1D2A">
        <w:t>.</w:t>
      </w:r>
    </w:p>
    <w:p w14:paraId="1FC61155" w14:textId="37F176B6" w:rsidR="009F0780" w:rsidRPr="00CF1D2A" w:rsidRDefault="009F0780">
      <w:pPr>
        <w:tabs>
          <w:tab w:val="clear" w:pos="1134"/>
          <w:tab w:val="clear" w:pos="1871"/>
          <w:tab w:val="clear" w:pos="2268"/>
        </w:tabs>
        <w:overflowPunct/>
        <w:autoSpaceDE/>
        <w:autoSpaceDN/>
        <w:adjustRightInd/>
        <w:spacing w:before="0"/>
        <w:textAlignment w:val="auto"/>
      </w:pPr>
      <w:r w:rsidRPr="00CF1D2A">
        <w:br w:type="page"/>
      </w:r>
    </w:p>
    <w:tbl>
      <w:tblPr>
        <w:tblpPr w:leftFromText="180" w:rightFromText="180" w:vertAnchor="text" w:tblpX="-84" w:tblpY="1"/>
        <w:tblOverlap w:val="never"/>
        <w:tblW w:w="10065" w:type="dxa"/>
        <w:tblLayout w:type="fixed"/>
        <w:tblLook w:val="04A0" w:firstRow="1" w:lastRow="0" w:firstColumn="1" w:lastColumn="0" w:noHBand="0" w:noVBand="1"/>
      </w:tblPr>
      <w:tblGrid>
        <w:gridCol w:w="4897"/>
        <w:gridCol w:w="5168"/>
      </w:tblGrid>
      <w:tr w:rsidR="008F23F2" w:rsidRPr="00CF1D2A" w14:paraId="0F1C8D8C" w14:textId="77777777" w:rsidTr="00BA061B">
        <w:trPr>
          <w:cantSplit/>
        </w:trPr>
        <w:tc>
          <w:tcPr>
            <w:tcW w:w="10065" w:type="dxa"/>
            <w:gridSpan w:val="2"/>
          </w:tcPr>
          <w:p w14:paraId="22D63784" w14:textId="3E03FA90" w:rsidR="008F23F2" w:rsidRPr="00CF1D2A" w:rsidRDefault="005B0EDE" w:rsidP="009F0780">
            <w:pPr>
              <w:keepNext/>
              <w:keepLines/>
              <w:spacing w:after="120"/>
              <w:jc w:val="both"/>
            </w:pPr>
            <w:r w:rsidRPr="00CF1D2A">
              <w:rPr>
                <w:b/>
                <w:bCs/>
              </w:rPr>
              <w:lastRenderedPageBreak/>
              <w:t>Objet: Proposition de</w:t>
            </w:r>
            <w:r w:rsidR="008F23F2" w:rsidRPr="00CF1D2A">
              <w:rPr>
                <w:b/>
                <w:bCs/>
              </w:rPr>
              <w:t xml:space="preserve"> point</w:t>
            </w:r>
            <w:r w:rsidRPr="00CF1D2A">
              <w:rPr>
                <w:b/>
                <w:bCs/>
              </w:rPr>
              <w:t xml:space="preserve"> </w:t>
            </w:r>
            <w:r w:rsidR="008F23F2" w:rsidRPr="00CF1D2A">
              <w:rPr>
                <w:b/>
                <w:bCs/>
              </w:rPr>
              <w:t>de l'ordre du jour</w:t>
            </w:r>
            <w:r w:rsidRPr="00CF1D2A">
              <w:rPr>
                <w:b/>
                <w:bCs/>
              </w:rPr>
              <w:t xml:space="preserve"> de la CMR-31</w:t>
            </w:r>
          </w:p>
        </w:tc>
      </w:tr>
      <w:tr w:rsidR="008F23F2" w:rsidRPr="00CF1D2A" w14:paraId="1C895A83" w14:textId="77777777" w:rsidTr="00BA061B">
        <w:trPr>
          <w:cantSplit/>
        </w:trPr>
        <w:tc>
          <w:tcPr>
            <w:tcW w:w="10065" w:type="dxa"/>
            <w:gridSpan w:val="2"/>
            <w:tcBorders>
              <w:top w:val="nil"/>
              <w:left w:val="nil"/>
              <w:bottom w:val="single" w:sz="4" w:space="0" w:color="auto"/>
              <w:right w:val="nil"/>
            </w:tcBorders>
          </w:tcPr>
          <w:p w14:paraId="556EF3BC" w14:textId="4A3DF8C0" w:rsidR="008F23F2" w:rsidRPr="00CF1D2A" w:rsidRDefault="008F23F2" w:rsidP="009F0780">
            <w:pPr>
              <w:keepNext/>
              <w:keepLines/>
              <w:spacing w:after="120"/>
              <w:rPr>
                <w:rFonts w:eastAsia="SimSun"/>
                <w:b/>
                <w:i/>
                <w:color w:val="000000"/>
                <w:highlight w:val="yellow"/>
                <w:lang w:eastAsia="zh-CN"/>
              </w:rPr>
            </w:pPr>
            <w:r w:rsidRPr="00CF1D2A">
              <w:rPr>
                <w:b/>
                <w:bCs/>
              </w:rPr>
              <w:t>Origin</w:t>
            </w:r>
            <w:r w:rsidR="001C5560" w:rsidRPr="00CF1D2A">
              <w:rPr>
                <w:b/>
                <w:bCs/>
              </w:rPr>
              <w:t>e</w:t>
            </w:r>
            <w:r w:rsidRPr="00CF1D2A">
              <w:rPr>
                <w:b/>
                <w:bCs/>
              </w:rPr>
              <w:t>:</w:t>
            </w:r>
            <w:r w:rsidR="005B0EDE" w:rsidRPr="00CF1D2A">
              <w:rPr>
                <w:b/>
                <w:bCs/>
              </w:rPr>
              <w:t xml:space="preserve"> APT</w:t>
            </w:r>
          </w:p>
        </w:tc>
      </w:tr>
      <w:tr w:rsidR="008F23F2" w:rsidRPr="00CF1D2A" w14:paraId="368ACC88" w14:textId="77777777" w:rsidTr="00BA061B">
        <w:trPr>
          <w:cantSplit/>
        </w:trPr>
        <w:tc>
          <w:tcPr>
            <w:tcW w:w="10065" w:type="dxa"/>
            <w:gridSpan w:val="2"/>
            <w:tcBorders>
              <w:top w:val="single" w:sz="4" w:space="0" w:color="auto"/>
              <w:left w:val="nil"/>
              <w:bottom w:val="single" w:sz="4" w:space="0" w:color="auto"/>
              <w:right w:val="nil"/>
            </w:tcBorders>
          </w:tcPr>
          <w:p w14:paraId="4B10DA1C" w14:textId="77777777" w:rsidR="00DD2E03" w:rsidRPr="00CF1D2A" w:rsidRDefault="00DD2E03" w:rsidP="009F0780">
            <w:pPr>
              <w:keepNext/>
              <w:keepLines/>
              <w:spacing w:after="120"/>
              <w:rPr>
                <w:b/>
                <w:i/>
                <w:color w:val="000000"/>
              </w:rPr>
            </w:pPr>
            <w:r w:rsidRPr="00CF1D2A">
              <w:rPr>
                <w:b/>
                <w:i/>
                <w:color w:val="000000"/>
              </w:rPr>
              <w:t>Proposition</w:t>
            </w:r>
            <w:r w:rsidRPr="00CF1D2A">
              <w:rPr>
                <w:b/>
                <w:iCs/>
                <w:color w:val="000000"/>
              </w:rPr>
              <w:t>:</w:t>
            </w:r>
          </w:p>
          <w:p w14:paraId="3BC959E7" w14:textId="467CA7B4" w:rsidR="008F23F2" w:rsidRPr="00CF1D2A" w:rsidRDefault="006E5F97" w:rsidP="009F0780">
            <w:pPr>
              <w:keepNext/>
              <w:keepLines/>
              <w:spacing w:after="120"/>
              <w:rPr>
                <w:b/>
                <w:i/>
              </w:rPr>
            </w:pPr>
            <w:r w:rsidRPr="00CF1D2A">
              <w:rPr>
                <w:rFonts w:eastAsia="SimSun"/>
                <w:lang w:eastAsia="zh-CN"/>
              </w:rPr>
              <w:t xml:space="preserve">Utilisation des bandes de fréquences actuellement identifiées pour les télécommunications mobiles internationales (IMT) dans les gammes de fréquences [3 400-3 600 MHz] et [3 600-3 700 MHz], en vue de la suppression possible de la limite relative au service mobile aéronautique pour l'utilisation d'équipements d'utilisateur IMT par des applications non liées à la sécurité, s'il y a lieu, conformément à la Résolution </w:t>
            </w:r>
            <w:r w:rsidR="00DD2E03" w:rsidRPr="00CF1D2A">
              <w:rPr>
                <w:rFonts w:eastAsia="SimSun"/>
                <w:b/>
                <w:bCs/>
                <w:lang w:eastAsia="zh-CN"/>
              </w:rPr>
              <w:t>251 (Rév.CMR-23)</w:t>
            </w:r>
            <w:r w:rsidR="00DD2E03" w:rsidRPr="00CF1D2A">
              <w:rPr>
                <w:rFonts w:eastAsia="SimSun"/>
                <w:lang w:eastAsia="zh-CN"/>
              </w:rPr>
              <w:t>.</w:t>
            </w:r>
          </w:p>
        </w:tc>
      </w:tr>
      <w:tr w:rsidR="008F23F2" w:rsidRPr="00CF1D2A" w14:paraId="28DBDAC8" w14:textId="77777777" w:rsidTr="00BA061B">
        <w:trPr>
          <w:cantSplit/>
        </w:trPr>
        <w:tc>
          <w:tcPr>
            <w:tcW w:w="10065" w:type="dxa"/>
            <w:gridSpan w:val="2"/>
            <w:tcBorders>
              <w:top w:val="single" w:sz="4" w:space="0" w:color="auto"/>
              <w:left w:val="nil"/>
              <w:bottom w:val="single" w:sz="4" w:space="0" w:color="auto"/>
              <w:right w:val="nil"/>
            </w:tcBorders>
          </w:tcPr>
          <w:p w14:paraId="05D5608A" w14:textId="1C0EE013" w:rsidR="008F23F2" w:rsidRPr="00CF1D2A" w:rsidRDefault="008F23F2" w:rsidP="009F0780">
            <w:pPr>
              <w:keepNext/>
              <w:keepLines/>
              <w:spacing w:after="120"/>
              <w:rPr>
                <w:b/>
                <w:i/>
                <w:color w:val="000000"/>
              </w:rPr>
            </w:pPr>
            <w:r w:rsidRPr="00CF1D2A">
              <w:rPr>
                <w:b/>
                <w:i/>
                <w:color w:val="000000"/>
              </w:rPr>
              <w:t>Contexte/motif</w:t>
            </w:r>
            <w:r w:rsidRPr="00CF1D2A">
              <w:rPr>
                <w:b/>
                <w:iCs/>
                <w:color w:val="000000"/>
              </w:rPr>
              <w:t>:</w:t>
            </w:r>
          </w:p>
          <w:p w14:paraId="65E54D85" w14:textId="34E972ED" w:rsidR="008F23F2" w:rsidRPr="00CF1D2A" w:rsidRDefault="008F23F2" w:rsidP="00432B8F">
            <w:pPr>
              <w:keepNext/>
              <w:keepLines/>
              <w:spacing w:after="120"/>
            </w:pPr>
            <w:r w:rsidRPr="00CF1D2A">
              <w:t>On a de plus en plus besoin d'une connectivité air-sol et sol-air financièrement abordable, en raison de la demande croissante de connectivité à bord d'aéronefs. Plusieurs campagnes de tests ont démontré que les réseaux IMT pouvaient répondre aux besoins de connectivité de ce type. Des organisations de normalisation telles que le Partenariat 3GPP et le CCSA normalisent actuellement les fonctionnalités permettant de prendre en charge ces cas d'utilisation.</w:t>
            </w:r>
          </w:p>
        </w:tc>
      </w:tr>
      <w:tr w:rsidR="008F23F2" w:rsidRPr="00CF1D2A" w14:paraId="4D4A66BA" w14:textId="77777777" w:rsidTr="00BA061B">
        <w:trPr>
          <w:cantSplit/>
        </w:trPr>
        <w:tc>
          <w:tcPr>
            <w:tcW w:w="10065" w:type="dxa"/>
            <w:gridSpan w:val="2"/>
            <w:tcBorders>
              <w:top w:val="single" w:sz="4" w:space="0" w:color="auto"/>
              <w:left w:val="nil"/>
              <w:bottom w:val="single" w:sz="4" w:space="0" w:color="auto"/>
              <w:right w:val="nil"/>
            </w:tcBorders>
          </w:tcPr>
          <w:p w14:paraId="6FEDF537" w14:textId="77777777" w:rsidR="008F23F2" w:rsidRPr="00CF1D2A" w:rsidRDefault="008F23F2" w:rsidP="009F0780">
            <w:pPr>
              <w:keepNext/>
              <w:keepLines/>
              <w:spacing w:after="120"/>
              <w:rPr>
                <w:b/>
                <w:i/>
              </w:rPr>
            </w:pPr>
            <w:r w:rsidRPr="00CF1D2A">
              <w:rPr>
                <w:b/>
                <w:i/>
              </w:rPr>
              <w:t>Services de radiocommunication concernés</w:t>
            </w:r>
            <w:r w:rsidRPr="00CF1D2A">
              <w:rPr>
                <w:b/>
                <w:bCs/>
              </w:rPr>
              <w:t>:</w:t>
            </w:r>
          </w:p>
          <w:p w14:paraId="5EE333E3" w14:textId="16E53DE9" w:rsidR="008F23F2" w:rsidRPr="00CF1D2A" w:rsidRDefault="008F23F2" w:rsidP="009F0780">
            <w:pPr>
              <w:keepNext/>
              <w:keepLines/>
              <w:spacing w:after="120"/>
              <w:rPr>
                <w:b/>
                <w:i/>
              </w:rPr>
            </w:pPr>
            <w:r w:rsidRPr="00CF1D2A">
              <w:rPr>
                <w:iCs/>
              </w:rPr>
              <w:t>Service mobile, service fixe par satellite (espace vers Terre), service de radiodiffusion</w:t>
            </w:r>
          </w:p>
        </w:tc>
      </w:tr>
      <w:tr w:rsidR="008F23F2" w:rsidRPr="00CF1D2A" w14:paraId="5DBA19FA" w14:textId="77777777" w:rsidTr="00BA061B">
        <w:trPr>
          <w:cantSplit/>
        </w:trPr>
        <w:tc>
          <w:tcPr>
            <w:tcW w:w="10065" w:type="dxa"/>
            <w:gridSpan w:val="2"/>
            <w:tcBorders>
              <w:top w:val="single" w:sz="4" w:space="0" w:color="auto"/>
              <w:left w:val="nil"/>
              <w:bottom w:val="single" w:sz="4" w:space="0" w:color="auto"/>
              <w:right w:val="nil"/>
            </w:tcBorders>
          </w:tcPr>
          <w:p w14:paraId="33603375" w14:textId="77777777" w:rsidR="008F23F2" w:rsidRPr="00CF1D2A" w:rsidRDefault="008F23F2" w:rsidP="009F0780">
            <w:pPr>
              <w:keepNext/>
              <w:keepLines/>
              <w:spacing w:after="120"/>
              <w:rPr>
                <w:b/>
                <w:i/>
              </w:rPr>
            </w:pPr>
            <w:r w:rsidRPr="00CF1D2A">
              <w:rPr>
                <w:b/>
                <w:i/>
              </w:rPr>
              <w:t>Indication des difficultés éventuelles</w:t>
            </w:r>
            <w:r w:rsidRPr="00CF1D2A">
              <w:rPr>
                <w:b/>
                <w:bCs/>
              </w:rPr>
              <w:t>:</w:t>
            </w:r>
          </w:p>
          <w:p w14:paraId="3C74890A" w14:textId="0CA2E96C" w:rsidR="008F23F2" w:rsidRPr="00CF1D2A" w:rsidRDefault="008F23F2" w:rsidP="009F0780">
            <w:pPr>
              <w:keepNext/>
              <w:keepLines/>
              <w:spacing w:after="120"/>
              <w:rPr>
                <w:b/>
                <w:i/>
              </w:rPr>
            </w:pPr>
            <w:r w:rsidRPr="00CF1D2A">
              <w:rPr>
                <w:iCs/>
              </w:rPr>
              <w:t>Études de partage avec les services de radiocommunication dans la bande de fréquences et dans les bandes de fréquences adjacentes</w:t>
            </w:r>
          </w:p>
        </w:tc>
      </w:tr>
      <w:tr w:rsidR="008F23F2" w:rsidRPr="00CF1D2A" w14:paraId="16768FCD" w14:textId="77777777" w:rsidTr="00BA061B">
        <w:trPr>
          <w:cantSplit/>
        </w:trPr>
        <w:tc>
          <w:tcPr>
            <w:tcW w:w="10065" w:type="dxa"/>
            <w:gridSpan w:val="2"/>
            <w:tcBorders>
              <w:top w:val="single" w:sz="4" w:space="0" w:color="auto"/>
              <w:left w:val="nil"/>
              <w:bottom w:val="single" w:sz="4" w:space="0" w:color="auto"/>
              <w:right w:val="nil"/>
            </w:tcBorders>
          </w:tcPr>
          <w:p w14:paraId="68B8EA02" w14:textId="4599F6B1" w:rsidR="00A978BC" w:rsidRPr="00CF1D2A" w:rsidRDefault="00946F32" w:rsidP="009F0780">
            <w:pPr>
              <w:keepNext/>
              <w:keepLines/>
              <w:spacing w:after="120"/>
              <w:rPr>
                <w:b/>
                <w:i/>
                <w:color w:val="000000"/>
              </w:rPr>
            </w:pPr>
            <w:r w:rsidRPr="00CF1D2A">
              <w:rPr>
                <w:b/>
                <w:i/>
              </w:rPr>
              <w:t>Études précédentes ou en cours sur la question</w:t>
            </w:r>
            <w:r w:rsidRPr="00CF1D2A">
              <w:rPr>
                <w:b/>
                <w:iCs/>
              </w:rPr>
              <w:t>:</w:t>
            </w:r>
          </w:p>
          <w:p w14:paraId="163BFD71" w14:textId="3DB0E7EC" w:rsidR="008F23F2" w:rsidRPr="00CF1D2A" w:rsidRDefault="00946F32" w:rsidP="009F0780">
            <w:pPr>
              <w:keepNext/>
              <w:keepLines/>
              <w:spacing w:after="120"/>
              <w:rPr>
                <w:b/>
                <w:i/>
              </w:rPr>
            </w:pPr>
            <w:r w:rsidRPr="00CF1D2A">
              <w:rPr>
                <w:bCs/>
                <w:iCs/>
              </w:rPr>
              <w:t>Résolution [</w:t>
            </w:r>
            <w:r w:rsidRPr="00CF1D2A">
              <w:rPr>
                <w:b/>
                <w:iCs/>
              </w:rPr>
              <w:t>251 (Rév.CMR-23)</w:t>
            </w:r>
            <w:r w:rsidRPr="00CF1D2A">
              <w:rPr>
                <w:bCs/>
                <w:iCs/>
              </w:rPr>
              <w:t>]/[</w:t>
            </w:r>
            <w:r w:rsidRPr="00CF1D2A">
              <w:rPr>
                <w:b/>
                <w:iCs/>
              </w:rPr>
              <w:t>Aerial IMT (CMR-23)</w:t>
            </w:r>
            <w:r w:rsidRPr="00CF1D2A">
              <w:rPr>
                <w:bCs/>
                <w:iCs/>
              </w:rPr>
              <w:t>]</w:t>
            </w:r>
          </w:p>
        </w:tc>
      </w:tr>
      <w:tr w:rsidR="008F23F2" w:rsidRPr="00CF1D2A" w14:paraId="73192AA6" w14:textId="77777777" w:rsidTr="00BA061B">
        <w:trPr>
          <w:cantSplit/>
        </w:trPr>
        <w:tc>
          <w:tcPr>
            <w:tcW w:w="4897" w:type="dxa"/>
            <w:tcBorders>
              <w:top w:val="single" w:sz="4" w:space="0" w:color="auto"/>
              <w:left w:val="nil"/>
              <w:bottom w:val="single" w:sz="4" w:space="0" w:color="auto"/>
              <w:right w:val="single" w:sz="4" w:space="0" w:color="auto"/>
            </w:tcBorders>
          </w:tcPr>
          <w:p w14:paraId="03A6B959" w14:textId="77777777" w:rsidR="00A978BC" w:rsidRPr="00CF1D2A" w:rsidRDefault="00A978BC" w:rsidP="009F0780">
            <w:pPr>
              <w:keepNext/>
              <w:keepLines/>
              <w:rPr>
                <w:b/>
                <w:i/>
                <w:color w:val="000000"/>
              </w:rPr>
            </w:pPr>
            <w:r w:rsidRPr="00CF1D2A">
              <w:rPr>
                <w:b/>
                <w:i/>
                <w:color w:val="000000"/>
              </w:rPr>
              <w:t>Études devant être réalisées par</w:t>
            </w:r>
            <w:r w:rsidRPr="00CF1D2A">
              <w:rPr>
                <w:b/>
                <w:iCs/>
                <w:color w:val="000000"/>
              </w:rPr>
              <w:t>:</w:t>
            </w:r>
          </w:p>
          <w:p w14:paraId="485158A3" w14:textId="2E212C01" w:rsidR="008F23F2" w:rsidRPr="00CF1D2A" w:rsidRDefault="00A978BC" w:rsidP="009F0780">
            <w:pPr>
              <w:keepNext/>
              <w:keepLines/>
              <w:spacing w:after="120"/>
              <w:rPr>
                <w:b/>
                <w:i/>
                <w:color w:val="000000"/>
              </w:rPr>
            </w:pPr>
            <w:r w:rsidRPr="00CF1D2A">
              <w:rPr>
                <w:color w:val="000000"/>
                <w:lang w:eastAsia="zh-CN"/>
              </w:rPr>
              <w:t>Commission d'études 5 de l'UIT-R (Groupe de travail 5D)</w:t>
            </w:r>
          </w:p>
        </w:tc>
        <w:tc>
          <w:tcPr>
            <w:tcW w:w="5168" w:type="dxa"/>
            <w:tcBorders>
              <w:top w:val="single" w:sz="4" w:space="0" w:color="auto"/>
              <w:left w:val="single" w:sz="4" w:space="0" w:color="auto"/>
              <w:bottom w:val="single" w:sz="4" w:space="0" w:color="auto"/>
              <w:right w:val="nil"/>
            </w:tcBorders>
          </w:tcPr>
          <w:p w14:paraId="7F6F7CF1" w14:textId="51129CAB" w:rsidR="00A978BC" w:rsidRPr="00CF1D2A" w:rsidRDefault="00A978BC" w:rsidP="009F0780">
            <w:pPr>
              <w:keepNext/>
              <w:keepLines/>
              <w:rPr>
                <w:b/>
                <w:iCs/>
                <w:color w:val="000000"/>
              </w:rPr>
            </w:pPr>
            <w:r w:rsidRPr="00CF1D2A">
              <w:rPr>
                <w:b/>
                <w:i/>
                <w:color w:val="000000"/>
              </w:rPr>
              <w:t>avec la participation de</w:t>
            </w:r>
            <w:r w:rsidRPr="00CF1D2A">
              <w:rPr>
                <w:b/>
                <w:iCs/>
                <w:color w:val="000000"/>
              </w:rPr>
              <w:t xml:space="preserve">: </w:t>
            </w:r>
            <w:r w:rsidRPr="00CF1D2A">
              <w:rPr>
                <w:bCs/>
                <w:iCs/>
              </w:rPr>
              <w:t>À déterminer</w:t>
            </w:r>
          </w:p>
        </w:tc>
      </w:tr>
      <w:tr w:rsidR="008F23F2" w:rsidRPr="00CF1D2A" w14:paraId="4A39E090" w14:textId="77777777" w:rsidTr="00BA061B">
        <w:trPr>
          <w:cantSplit/>
        </w:trPr>
        <w:tc>
          <w:tcPr>
            <w:tcW w:w="10065" w:type="dxa"/>
            <w:gridSpan w:val="2"/>
            <w:tcBorders>
              <w:top w:val="single" w:sz="4" w:space="0" w:color="auto"/>
              <w:left w:val="nil"/>
              <w:bottom w:val="single" w:sz="4" w:space="0" w:color="auto"/>
              <w:right w:val="nil"/>
            </w:tcBorders>
          </w:tcPr>
          <w:p w14:paraId="7D8F9111" w14:textId="77777777" w:rsidR="00DD2E03" w:rsidRPr="00CF1D2A" w:rsidRDefault="00DD2E03" w:rsidP="009F0780">
            <w:pPr>
              <w:keepNext/>
              <w:keepLines/>
              <w:spacing w:after="120"/>
              <w:rPr>
                <w:b/>
                <w:i/>
                <w:color w:val="000000"/>
              </w:rPr>
            </w:pPr>
            <w:r w:rsidRPr="00CF1D2A">
              <w:rPr>
                <w:b/>
                <w:i/>
                <w:color w:val="000000"/>
              </w:rPr>
              <w:t>Commissions d'études de l'UIT-R concernées</w:t>
            </w:r>
            <w:r w:rsidRPr="00CF1D2A">
              <w:rPr>
                <w:b/>
                <w:iCs/>
                <w:color w:val="000000"/>
              </w:rPr>
              <w:t>:</w:t>
            </w:r>
          </w:p>
          <w:p w14:paraId="5FB8A90A" w14:textId="07BD34E3" w:rsidR="008F23F2" w:rsidRPr="00CF1D2A" w:rsidRDefault="00DD2E03" w:rsidP="009F0780">
            <w:pPr>
              <w:keepNext/>
              <w:keepLines/>
              <w:spacing w:after="120"/>
              <w:rPr>
                <w:b/>
                <w:i/>
              </w:rPr>
            </w:pPr>
            <w:r w:rsidRPr="00CF1D2A">
              <w:rPr>
                <w:lang w:eastAsia="zh-CN"/>
              </w:rPr>
              <w:t>CE 4, CE 5</w:t>
            </w:r>
          </w:p>
        </w:tc>
      </w:tr>
      <w:tr w:rsidR="008F23F2" w:rsidRPr="00CF1D2A" w14:paraId="6C7A0838" w14:textId="77777777" w:rsidTr="00BA061B">
        <w:trPr>
          <w:cantSplit/>
        </w:trPr>
        <w:tc>
          <w:tcPr>
            <w:tcW w:w="10065" w:type="dxa"/>
            <w:gridSpan w:val="2"/>
            <w:tcBorders>
              <w:top w:val="single" w:sz="4" w:space="0" w:color="auto"/>
              <w:left w:val="nil"/>
              <w:bottom w:val="single" w:sz="4" w:space="0" w:color="auto"/>
              <w:right w:val="nil"/>
            </w:tcBorders>
          </w:tcPr>
          <w:p w14:paraId="1092D5A0" w14:textId="77777777" w:rsidR="00A978BC" w:rsidRPr="00CF1D2A" w:rsidRDefault="00A978BC" w:rsidP="009F0780">
            <w:pPr>
              <w:keepNext/>
              <w:keepLines/>
              <w:spacing w:after="120"/>
              <w:rPr>
                <w:b/>
                <w:i/>
              </w:rPr>
            </w:pPr>
            <w:r w:rsidRPr="00CF1D2A">
              <w:rPr>
                <w:b/>
                <w:i/>
              </w:rPr>
              <w:t>Répercussions au niveau des ressources de l'UIT, y compris incidences financières</w:t>
            </w:r>
            <w:r w:rsidRPr="00CF1D2A">
              <w:rPr>
                <w:b/>
                <w:i/>
              </w:rPr>
              <w:br/>
              <w:t>(voir le numéro 126 de la Convention)</w:t>
            </w:r>
            <w:r w:rsidRPr="00CF1D2A">
              <w:rPr>
                <w:b/>
                <w:iCs/>
              </w:rPr>
              <w:t>:</w:t>
            </w:r>
          </w:p>
          <w:p w14:paraId="3737A321" w14:textId="6C1A0E99" w:rsidR="008F23F2" w:rsidRPr="00CF1D2A" w:rsidRDefault="00A978BC" w:rsidP="009F0780">
            <w:pPr>
              <w:keepNext/>
              <w:keepLines/>
              <w:spacing w:after="120"/>
              <w:rPr>
                <w:b/>
                <w:i/>
              </w:rPr>
            </w:pPr>
            <w:r w:rsidRPr="00CF1D2A">
              <w:rPr>
                <w:bCs/>
                <w:iCs/>
              </w:rPr>
              <w:t>Aucune répercussion financière directe n'a été mise en évidence à ce jour.</w:t>
            </w:r>
          </w:p>
        </w:tc>
      </w:tr>
      <w:tr w:rsidR="00A978BC" w:rsidRPr="00CF1D2A" w14:paraId="255D5020" w14:textId="77777777" w:rsidTr="00BA061B">
        <w:trPr>
          <w:cantSplit/>
        </w:trPr>
        <w:tc>
          <w:tcPr>
            <w:tcW w:w="4897" w:type="dxa"/>
            <w:tcBorders>
              <w:top w:val="single" w:sz="4" w:space="0" w:color="auto"/>
              <w:left w:val="nil"/>
              <w:bottom w:val="single" w:sz="4" w:space="0" w:color="auto"/>
              <w:right w:val="nil"/>
            </w:tcBorders>
          </w:tcPr>
          <w:p w14:paraId="209A4761" w14:textId="2169A79B" w:rsidR="00A978BC" w:rsidRPr="00CF1D2A" w:rsidRDefault="00A978BC" w:rsidP="009F0780">
            <w:pPr>
              <w:keepNext/>
              <w:keepLines/>
              <w:spacing w:after="120"/>
              <w:rPr>
                <w:b/>
                <w:iCs/>
              </w:rPr>
            </w:pPr>
            <w:r w:rsidRPr="00CF1D2A">
              <w:rPr>
                <w:b/>
                <w:i/>
              </w:rPr>
              <w:t>Proposition régionale commune</w:t>
            </w:r>
            <w:r w:rsidRPr="00CF1D2A">
              <w:rPr>
                <w:bCs/>
                <w:iCs/>
              </w:rPr>
              <w:t>: À déterminer</w:t>
            </w:r>
          </w:p>
        </w:tc>
        <w:tc>
          <w:tcPr>
            <w:tcW w:w="5168" w:type="dxa"/>
            <w:tcBorders>
              <w:top w:val="single" w:sz="4" w:space="0" w:color="auto"/>
              <w:left w:val="nil"/>
              <w:bottom w:val="single" w:sz="4" w:space="0" w:color="auto"/>
              <w:right w:val="nil"/>
            </w:tcBorders>
          </w:tcPr>
          <w:p w14:paraId="39345B11" w14:textId="77777777" w:rsidR="00A978BC" w:rsidRPr="00CF1D2A" w:rsidRDefault="00A978BC" w:rsidP="009F0780">
            <w:pPr>
              <w:keepNext/>
              <w:keepLines/>
              <w:rPr>
                <w:b/>
                <w:iCs/>
              </w:rPr>
            </w:pPr>
            <w:r w:rsidRPr="00CF1D2A">
              <w:rPr>
                <w:b/>
                <w:i/>
              </w:rPr>
              <w:t>Proposition soumise par plusieurs pays</w:t>
            </w:r>
            <w:r w:rsidRPr="00CF1D2A">
              <w:rPr>
                <w:bCs/>
                <w:iCs/>
              </w:rPr>
              <w:t>: À déterminer</w:t>
            </w:r>
          </w:p>
          <w:p w14:paraId="78FD3814" w14:textId="289667AE" w:rsidR="00A978BC" w:rsidRPr="00CF1D2A" w:rsidRDefault="00A978BC" w:rsidP="009F0780">
            <w:pPr>
              <w:keepNext/>
              <w:keepLines/>
              <w:spacing w:after="120"/>
              <w:rPr>
                <w:b/>
                <w:i/>
              </w:rPr>
            </w:pPr>
            <w:r w:rsidRPr="00CF1D2A">
              <w:rPr>
                <w:b/>
                <w:i/>
              </w:rPr>
              <w:t>Nombre de pays</w:t>
            </w:r>
            <w:r w:rsidRPr="00CF1D2A">
              <w:rPr>
                <w:bCs/>
                <w:iCs/>
              </w:rPr>
              <w:t>: À déterminer</w:t>
            </w:r>
          </w:p>
        </w:tc>
      </w:tr>
      <w:tr w:rsidR="008F23F2" w:rsidRPr="00CF1D2A" w14:paraId="604D66F6" w14:textId="77777777" w:rsidTr="00BA061B">
        <w:trPr>
          <w:cantSplit/>
        </w:trPr>
        <w:tc>
          <w:tcPr>
            <w:tcW w:w="10065" w:type="dxa"/>
            <w:gridSpan w:val="2"/>
            <w:tcBorders>
              <w:top w:val="single" w:sz="4" w:space="0" w:color="auto"/>
              <w:left w:val="nil"/>
              <w:bottom w:val="nil"/>
              <w:right w:val="nil"/>
            </w:tcBorders>
          </w:tcPr>
          <w:p w14:paraId="1032F4AE" w14:textId="77777777" w:rsidR="008F23F2" w:rsidRPr="00CF1D2A" w:rsidRDefault="00A978BC" w:rsidP="009F0780">
            <w:pPr>
              <w:keepNext/>
              <w:keepLines/>
              <w:spacing w:after="120"/>
              <w:rPr>
                <w:b/>
                <w:i/>
              </w:rPr>
            </w:pPr>
            <w:r w:rsidRPr="00CF1D2A">
              <w:rPr>
                <w:b/>
                <w:i/>
              </w:rPr>
              <w:t>Observations</w:t>
            </w:r>
          </w:p>
          <w:p w14:paraId="794828AD" w14:textId="25FB6B4B" w:rsidR="005E35E8" w:rsidRPr="00CF1D2A" w:rsidRDefault="005E35E8" w:rsidP="009F0780">
            <w:pPr>
              <w:keepNext/>
              <w:keepLines/>
              <w:spacing w:after="120"/>
              <w:rPr>
                <w:b/>
                <w:i/>
              </w:rPr>
            </w:pPr>
          </w:p>
        </w:tc>
      </w:tr>
    </w:tbl>
    <w:p w14:paraId="782C2049" w14:textId="394FF33D" w:rsidR="009A5256" w:rsidRPr="00CF1D2A" w:rsidRDefault="008F23F2" w:rsidP="004A19EA">
      <w:pPr>
        <w:jc w:val="center"/>
      </w:pPr>
      <w:r w:rsidRPr="00CF1D2A">
        <w:t>______________</w:t>
      </w:r>
    </w:p>
    <w:sectPr w:rsidR="009A5256" w:rsidRPr="00CF1D2A">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13A8" w14:textId="77777777" w:rsidR="00CB685A" w:rsidRDefault="00CB685A">
      <w:r>
        <w:separator/>
      </w:r>
    </w:p>
  </w:endnote>
  <w:endnote w:type="continuationSeparator" w:id="0">
    <w:p w14:paraId="0E0978DD"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4902" w14:textId="79743985"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432B8F">
      <w:rPr>
        <w:noProof/>
      </w:rPr>
      <w:t>26.10.23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5CA8" w14:textId="6F67E14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C91BF9">
      <w:rPr>
        <w:lang w:val="en-US"/>
      </w:rPr>
      <w:t>P:\FRA\ITU-R\CONF-R\CMR23\000\062ADD27ADD07F.docx</w:t>
    </w:r>
    <w:r>
      <w:fldChar w:fldCharType="end"/>
    </w:r>
    <w:r w:rsidR="00C91BF9" w:rsidRPr="00432B8F">
      <w:rPr>
        <w:lang w:val="en-US"/>
      </w:rPr>
      <w:t xml:space="preserve"> </w:t>
    </w:r>
    <w:r w:rsidR="007E3EE0" w:rsidRPr="004A19EA">
      <w:rPr>
        <w:lang w:val="en-GB"/>
      </w:rPr>
      <w:t>(528998)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F6C7" w14:textId="380866AC" w:rsidR="00936D25" w:rsidRPr="004A19EA" w:rsidRDefault="007E3EE0" w:rsidP="007E3EE0">
    <w:pPr>
      <w:pStyle w:val="Footer"/>
      <w:rPr>
        <w:lang w:val="en-GB"/>
      </w:rPr>
    </w:pPr>
    <w:r>
      <w:fldChar w:fldCharType="begin"/>
    </w:r>
    <w:r>
      <w:rPr>
        <w:lang w:val="en-US"/>
      </w:rPr>
      <w:instrText xml:space="preserve"> FILENAME \p  \* MERGEFORMAT </w:instrText>
    </w:r>
    <w:r>
      <w:fldChar w:fldCharType="separate"/>
    </w:r>
    <w:r w:rsidR="00C91BF9">
      <w:rPr>
        <w:lang w:val="en-US"/>
      </w:rPr>
      <w:t>P:\FRA\ITU-R\CONF-R\CMR23\000\062ADD27ADD07F.docx</w:t>
    </w:r>
    <w:r>
      <w:fldChar w:fldCharType="end"/>
    </w:r>
    <w:r w:rsidR="00C91BF9" w:rsidRPr="00432B8F">
      <w:rPr>
        <w:lang w:val="en-US"/>
      </w:rPr>
      <w:t xml:space="preserve"> </w:t>
    </w:r>
    <w:r w:rsidRPr="004A19EA">
      <w:rPr>
        <w:lang w:val="en-GB"/>
      </w:rPr>
      <w:t>(528998)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A933" w14:textId="77777777" w:rsidR="00CB685A" w:rsidRDefault="00CB685A">
      <w:r>
        <w:rPr>
          <w:b/>
        </w:rPr>
        <w:t>_______________</w:t>
      </w:r>
    </w:p>
  </w:footnote>
  <w:footnote w:type="continuationSeparator" w:id="0">
    <w:p w14:paraId="4F926D7E"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E1CD" w14:textId="3E1FB6FE" w:rsidR="004F1F8E" w:rsidRDefault="004F1F8E" w:rsidP="004F1F8E">
    <w:pPr>
      <w:pStyle w:val="Header"/>
    </w:pPr>
    <w:r>
      <w:fldChar w:fldCharType="begin"/>
    </w:r>
    <w:r>
      <w:instrText xml:space="preserve"> PAGE </w:instrText>
    </w:r>
    <w:r>
      <w:fldChar w:fldCharType="separate"/>
    </w:r>
    <w:r w:rsidR="00814491">
      <w:rPr>
        <w:noProof/>
      </w:rPr>
      <w:t>2</w:t>
    </w:r>
    <w:r>
      <w:fldChar w:fldCharType="end"/>
    </w:r>
  </w:p>
  <w:p w14:paraId="0D3F6665" w14:textId="77777777" w:rsidR="004F1F8E" w:rsidRDefault="00225CF2" w:rsidP="00FD7AA3">
    <w:pPr>
      <w:pStyle w:val="Header"/>
    </w:pPr>
    <w:r>
      <w:t>WRC</w:t>
    </w:r>
    <w:r w:rsidR="00D3426F">
      <w:t>23</w:t>
    </w:r>
    <w:r w:rsidR="004F1F8E">
      <w:t>/</w:t>
    </w:r>
    <w:r w:rsidR="006A4B45">
      <w:t>62(Add.27)(Add.7)-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8D3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28C1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8CFC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28CE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DCA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9E4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A82F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40F1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D05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6297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892231945">
    <w:abstractNumId w:val="8"/>
  </w:num>
  <w:num w:numId="2" w16cid:durableId="178049293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54445001">
    <w:abstractNumId w:val="9"/>
  </w:num>
  <w:num w:numId="4" w16cid:durableId="556086596">
    <w:abstractNumId w:val="7"/>
  </w:num>
  <w:num w:numId="5" w16cid:durableId="440879645">
    <w:abstractNumId w:val="6"/>
  </w:num>
  <w:num w:numId="6" w16cid:durableId="1737195409">
    <w:abstractNumId w:val="5"/>
  </w:num>
  <w:num w:numId="7" w16cid:durableId="1706364324">
    <w:abstractNumId w:val="4"/>
  </w:num>
  <w:num w:numId="8" w16cid:durableId="706833073">
    <w:abstractNumId w:val="8"/>
  </w:num>
  <w:num w:numId="9" w16cid:durableId="1047947718">
    <w:abstractNumId w:val="3"/>
  </w:num>
  <w:num w:numId="10" w16cid:durableId="1111785395">
    <w:abstractNumId w:val="2"/>
  </w:num>
  <w:num w:numId="11" w16cid:durableId="1999923633">
    <w:abstractNumId w:val="1"/>
  </w:num>
  <w:num w:numId="12" w16cid:durableId="474643159">
    <w:abstractNumId w:val="0"/>
  </w:num>
  <w:num w:numId="13" w16cid:durableId="692725197">
    <w:abstractNumId w:val="9"/>
  </w:num>
  <w:num w:numId="14" w16cid:durableId="505873680">
    <w:abstractNumId w:val="7"/>
  </w:num>
  <w:num w:numId="15" w16cid:durableId="427115785">
    <w:abstractNumId w:val="6"/>
  </w:num>
  <w:num w:numId="16" w16cid:durableId="1039817768">
    <w:abstractNumId w:val="5"/>
  </w:num>
  <w:num w:numId="17" w16cid:durableId="247665552">
    <w:abstractNumId w:val="4"/>
  </w:num>
  <w:num w:numId="18" w16cid:durableId="736635656">
    <w:abstractNumId w:val="8"/>
  </w:num>
  <w:num w:numId="19" w16cid:durableId="752044202">
    <w:abstractNumId w:val="3"/>
  </w:num>
  <w:num w:numId="20" w16cid:durableId="44915410">
    <w:abstractNumId w:val="2"/>
  </w:num>
  <w:num w:numId="21" w16cid:durableId="188882971">
    <w:abstractNumId w:val="1"/>
  </w:num>
  <w:num w:numId="22" w16cid:durableId="56499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B4E"/>
    <w:rsid w:val="00007EC7"/>
    <w:rsid w:val="00010B43"/>
    <w:rsid w:val="00016648"/>
    <w:rsid w:val="0003522F"/>
    <w:rsid w:val="00063A1F"/>
    <w:rsid w:val="00080E2C"/>
    <w:rsid w:val="00081366"/>
    <w:rsid w:val="000863B3"/>
    <w:rsid w:val="000A4755"/>
    <w:rsid w:val="000A55AE"/>
    <w:rsid w:val="000B2E0C"/>
    <w:rsid w:val="000B3D0C"/>
    <w:rsid w:val="001167B9"/>
    <w:rsid w:val="0012059E"/>
    <w:rsid w:val="001267A0"/>
    <w:rsid w:val="001430A4"/>
    <w:rsid w:val="0015203F"/>
    <w:rsid w:val="00160C64"/>
    <w:rsid w:val="0018169B"/>
    <w:rsid w:val="0019352B"/>
    <w:rsid w:val="001960D0"/>
    <w:rsid w:val="001A11F6"/>
    <w:rsid w:val="001C5560"/>
    <w:rsid w:val="001F17E8"/>
    <w:rsid w:val="00204306"/>
    <w:rsid w:val="00225CF2"/>
    <w:rsid w:val="00232FD2"/>
    <w:rsid w:val="0026554E"/>
    <w:rsid w:val="002A4622"/>
    <w:rsid w:val="002A6F8F"/>
    <w:rsid w:val="002B17E5"/>
    <w:rsid w:val="002C0EBF"/>
    <w:rsid w:val="002C28A4"/>
    <w:rsid w:val="002D7E0A"/>
    <w:rsid w:val="00315AFE"/>
    <w:rsid w:val="00335271"/>
    <w:rsid w:val="003411F6"/>
    <w:rsid w:val="00347A31"/>
    <w:rsid w:val="003606A6"/>
    <w:rsid w:val="0036650C"/>
    <w:rsid w:val="00393ACD"/>
    <w:rsid w:val="003A583E"/>
    <w:rsid w:val="003E112B"/>
    <w:rsid w:val="003E1D1C"/>
    <w:rsid w:val="003E7B05"/>
    <w:rsid w:val="003F3719"/>
    <w:rsid w:val="003F6F2D"/>
    <w:rsid w:val="00432B8F"/>
    <w:rsid w:val="004464AB"/>
    <w:rsid w:val="00466211"/>
    <w:rsid w:val="00483196"/>
    <w:rsid w:val="004834A9"/>
    <w:rsid w:val="004A19EA"/>
    <w:rsid w:val="004D01FC"/>
    <w:rsid w:val="004E28C3"/>
    <w:rsid w:val="004F1F8E"/>
    <w:rsid w:val="00502AB7"/>
    <w:rsid w:val="00512A32"/>
    <w:rsid w:val="005343DA"/>
    <w:rsid w:val="00560874"/>
    <w:rsid w:val="00586CF2"/>
    <w:rsid w:val="005A7C75"/>
    <w:rsid w:val="005B0EDE"/>
    <w:rsid w:val="005C3768"/>
    <w:rsid w:val="005C6C3F"/>
    <w:rsid w:val="005E35E8"/>
    <w:rsid w:val="00613635"/>
    <w:rsid w:val="0062093D"/>
    <w:rsid w:val="00637ECF"/>
    <w:rsid w:val="00647B59"/>
    <w:rsid w:val="00690C7B"/>
    <w:rsid w:val="006A4B45"/>
    <w:rsid w:val="006D4724"/>
    <w:rsid w:val="006E5F97"/>
    <w:rsid w:val="006F5FA2"/>
    <w:rsid w:val="0070076C"/>
    <w:rsid w:val="00701BAE"/>
    <w:rsid w:val="00721F04"/>
    <w:rsid w:val="00725E1A"/>
    <w:rsid w:val="00730E95"/>
    <w:rsid w:val="007426B9"/>
    <w:rsid w:val="00764342"/>
    <w:rsid w:val="00774362"/>
    <w:rsid w:val="00786598"/>
    <w:rsid w:val="00790C74"/>
    <w:rsid w:val="007A04E8"/>
    <w:rsid w:val="007B2C34"/>
    <w:rsid w:val="007E3EE0"/>
    <w:rsid w:val="007F282B"/>
    <w:rsid w:val="00814491"/>
    <w:rsid w:val="00830086"/>
    <w:rsid w:val="00851625"/>
    <w:rsid w:val="00863C0A"/>
    <w:rsid w:val="008A3120"/>
    <w:rsid w:val="008A4B97"/>
    <w:rsid w:val="008C134F"/>
    <w:rsid w:val="008C5B8E"/>
    <w:rsid w:val="008C5DD5"/>
    <w:rsid w:val="008C7123"/>
    <w:rsid w:val="008D41BE"/>
    <w:rsid w:val="008D58D3"/>
    <w:rsid w:val="008E3BC9"/>
    <w:rsid w:val="008F23F2"/>
    <w:rsid w:val="00923064"/>
    <w:rsid w:val="00930FFD"/>
    <w:rsid w:val="00936D25"/>
    <w:rsid w:val="00941EA5"/>
    <w:rsid w:val="00946F32"/>
    <w:rsid w:val="00964700"/>
    <w:rsid w:val="00966C16"/>
    <w:rsid w:val="0098732F"/>
    <w:rsid w:val="009A045F"/>
    <w:rsid w:val="009A5256"/>
    <w:rsid w:val="009A6A2B"/>
    <w:rsid w:val="009C7E7C"/>
    <w:rsid w:val="009F0780"/>
    <w:rsid w:val="00A00473"/>
    <w:rsid w:val="00A03C9B"/>
    <w:rsid w:val="00A249C0"/>
    <w:rsid w:val="00A37105"/>
    <w:rsid w:val="00A464A6"/>
    <w:rsid w:val="00A57DDA"/>
    <w:rsid w:val="00A606C3"/>
    <w:rsid w:val="00A81B50"/>
    <w:rsid w:val="00A83B09"/>
    <w:rsid w:val="00A84541"/>
    <w:rsid w:val="00A978BC"/>
    <w:rsid w:val="00AE36A0"/>
    <w:rsid w:val="00B00294"/>
    <w:rsid w:val="00B3749C"/>
    <w:rsid w:val="00B64FD0"/>
    <w:rsid w:val="00B701DA"/>
    <w:rsid w:val="00BA5BD0"/>
    <w:rsid w:val="00BB1D82"/>
    <w:rsid w:val="00BC217E"/>
    <w:rsid w:val="00BD51C5"/>
    <w:rsid w:val="00BF26E7"/>
    <w:rsid w:val="00C1305F"/>
    <w:rsid w:val="00C16DA4"/>
    <w:rsid w:val="00C53FCA"/>
    <w:rsid w:val="00C71DEB"/>
    <w:rsid w:val="00C76BAF"/>
    <w:rsid w:val="00C814B9"/>
    <w:rsid w:val="00C91BF9"/>
    <w:rsid w:val="00CB685A"/>
    <w:rsid w:val="00CD516F"/>
    <w:rsid w:val="00CF1D2A"/>
    <w:rsid w:val="00D119A7"/>
    <w:rsid w:val="00D25FBA"/>
    <w:rsid w:val="00D32B28"/>
    <w:rsid w:val="00D3426F"/>
    <w:rsid w:val="00D42954"/>
    <w:rsid w:val="00D66EAC"/>
    <w:rsid w:val="00D730DF"/>
    <w:rsid w:val="00D772F0"/>
    <w:rsid w:val="00D77BDC"/>
    <w:rsid w:val="00DC402B"/>
    <w:rsid w:val="00DD2E03"/>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B76BA"/>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3FF415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locked/>
    <w:rsid w:val="00725E1A"/>
    <w:rPr>
      <w:rFonts w:ascii="Times New Roman" w:hAnsi="Times New Roman"/>
      <w:i/>
      <w:sz w:val="24"/>
      <w:lang w:val="fr-FR" w:eastAsia="en-US"/>
    </w:rPr>
  </w:style>
  <w:style w:type="paragraph" w:styleId="Revision">
    <w:name w:val="Revision"/>
    <w:hidden/>
    <w:uiPriority w:val="99"/>
    <w:semiHidden/>
    <w:rsid w:val="00A249C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632944">
      <w:bodyDiv w:val="1"/>
      <w:marLeft w:val="60"/>
      <w:marRight w:val="60"/>
      <w:marTop w:val="60"/>
      <w:marBottom w:val="60"/>
      <w:divBdr>
        <w:top w:val="none" w:sz="0" w:space="0" w:color="auto"/>
        <w:left w:val="none" w:sz="0" w:space="0" w:color="auto"/>
        <w:bottom w:val="none" w:sz="0" w:space="0" w:color="auto"/>
        <w:right w:val="none" w:sz="0" w:space="0" w:color="auto"/>
      </w:divBdr>
      <w:divsChild>
        <w:div w:id="751514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E76764-15C7-4CED-9BF7-800CEAC5E2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505DEE01-854E-4BAA-A2C7-60EA353580DA}">
  <ds:schemaRefs>
    <ds:schemaRef ds:uri="http://schemas.openxmlformats.org/officeDocument/2006/bibliography"/>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6BE1C162-B68F-4D47-9623-8B0D25D50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C05DFB-9CBE-4AF2-9DBA-757DA4A8F0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1181</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R23-WRC23-C-0062!A27-A7!MSW-F</vt:lpstr>
    </vt:vector>
  </TitlesOfParts>
  <Manager>Secrétariat général - Pool</Manager>
  <Company>Union internationale des télécommunications (UIT)</Company>
  <LinksUpToDate>false</LinksUpToDate>
  <CharactersWithSpaces>8004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R23-WRC23-C-0062!A27-A7!MSW-F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2023-10-26T08:53:00Z</dcterms:created>
  <dcterms:modified xsi:type="dcterms:W3CDTF">2023-10-27T09:54:00Z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