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169"/>
        <w:gridCol w:w="1951"/>
      </w:tblGrid>
      <w:tr w:rsidR="00F320AA" w:rsidRPr="009D4CEA" w14:paraId="47B0484C" w14:textId="77777777" w:rsidTr="00F320AA">
        <w:trPr>
          <w:cantSplit/>
        </w:trPr>
        <w:tc>
          <w:tcPr>
            <w:tcW w:w="1418" w:type="dxa"/>
            <w:vAlign w:val="center"/>
          </w:tcPr>
          <w:p w14:paraId="28A757D4" w14:textId="77777777" w:rsidR="00F320AA" w:rsidRPr="009D4CEA" w:rsidRDefault="00F320AA" w:rsidP="00F320AA">
            <w:pPr>
              <w:spacing w:before="0"/>
              <w:rPr>
                <w:rFonts w:ascii="Verdana" w:hAnsi="Verdana"/>
                <w:position w:val="6"/>
              </w:rPr>
            </w:pPr>
            <w:r w:rsidRPr="009D4CEA">
              <w:drawing>
                <wp:inline distT="0" distB="0" distL="0" distR="0" wp14:anchorId="329BC1C2" wp14:editId="1C64F6E3">
                  <wp:extent cx="712470" cy="785495"/>
                  <wp:effectExtent l="0" t="0" r="0" b="0"/>
                  <wp:docPr id="4" name="Picture 4"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662" w:type="dxa"/>
            <w:gridSpan w:val="2"/>
          </w:tcPr>
          <w:p w14:paraId="36E12866" w14:textId="77777777" w:rsidR="00F320AA" w:rsidRPr="009D4CEA" w:rsidRDefault="00F320AA" w:rsidP="00F320AA">
            <w:pPr>
              <w:spacing w:before="400" w:after="48" w:line="240" w:lineRule="atLeast"/>
              <w:rPr>
                <w:rFonts w:ascii="Verdana" w:hAnsi="Verdana"/>
                <w:position w:val="6"/>
              </w:rPr>
            </w:pPr>
            <w:r w:rsidRPr="009D4CEA">
              <w:rPr>
                <w:rFonts w:ascii="Verdana" w:hAnsi="Verdana" w:cs="Times"/>
                <w:b/>
                <w:position w:val="6"/>
                <w:sz w:val="22"/>
                <w:szCs w:val="22"/>
              </w:rPr>
              <w:t>World Radiocommunication Conference (WRC-23)</w:t>
            </w:r>
            <w:r w:rsidRPr="009D4CEA">
              <w:rPr>
                <w:rFonts w:ascii="Verdana" w:hAnsi="Verdana" w:cs="Times"/>
                <w:b/>
                <w:position w:val="6"/>
                <w:sz w:val="26"/>
                <w:szCs w:val="26"/>
              </w:rPr>
              <w:br/>
            </w:r>
            <w:r w:rsidRPr="009D4CEA">
              <w:rPr>
                <w:rFonts w:ascii="Verdana" w:hAnsi="Verdana"/>
                <w:b/>
                <w:bCs/>
                <w:position w:val="6"/>
                <w:sz w:val="18"/>
                <w:szCs w:val="18"/>
              </w:rPr>
              <w:t>Dubai, 20 November - 15 December 2023</w:t>
            </w:r>
          </w:p>
        </w:tc>
        <w:tc>
          <w:tcPr>
            <w:tcW w:w="1951" w:type="dxa"/>
            <w:vAlign w:val="center"/>
          </w:tcPr>
          <w:p w14:paraId="76D7965C" w14:textId="77777777" w:rsidR="00F320AA" w:rsidRPr="009D4CEA" w:rsidRDefault="00EB0812" w:rsidP="00F320AA">
            <w:pPr>
              <w:spacing w:before="0" w:line="240" w:lineRule="atLeast"/>
            </w:pPr>
            <w:r w:rsidRPr="009D4CEA">
              <w:drawing>
                <wp:inline distT="0" distB="0" distL="0" distR="0" wp14:anchorId="686019E9" wp14:editId="49CEE95E">
                  <wp:extent cx="1007778" cy="1007778"/>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14481" cy="1014481"/>
                          </a:xfrm>
                          <a:prstGeom prst="rect">
                            <a:avLst/>
                          </a:prstGeom>
                          <a:noFill/>
                          <a:ln>
                            <a:noFill/>
                          </a:ln>
                        </pic:spPr>
                      </pic:pic>
                    </a:graphicData>
                  </a:graphic>
                </wp:inline>
              </w:drawing>
            </w:r>
          </w:p>
        </w:tc>
      </w:tr>
      <w:tr w:rsidR="00A066F1" w:rsidRPr="009D4CEA" w14:paraId="1B22738D" w14:textId="77777777">
        <w:trPr>
          <w:cantSplit/>
        </w:trPr>
        <w:tc>
          <w:tcPr>
            <w:tcW w:w="6911" w:type="dxa"/>
            <w:gridSpan w:val="2"/>
            <w:tcBorders>
              <w:bottom w:val="single" w:sz="12" w:space="0" w:color="auto"/>
            </w:tcBorders>
          </w:tcPr>
          <w:p w14:paraId="50D275A2" w14:textId="77777777" w:rsidR="00A066F1" w:rsidRPr="009D4CEA" w:rsidRDefault="00A066F1" w:rsidP="00A066F1">
            <w:pPr>
              <w:spacing w:before="0" w:after="48" w:line="240" w:lineRule="atLeast"/>
              <w:rPr>
                <w:rFonts w:ascii="Verdana" w:hAnsi="Verdana"/>
                <w:b/>
                <w:smallCaps/>
                <w:sz w:val="20"/>
              </w:rPr>
            </w:pPr>
            <w:bookmarkStart w:id="0" w:name="dhead"/>
          </w:p>
        </w:tc>
        <w:tc>
          <w:tcPr>
            <w:tcW w:w="3120" w:type="dxa"/>
            <w:gridSpan w:val="2"/>
            <w:tcBorders>
              <w:bottom w:val="single" w:sz="12" w:space="0" w:color="auto"/>
            </w:tcBorders>
          </w:tcPr>
          <w:p w14:paraId="34F7A284" w14:textId="77777777" w:rsidR="00A066F1" w:rsidRPr="009D4CEA" w:rsidRDefault="00A066F1" w:rsidP="00A066F1">
            <w:pPr>
              <w:spacing w:before="0" w:line="240" w:lineRule="atLeast"/>
              <w:rPr>
                <w:rFonts w:ascii="Verdana" w:hAnsi="Verdana"/>
                <w:szCs w:val="24"/>
              </w:rPr>
            </w:pPr>
          </w:p>
        </w:tc>
      </w:tr>
      <w:tr w:rsidR="00A066F1" w:rsidRPr="009D4CEA" w14:paraId="7016C842" w14:textId="77777777">
        <w:trPr>
          <w:cantSplit/>
        </w:trPr>
        <w:tc>
          <w:tcPr>
            <w:tcW w:w="6911" w:type="dxa"/>
            <w:gridSpan w:val="2"/>
            <w:tcBorders>
              <w:top w:val="single" w:sz="12" w:space="0" w:color="auto"/>
            </w:tcBorders>
          </w:tcPr>
          <w:p w14:paraId="13B7BAA6" w14:textId="77777777" w:rsidR="00A066F1" w:rsidRPr="009D4CEA" w:rsidRDefault="00A066F1" w:rsidP="00A066F1">
            <w:pPr>
              <w:spacing w:before="0" w:after="48" w:line="240" w:lineRule="atLeast"/>
              <w:rPr>
                <w:rFonts w:ascii="Verdana" w:hAnsi="Verdana"/>
                <w:b/>
                <w:smallCaps/>
                <w:sz w:val="20"/>
              </w:rPr>
            </w:pPr>
          </w:p>
        </w:tc>
        <w:tc>
          <w:tcPr>
            <w:tcW w:w="3120" w:type="dxa"/>
            <w:gridSpan w:val="2"/>
            <w:tcBorders>
              <w:top w:val="single" w:sz="12" w:space="0" w:color="auto"/>
            </w:tcBorders>
          </w:tcPr>
          <w:p w14:paraId="0A801E4B" w14:textId="77777777" w:rsidR="00A066F1" w:rsidRPr="009D4CEA" w:rsidRDefault="00A066F1" w:rsidP="00A066F1">
            <w:pPr>
              <w:spacing w:before="0" w:line="240" w:lineRule="atLeast"/>
              <w:rPr>
                <w:rFonts w:ascii="Verdana" w:hAnsi="Verdana"/>
                <w:sz w:val="20"/>
              </w:rPr>
            </w:pPr>
          </w:p>
        </w:tc>
      </w:tr>
      <w:tr w:rsidR="00A066F1" w:rsidRPr="009D4CEA" w14:paraId="08555DF4" w14:textId="77777777">
        <w:trPr>
          <w:cantSplit/>
          <w:trHeight w:val="23"/>
        </w:trPr>
        <w:tc>
          <w:tcPr>
            <w:tcW w:w="6911" w:type="dxa"/>
            <w:gridSpan w:val="2"/>
            <w:shd w:val="clear" w:color="auto" w:fill="auto"/>
          </w:tcPr>
          <w:p w14:paraId="350D81D7" w14:textId="77777777" w:rsidR="00A066F1" w:rsidRPr="009D4CEA" w:rsidRDefault="00FF5EA8" w:rsidP="004D2BFB">
            <w:pPr>
              <w:pStyle w:val="Committee"/>
              <w:framePr w:hSpace="0" w:wrap="auto" w:hAnchor="text" w:yAlign="inline"/>
              <w:rPr>
                <w:rFonts w:ascii="Verdana" w:hAnsi="Verdana"/>
                <w:sz w:val="20"/>
                <w:szCs w:val="20"/>
              </w:rPr>
            </w:pPr>
            <w:bookmarkStart w:id="1" w:name="dnum" w:colFirst="1" w:colLast="1"/>
            <w:bookmarkStart w:id="2" w:name="dmeeting" w:colFirst="0" w:colLast="0"/>
            <w:bookmarkEnd w:id="0"/>
            <w:r w:rsidRPr="009D4CEA">
              <w:rPr>
                <w:rFonts w:ascii="Verdana" w:hAnsi="Verdana"/>
                <w:sz w:val="20"/>
                <w:szCs w:val="20"/>
              </w:rPr>
              <w:t>PLENARY MEETING</w:t>
            </w:r>
          </w:p>
        </w:tc>
        <w:tc>
          <w:tcPr>
            <w:tcW w:w="3120" w:type="dxa"/>
            <w:gridSpan w:val="2"/>
          </w:tcPr>
          <w:p w14:paraId="623AE44E" w14:textId="77777777" w:rsidR="00A066F1" w:rsidRPr="009D4CEA" w:rsidRDefault="00E55816" w:rsidP="00AA666F">
            <w:pPr>
              <w:tabs>
                <w:tab w:val="left" w:pos="851"/>
              </w:tabs>
              <w:spacing w:before="0" w:line="240" w:lineRule="atLeast"/>
              <w:rPr>
                <w:rFonts w:ascii="Verdana" w:hAnsi="Verdana"/>
                <w:sz w:val="20"/>
              </w:rPr>
            </w:pPr>
            <w:r w:rsidRPr="009D4CEA">
              <w:rPr>
                <w:rFonts w:ascii="Verdana" w:hAnsi="Verdana"/>
                <w:b/>
                <w:sz w:val="20"/>
              </w:rPr>
              <w:t>Addendum 7 to</w:t>
            </w:r>
            <w:r w:rsidRPr="009D4CEA">
              <w:rPr>
                <w:rFonts w:ascii="Verdana" w:hAnsi="Verdana"/>
                <w:b/>
                <w:sz w:val="20"/>
              </w:rPr>
              <w:br/>
              <w:t>Document 62(Add.27)</w:t>
            </w:r>
            <w:r w:rsidR="00A066F1" w:rsidRPr="009D4CEA">
              <w:rPr>
                <w:rFonts w:ascii="Verdana" w:hAnsi="Verdana"/>
                <w:b/>
                <w:sz w:val="20"/>
              </w:rPr>
              <w:t>-</w:t>
            </w:r>
            <w:r w:rsidR="005E10C9" w:rsidRPr="009D4CEA">
              <w:rPr>
                <w:rFonts w:ascii="Verdana" w:hAnsi="Verdana"/>
                <w:b/>
                <w:sz w:val="20"/>
              </w:rPr>
              <w:t>E</w:t>
            </w:r>
          </w:p>
        </w:tc>
      </w:tr>
      <w:tr w:rsidR="00A066F1" w:rsidRPr="009D4CEA" w14:paraId="629D49DE" w14:textId="77777777">
        <w:trPr>
          <w:cantSplit/>
          <w:trHeight w:val="23"/>
        </w:trPr>
        <w:tc>
          <w:tcPr>
            <w:tcW w:w="6911" w:type="dxa"/>
            <w:gridSpan w:val="2"/>
            <w:shd w:val="clear" w:color="auto" w:fill="auto"/>
          </w:tcPr>
          <w:p w14:paraId="4E021668" w14:textId="77777777" w:rsidR="00A066F1" w:rsidRPr="009D4CEA" w:rsidRDefault="00A066F1" w:rsidP="00A066F1">
            <w:pPr>
              <w:tabs>
                <w:tab w:val="left" w:pos="851"/>
              </w:tabs>
              <w:spacing w:before="0" w:line="240" w:lineRule="atLeast"/>
              <w:rPr>
                <w:rFonts w:ascii="Verdana" w:hAnsi="Verdana"/>
                <w:b/>
                <w:sz w:val="20"/>
              </w:rPr>
            </w:pPr>
            <w:bookmarkStart w:id="3" w:name="ddate" w:colFirst="1" w:colLast="1"/>
            <w:bookmarkStart w:id="4" w:name="dblank" w:colFirst="0" w:colLast="0"/>
            <w:bookmarkEnd w:id="1"/>
            <w:bookmarkEnd w:id="2"/>
          </w:p>
        </w:tc>
        <w:tc>
          <w:tcPr>
            <w:tcW w:w="3120" w:type="dxa"/>
            <w:gridSpan w:val="2"/>
          </w:tcPr>
          <w:p w14:paraId="41227989" w14:textId="77777777" w:rsidR="00A066F1" w:rsidRPr="009D4CEA" w:rsidRDefault="00420873" w:rsidP="00A066F1">
            <w:pPr>
              <w:tabs>
                <w:tab w:val="left" w:pos="993"/>
              </w:tabs>
              <w:spacing w:before="0"/>
              <w:rPr>
                <w:rFonts w:ascii="Verdana" w:hAnsi="Verdana"/>
                <w:sz w:val="20"/>
              </w:rPr>
            </w:pPr>
            <w:r w:rsidRPr="009D4CEA">
              <w:rPr>
                <w:rFonts w:ascii="Verdana" w:hAnsi="Verdana"/>
                <w:b/>
                <w:sz w:val="20"/>
              </w:rPr>
              <w:t>26 September 2023</w:t>
            </w:r>
          </w:p>
        </w:tc>
      </w:tr>
      <w:tr w:rsidR="00A066F1" w:rsidRPr="009D4CEA" w14:paraId="30D08A2E" w14:textId="77777777">
        <w:trPr>
          <w:cantSplit/>
          <w:trHeight w:val="23"/>
        </w:trPr>
        <w:tc>
          <w:tcPr>
            <w:tcW w:w="6911" w:type="dxa"/>
            <w:gridSpan w:val="2"/>
            <w:shd w:val="clear" w:color="auto" w:fill="auto"/>
          </w:tcPr>
          <w:p w14:paraId="4727C654" w14:textId="77777777" w:rsidR="00A066F1" w:rsidRPr="009D4CEA" w:rsidRDefault="00A066F1" w:rsidP="00A066F1">
            <w:pPr>
              <w:tabs>
                <w:tab w:val="left" w:pos="851"/>
              </w:tabs>
              <w:spacing w:before="0" w:line="240" w:lineRule="atLeast"/>
              <w:rPr>
                <w:rFonts w:ascii="Verdana" w:hAnsi="Verdana"/>
                <w:sz w:val="20"/>
              </w:rPr>
            </w:pPr>
            <w:bookmarkStart w:id="5" w:name="dbluepink" w:colFirst="0" w:colLast="0"/>
            <w:bookmarkStart w:id="6" w:name="dorlang" w:colFirst="1" w:colLast="1"/>
            <w:bookmarkEnd w:id="3"/>
            <w:bookmarkEnd w:id="4"/>
          </w:p>
        </w:tc>
        <w:tc>
          <w:tcPr>
            <w:tcW w:w="3120" w:type="dxa"/>
            <w:gridSpan w:val="2"/>
          </w:tcPr>
          <w:p w14:paraId="5BF067F2" w14:textId="77777777" w:rsidR="00A066F1" w:rsidRPr="009D4CEA" w:rsidRDefault="00E55816" w:rsidP="00A066F1">
            <w:pPr>
              <w:tabs>
                <w:tab w:val="left" w:pos="993"/>
              </w:tabs>
              <w:spacing w:before="0"/>
              <w:rPr>
                <w:rFonts w:ascii="Verdana" w:hAnsi="Verdana"/>
                <w:b/>
                <w:sz w:val="20"/>
              </w:rPr>
            </w:pPr>
            <w:r w:rsidRPr="009D4CEA">
              <w:rPr>
                <w:rFonts w:ascii="Verdana" w:hAnsi="Verdana"/>
                <w:b/>
                <w:sz w:val="20"/>
              </w:rPr>
              <w:t>Original: English</w:t>
            </w:r>
          </w:p>
        </w:tc>
      </w:tr>
      <w:tr w:rsidR="00A066F1" w:rsidRPr="009D4CEA" w14:paraId="1ABF4556" w14:textId="77777777" w:rsidTr="00025864">
        <w:trPr>
          <w:cantSplit/>
          <w:trHeight w:val="23"/>
        </w:trPr>
        <w:tc>
          <w:tcPr>
            <w:tcW w:w="10031" w:type="dxa"/>
            <w:gridSpan w:val="4"/>
            <w:shd w:val="clear" w:color="auto" w:fill="auto"/>
          </w:tcPr>
          <w:p w14:paraId="4B51C354" w14:textId="77777777" w:rsidR="00A066F1" w:rsidRPr="009D4CEA" w:rsidRDefault="00A066F1" w:rsidP="00A066F1">
            <w:pPr>
              <w:tabs>
                <w:tab w:val="left" w:pos="993"/>
              </w:tabs>
              <w:spacing w:before="0"/>
              <w:rPr>
                <w:rFonts w:ascii="Verdana" w:hAnsi="Verdana"/>
                <w:b/>
                <w:sz w:val="20"/>
              </w:rPr>
            </w:pPr>
          </w:p>
        </w:tc>
      </w:tr>
      <w:tr w:rsidR="00E55816" w:rsidRPr="009D4CEA" w14:paraId="70299746" w14:textId="77777777" w:rsidTr="00025864">
        <w:trPr>
          <w:cantSplit/>
          <w:trHeight w:val="23"/>
        </w:trPr>
        <w:tc>
          <w:tcPr>
            <w:tcW w:w="10031" w:type="dxa"/>
            <w:gridSpan w:val="4"/>
            <w:shd w:val="clear" w:color="auto" w:fill="auto"/>
          </w:tcPr>
          <w:p w14:paraId="36D3A339" w14:textId="1A4BE47A" w:rsidR="00E55816" w:rsidRPr="009D4CEA" w:rsidRDefault="00884D60" w:rsidP="00E55816">
            <w:pPr>
              <w:pStyle w:val="Source"/>
            </w:pPr>
            <w:r w:rsidRPr="009D4CEA">
              <w:t>Asia-Pacific Telecommunity Common Proposals</w:t>
            </w:r>
          </w:p>
        </w:tc>
      </w:tr>
      <w:tr w:rsidR="00E55816" w:rsidRPr="009D4CEA" w14:paraId="5A1C761A" w14:textId="77777777" w:rsidTr="00025864">
        <w:trPr>
          <w:cantSplit/>
          <w:trHeight w:val="23"/>
        </w:trPr>
        <w:tc>
          <w:tcPr>
            <w:tcW w:w="10031" w:type="dxa"/>
            <w:gridSpan w:val="4"/>
            <w:shd w:val="clear" w:color="auto" w:fill="auto"/>
          </w:tcPr>
          <w:p w14:paraId="069D42E8" w14:textId="77777777" w:rsidR="00E55816" w:rsidRPr="009D4CEA" w:rsidRDefault="007D5320" w:rsidP="00E55816">
            <w:pPr>
              <w:pStyle w:val="Title1"/>
            </w:pPr>
            <w:r w:rsidRPr="009D4CEA">
              <w:t>PROPOSALS FOR THE WORK OF THE CONFERENCE</w:t>
            </w:r>
          </w:p>
        </w:tc>
      </w:tr>
      <w:tr w:rsidR="00E55816" w:rsidRPr="009D4CEA" w14:paraId="3BD815DA" w14:textId="77777777" w:rsidTr="00025864">
        <w:trPr>
          <w:cantSplit/>
          <w:trHeight w:val="23"/>
        </w:trPr>
        <w:tc>
          <w:tcPr>
            <w:tcW w:w="10031" w:type="dxa"/>
            <w:gridSpan w:val="4"/>
            <w:shd w:val="clear" w:color="auto" w:fill="auto"/>
          </w:tcPr>
          <w:p w14:paraId="10EBA9A7" w14:textId="77777777" w:rsidR="00E55816" w:rsidRPr="009D4CEA" w:rsidRDefault="00E55816" w:rsidP="00E55816">
            <w:pPr>
              <w:pStyle w:val="Title2"/>
            </w:pPr>
          </w:p>
        </w:tc>
      </w:tr>
      <w:tr w:rsidR="00A538A6" w:rsidRPr="009D4CEA" w14:paraId="6D03077B" w14:textId="77777777" w:rsidTr="00025864">
        <w:trPr>
          <w:cantSplit/>
          <w:trHeight w:val="23"/>
        </w:trPr>
        <w:tc>
          <w:tcPr>
            <w:tcW w:w="10031" w:type="dxa"/>
            <w:gridSpan w:val="4"/>
            <w:shd w:val="clear" w:color="auto" w:fill="auto"/>
          </w:tcPr>
          <w:p w14:paraId="6BCB3026" w14:textId="77777777" w:rsidR="00A538A6" w:rsidRPr="009D4CEA" w:rsidRDefault="004B13CB" w:rsidP="004B13CB">
            <w:pPr>
              <w:pStyle w:val="Agendaitem"/>
              <w:rPr>
                <w:lang w:val="en-GB"/>
              </w:rPr>
            </w:pPr>
            <w:r w:rsidRPr="009D4CEA">
              <w:rPr>
                <w:lang w:val="en-GB"/>
              </w:rPr>
              <w:t>Agenda item 10</w:t>
            </w:r>
          </w:p>
        </w:tc>
      </w:tr>
    </w:tbl>
    <w:bookmarkEnd w:id="5"/>
    <w:bookmarkEnd w:id="6"/>
    <w:p w14:paraId="2842E642" w14:textId="77777777" w:rsidR="00187BD9" w:rsidRPr="009D4CEA" w:rsidRDefault="002E634D" w:rsidP="00025A01">
      <w:r w:rsidRPr="009D4CEA">
        <w:t>10</w:t>
      </w:r>
      <w:r w:rsidRPr="009D4CEA">
        <w:rPr>
          <w:b/>
          <w:bCs/>
        </w:rPr>
        <w:tab/>
      </w:r>
      <w:r w:rsidRPr="009D4CEA">
        <w:t xml:space="preserve">to recommend to the ITU Council items for inclusion in the agenda for the next world radiocommunication conference, </w:t>
      </w:r>
      <w:r w:rsidRPr="009D4CEA">
        <w:rPr>
          <w:iCs/>
        </w:rPr>
        <w:t xml:space="preserve">and items for the preliminary agenda of future conferences, </w:t>
      </w:r>
      <w:r w:rsidRPr="009D4CEA">
        <w:t xml:space="preserve">in accordance with Article 7 of the ITU Convention </w:t>
      </w:r>
      <w:r w:rsidRPr="009D4CEA">
        <w:rPr>
          <w:iCs/>
        </w:rPr>
        <w:t xml:space="preserve">and Resolution </w:t>
      </w:r>
      <w:r w:rsidRPr="009D4CEA">
        <w:rPr>
          <w:b/>
          <w:bCs/>
          <w:iCs/>
        </w:rPr>
        <w:t>804 (Rev.WRC</w:t>
      </w:r>
      <w:r w:rsidRPr="009D4CEA">
        <w:rPr>
          <w:b/>
          <w:bCs/>
          <w:iCs/>
        </w:rPr>
        <w:noBreakHyphen/>
        <w:t>19)</w:t>
      </w:r>
      <w:r w:rsidRPr="009D4CEA">
        <w:rPr>
          <w:iCs/>
        </w:rPr>
        <w:t>,</w:t>
      </w:r>
    </w:p>
    <w:p w14:paraId="354E3281" w14:textId="77777777" w:rsidR="00A74326" w:rsidRPr="009D4CEA" w:rsidRDefault="00A74326" w:rsidP="00F53AC7">
      <w:pPr>
        <w:pStyle w:val="Headingb"/>
        <w:rPr>
          <w:rFonts w:eastAsia="SimSun"/>
          <w:lang w:val="en-GB" w:eastAsia="zh-CN"/>
        </w:rPr>
      </w:pPr>
      <w:r w:rsidRPr="009D4CEA">
        <w:rPr>
          <w:rFonts w:eastAsia="SimSun"/>
          <w:lang w:val="en-GB" w:eastAsia="zh-CN"/>
        </w:rPr>
        <w:t>Introduction</w:t>
      </w:r>
    </w:p>
    <w:p w14:paraId="13F45602" w14:textId="11F69F69" w:rsidR="00A74326" w:rsidRPr="009D4CEA" w:rsidRDefault="00A74326" w:rsidP="00F53AC7">
      <w:pPr>
        <w:rPr>
          <w:lang w:eastAsia="ko-KR"/>
        </w:rPr>
      </w:pPr>
      <w:r w:rsidRPr="009D4CEA">
        <w:rPr>
          <w:lang w:eastAsia="ko-KR"/>
        </w:rPr>
        <w:t>APT Members are of the view that should the agenda of WRC</w:t>
      </w:r>
      <w:r w:rsidR="00E21CF1" w:rsidRPr="009D4CEA">
        <w:rPr>
          <w:lang w:eastAsia="ko-KR"/>
        </w:rPr>
        <w:noBreakHyphen/>
      </w:r>
      <w:r w:rsidRPr="009D4CEA">
        <w:rPr>
          <w:lang w:eastAsia="ko-KR"/>
        </w:rPr>
        <w:t>27 includes preliminary agenda item</w:t>
      </w:r>
      <w:r w:rsidR="00F53AC7" w:rsidRPr="009D4CEA">
        <w:rPr>
          <w:lang w:eastAsia="ko-KR"/>
        </w:rPr>
        <w:t> </w:t>
      </w:r>
      <w:r w:rsidRPr="009D4CEA">
        <w:rPr>
          <w:lang w:eastAsia="ko-KR"/>
        </w:rPr>
        <w:t xml:space="preserve">2.12, it is necessary that supporting Resolution for this item includes, </w:t>
      </w:r>
      <w:r w:rsidRPr="009D4CEA">
        <w:rPr>
          <w:i/>
          <w:iCs/>
          <w:lang w:eastAsia="ko-KR"/>
        </w:rPr>
        <w:t>inter alia</w:t>
      </w:r>
      <w:r w:rsidRPr="009D4CEA">
        <w:rPr>
          <w:lang w:eastAsia="ko-KR"/>
        </w:rPr>
        <w:t>, protection of services to which the band is allocated as well as services in the adjacent band.</w:t>
      </w:r>
    </w:p>
    <w:p w14:paraId="1F9447B8" w14:textId="7DF87869" w:rsidR="00A74326" w:rsidRPr="009D4CEA" w:rsidRDefault="00A74326" w:rsidP="00F53AC7">
      <w:pPr>
        <w:rPr>
          <w:lang w:eastAsia="ko-KR"/>
        </w:rPr>
      </w:pPr>
      <w:r w:rsidRPr="009D4CEA">
        <w:rPr>
          <w:lang w:eastAsia="ko-KR"/>
        </w:rPr>
        <w:t>APT Members support the following preliminary agenda item for WRC</w:t>
      </w:r>
      <w:r w:rsidR="00E21CF1" w:rsidRPr="009D4CEA">
        <w:rPr>
          <w:lang w:eastAsia="ko-KR"/>
        </w:rPr>
        <w:noBreakHyphen/>
      </w:r>
      <w:r w:rsidRPr="009D4CEA">
        <w:rPr>
          <w:lang w:eastAsia="ko-KR"/>
        </w:rPr>
        <w:t>31.</w:t>
      </w:r>
    </w:p>
    <w:p w14:paraId="29882D19" w14:textId="34E04FD1" w:rsidR="00241FA2" w:rsidRPr="009D4CEA" w:rsidRDefault="00A74326" w:rsidP="00F53AC7">
      <w:pPr>
        <w:pStyle w:val="Headingb"/>
        <w:rPr>
          <w:lang w:val="en-GB"/>
        </w:rPr>
      </w:pPr>
      <w:r w:rsidRPr="009D4CEA">
        <w:rPr>
          <w:lang w:val="en-GB"/>
        </w:rPr>
        <w:t>Proposals</w:t>
      </w:r>
    </w:p>
    <w:p w14:paraId="6836D79E" w14:textId="77777777" w:rsidR="00187BD9" w:rsidRPr="009D4CEA" w:rsidRDefault="00187BD9" w:rsidP="00187BD9">
      <w:pPr>
        <w:tabs>
          <w:tab w:val="clear" w:pos="1134"/>
          <w:tab w:val="clear" w:pos="1871"/>
          <w:tab w:val="clear" w:pos="2268"/>
        </w:tabs>
        <w:overflowPunct/>
        <w:autoSpaceDE/>
        <w:autoSpaceDN/>
        <w:adjustRightInd/>
        <w:spacing w:before="0"/>
        <w:textAlignment w:val="auto"/>
      </w:pPr>
      <w:r w:rsidRPr="009D4CEA">
        <w:br w:type="page"/>
      </w:r>
    </w:p>
    <w:p w14:paraId="1AFAC9CD" w14:textId="77777777" w:rsidR="007A7DE0" w:rsidRPr="009D4CEA" w:rsidRDefault="002E634D">
      <w:pPr>
        <w:pStyle w:val="Proposal"/>
      </w:pPr>
      <w:r w:rsidRPr="009D4CEA">
        <w:lastRenderedPageBreak/>
        <w:t>ADD</w:t>
      </w:r>
      <w:r w:rsidRPr="009D4CEA">
        <w:tab/>
        <w:t>ACP/62A27A7/1</w:t>
      </w:r>
    </w:p>
    <w:p w14:paraId="580A3C4F" w14:textId="11D69EA8" w:rsidR="00B939D7" w:rsidRPr="009D4CEA" w:rsidRDefault="00B939D7" w:rsidP="00B939D7">
      <w:pPr>
        <w:pStyle w:val="ResNo"/>
      </w:pPr>
      <w:r w:rsidRPr="009D4CEA">
        <w:t>Draft New Resolution [ACP-AI10-2]</w:t>
      </w:r>
      <w:r w:rsidR="00F86E02" w:rsidRPr="009D4CEA">
        <w:t xml:space="preserve"> (WRC-23)</w:t>
      </w:r>
    </w:p>
    <w:p w14:paraId="1BB899FD" w14:textId="77777777" w:rsidR="00B939D7" w:rsidRPr="009D4CEA" w:rsidRDefault="00B939D7" w:rsidP="00B939D7">
      <w:pPr>
        <w:pStyle w:val="Restitle"/>
      </w:pPr>
      <w:r w:rsidRPr="009D4CEA">
        <w:t>Preliminary agenda for the 2031 World Radiocommunication Conference</w:t>
      </w:r>
    </w:p>
    <w:p w14:paraId="13F838FC" w14:textId="77777777" w:rsidR="00B939D7" w:rsidRPr="009D4CEA" w:rsidRDefault="00B939D7" w:rsidP="00B939D7">
      <w:pPr>
        <w:pStyle w:val="Normalaftertitle"/>
      </w:pPr>
      <w:r w:rsidRPr="009D4CEA">
        <w:t>The World Radiocommunication Conference (Dubai, 2023),</w:t>
      </w:r>
    </w:p>
    <w:p w14:paraId="34AEC642" w14:textId="77777777" w:rsidR="00B939D7" w:rsidRPr="009D4CEA" w:rsidRDefault="00B939D7" w:rsidP="00B939D7">
      <w:pPr>
        <w:rPr>
          <w:lang w:eastAsia="ko-KR"/>
        </w:rPr>
      </w:pPr>
      <w:r w:rsidRPr="009D4CEA">
        <w:rPr>
          <w:lang w:eastAsia="ko-KR"/>
        </w:rPr>
        <w:t>…</w:t>
      </w:r>
    </w:p>
    <w:p w14:paraId="2FF899FC" w14:textId="77777777" w:rsidR="00B939D7" w:rsidRPr="009D4CEA" w:rsidRDefault="00B939D7" w:rsidP="00B939D7">
      <w:r w:rsidRPr="009D4CEA">
        <w:t>2</w:t>
      </w:r>
      <w:r w:rsidRPr="009D4CEA">
        <w:tab/>
        <w:t>on the basis of proposals from administrations and the Report of the Conference Preparatory Meeting, and taking into account of the results of WRC</w:t>
      </w:r>
      <w:r w:rsidRPr="009D4CEA">
        <w:noBreakHyphen/>
        <w:t>27, to consider the following items and take appropriate action:</w:t>
      </w:r>
    </w:p>
    <w:p w14:paraId="5044A394" w14:textId="77777777" w:rsidR="006F57C2" w:rsidRPr="009D4CEA" w:rsidRDefault="006F57C2" w:rsidP="006F57C2">
      <w:pPr>
        <w:rPr>
          <w:lang w:eastAsia="ko-KR"/>
        </w:rPr>
      </w:pPr>
      <w:r w:rsidRPr="009D4CEA">
        <w:rPr>
          <w:lang w:eastAsia="ko-KR"/>
        </w:rPr>
        <w:t>…</w:t>
      </w:r>
    </w:p>
    <w:p w14:paraId="6F382160" w14:textId="427E3B04" w:rsidR="00B939D7" w:rsidRPr="009D4CEA" w:rsidRDefault="00B939D7" w:rsidP="009D4CEA">
      <w:r w:rsidRPr="009D4CEA">
        <w:t>2.</w:t>
      </w:r>
      <w:r w:rsidR="00D06CE5" w:rsidRPr="009D4CEA">
        <w:t>2</w:t>
      </w:r>
      <w:r w:rsidRPr="009D4CEA">
        <w:tab/>
        <w:t>the use of existing International Mobile Telecommunications (IMT) identifications within the frequency ranges [3</w:t>
      </w:r>
      <w:r w:rsidR="00E21CF1" w:rsidRPr="009D4CEA">
        <w:t> </w:t>
      </w:r>
      <w:r w:rsidRPr="009D4CEA">
        <w:t>400-3</w:t>
      </w:r>
      <w:r w:rsidR="00E21CF1" w:rsidRPr="009D4CEA">
        <w:t> </w:t>
      </w:r>
      <w:r w:rsidRPr="009D4CEA">
        <w:t>600</w:t>
      </w:r>
      <w:r w:rsidR="00E21CF1" w:rsidRPr="009D4CEA">
        <w:t> </w:t>
      </w:r>
      <w:r w:rsidRPr="009D4CEA">
        <w:t>MHz] and [3</w:t>
      </w:r>
      <w:r w:rsidR="00E21CF1" w:rsidRPr="009D4CEA">
        <w:t> </w:t>
      </w:r>
      <w:r w:rsidRPr="009D4CEA">
        <w:t>600-3</w:t>
      </w:r>
      <w:r w:rsidR="00E21CF1" w:rsidRPr="009D4CEA">
        <w:t> </w:t>
      </w:r>
      <w:r w:rsidRPr="009D4CEA">
        <w:t>700</w:t>
      </w:r>
      <w:r w:rsidR="00E21CF1" w:rsidRPr="009D4CEA">
        <w:t> </w:t>
      </w:r>
      <w:r w:rsidRPr="009D4CEA">
        <w:t xml:space="preserve">MHz] with a view </w:t>
      </w:r>
      <w:r w:rsidR="009877A8" w:rsidRPr="009D4CEA">
        <w:t>to</w:t>
      </w:r>
      <w:r w:rsidRPr="009D4CEA">
        <w:t xml:space="preserve"> the possible removal of the limitation regarding aeronautical mobile for the use of IMT user equipment by non-safety applications, where appropriate, in accordance with Resolution </w:t>
      </w:r>
      <w:r w:rsidRPr="009D4CEA">
        <w:rPr>
          <w:b/>
          <w:bCs/>
        </w:rPr>
        <w:t>[ACP-AI10-5]</w:t>
      </w:r>
      <w:r w:rsidR="005C1706" w:rsidRPr="009D4CEA">
        <w:rPr>
          <w:b/>
          <w:bCs/>
        </w:rPr>
        <w:t xml:space="preserve"> </w:t>
      </w:r>
      <w:r w:rsidR="00E56A85" w:rsidRPr="009D4CEA">
        <w:rPr>
          <w:b/>
          <w:bCs/>
        </w:rPr>
        <w:t>(WRC</w:t>
      </w:r>
      <w:r w:rsidR="00E21CF1" w:rsidRPr="009D4CEA">
        <w:rPr>
          <w:b/>
          <w:bCs/>
        </w:rPr>
        <w:noBreakHyphen/>
      </w:r>
      <w:r w:rsidR="00E56A85" w:rsidRPr="009D4CEA">
        <w:rPr>
          <w:b/>
          <w:bCs/>
        </w:rPr>
        <w:t>23)</w:t>
      </w:r>
      <w:r w:rsidRPr="009D4CEA">
        <w:t>;</w:t>
      </w:r>
    </w:p>
    <w:p w14:paraId="08F51C55" w14:textId="77777777" w:rsidR="006F57C2" w:rsidRPr="009D4CEA" w:rsidRDefault="006F57C2" w:rsidP="006F57C2">
      <w:pPr>
        <w:rPr>
          <w:lang w:eastAsia="ko-KR"/>
        </w:rPr>
      </w:pPr>
      <w:r w:rsidRPr="009D4CEA">
        <w:rPr>
          <w:lang w:eastAsia="ko-KR"/>
        </w:rPr>
        <w:t>…</w:t>
      </w:r>
    </w:p>
    <w:p w14:paraId="3C225E0A" w14:textId="77777777" w:rsidR="007A7DE0" w:rsidRPr="009D4CEA" w:rsidRDefault="007A7DE0">
      <w:pPr>
        <w:pStyle w:val="Reasons"/>
      </w:pPr>
    </w:p>
    <w:p w14:paraId="0D7E79DB" w14:textId="77777777" w:rsidR="007A7DE0" w:rsidRPr="009D4CEA" w:rsidRDefault="002E634D">
      <w:pPr>
        <w:pStyle w:val="Proposal"/>
      </w:pPr>
      <w:r w:rsidRPr="009D4CEA">
        <w:t>ADD</w:t>
      </w:r>
      <w:r w:rsidRPr="009D4CEA">
        <w:tab/>
        <w:t>ACP/62A27A7/2</w:t>
      </w:r>
    </w:p>
    <w:p w14:paraId="15CB59CE" w14:textId="075967AF" w:rsidR="00441E33" w:rsidRPr="009D4CEA" w:rsidRDefault="00441E33" w:rsidP="00441E33">
      <w:pPr>
        <w:pStyle w:val="ResNo"/>
      </w:pPr>
      <w:r w:rsidRPr="009D4CEA">
        <w:t>Draft New Resolution [ACP-AI10-5]</w:t>
      </w:r>
      <w:r w:rsidR="00F86E02" w:rsidRPr="009D4CEA">
        <w:t xml:space="preserve"> (WRC-23)</w:t>
      </w:r>
    </w:p>
    <w:p w14:paraId="3540F1A7" w14:textId="28B3DEF1" w:rsidR="00441E33" w:rsidRPr="009D4CEA" w:rsidRDefault="00441E33" w:rsidP="00E56A85">
      <w:pPr>
        <w:pStyle w:val="Restitle"/>
      </w:pPr>
      <w:bookmarkStart w:id="7" w:name="_Toc35789339"/>
      <w:bookmarkStart w:id="8" w:name="_Toc35857036"/>
      <w:bookmarkStart w:id="9" w:name="_Toc39649470"/>
      <w:bookmarkStart w:id="10" w:name="_Toc35963614"/>
      <w:bookmarkStart w:id="11" w:name="_Toc35877671"/>
      <w:bookmarkStart w:id="12" w:name="_Toc39649489"/>
      <w:r w:rsidRPr="009D4CEA">
        <w:t>Studies on possible removal of the limitation regarding aeronautical mobile in the frequency range</w:t>
      </w:r>
      <w:r w:rsidR="00D9460F" w:rsidRPr="009D4CEA">
        <w:t>s</w:t>
      </w:r>
      <w:r w:rsidRPr="009D4CEA">
        <w:t xml:space="preserve"> [3</w:t>
      </w:r>
      <w:r w:rsidR="00E21CF1" w:rsidRPr="009D4CEA">
        <w:t> </w:t>
      </w:r>
      <w:r w:rsidRPr="009D4CEA">
        <w:t>400-3</w:t>
      </w:r>
      <w:r w:rsidR="00E21CF1" w:rsidRPr="009D4CEA">
        <w:t> </w:t>
      </w:r>
      <w:r w:rsidRPr="009D4CEA">
        <w:t>600</w:t>
      </w:r>
      <w:r w:rsidR="00E21CF1" w:rsidRPr="009D4CEA">
        <w:t> </w:t>
      </w:r>
      <w:r w:rsidRPr="009D4CEA">
        <w:t>MHz] and [3</w:t>
      </w:r>
      <w:r w:rsidR="00E21CF1" w:rsidRPr="009D4CEA">
        <w:t> </w:t>
      </w:r>
      <w:r w:rsidRPr="009D4CEA">
        <w:t>600-3</w:t>
      </w:r>
      <w:r w:rsidR="00E21CF1" w:rsidRPr="009D4CEA">
        <w:t> </w:t>
      </w:r>
      <w:r w:rsidRPr="009D4CEA">
        <w:t>700</w:t>
      </w:r>
      <w:r w:rsidR="00E21CF1" w:rsidRPr="009D4CEA">
        <w:t> </w:t>
      </w:r>
      <w:r w:rsidRPr="009D4CEA">
        <w:t>MHz] for the use of International Mobile Telecommunications user equipment by non-safety applications</w:t>
      </w:r>
      <w:bookmarkEnd w:id="7"/>
      <w:bookmarkEnd w:id="8"/>
      <w:bookmarkEnd w:id="9"/>
      <w:bookmarkEnd w:id="10"/>
      <w:bookmarkEnd w:id="11"/>
    </w:p>
    <w:p w14:paraId="178367E4" w14:textId="20A3AE8A" w:rsidR="00441E33" w:rsidRPr="009D4CEA" w:rsidRDefault="00441E33" w:rsidP="00441E33">
      <w:pPr>
        <w:pStyle w:val="Normalaftertitle"/>
      </w:pPr>
      <w:r w:rsidRPr="009D4CEA">
        <w:t>The World Radiocommunication Conference (Dubai,</w:t>
      </w:r>
      <w:r w:rsidR="00E21CF1" w:rsidRPr="009D4CEA">
        <w:t xml:space="preserve"> </w:t>
      </w:r>
      <w:r w:rsidRPr="009D4CEA">
        <w:t>2023),</w:t>
      </w:r>
    </w:p>
    <w:p w14:paraId="27354F9A" w14:textId="77777777" w:rsidR="00441E33" w:rsidRPr="009D4CEA" w:rsidRDefault="00441E33" w:rsidP="00441E33">
      <w:pPr>
        <w:pStyle w:val="Call"/>
      </w:pPr>
      <w:r w:rsidRPr="009D4CEA">
        <w:t>considering</w:t>
      </w:r>
    </w:p>
    <w:p w14:paraId="433B7C25" w14:textId="77777777" w:rsidR="00441E33" w:rsidRPr="009D4CEA" w:rsidRDefault="00441E33" w:rsidP="00E56A85">
      <w:r w:rsidRPr="009D4CEA">
        <w:rPr>
          <w:i/>
        </w:rPr>
        <w:t>a)</w:t>
      </w:r>
      <w:r w:rsidRPr="009D4CEA">
        <w:rPr>
          <w:i/>
        </w:rPr>
        <w:tab/>
      </w:r>
      <w:r w:rsidRPr="009D4CEA">
        <w:t>that there is a need for greater connectivity of aeronautical vehicles to address existing demand and future requirements from the aeronautical community;</w:t>
      </w:r>
    </w:p>
    <w:p w14:paraId="5C166FEE" w14:textId="77777777" w:rsidR="00441E33" w:rsidRPr="009D4CEA" w:rsidRDefault="00441E33" w:rsidP="00E56A85">
      <w:r w:rsidRPr="009D4CEA">
        <w:rPr>
          <w:i/>
        </w:rPr>
        <w:t>b)</w:t>
      </w:r>
      <w:r w:rsidRPr="009D4CEA">
        <w:rPr>
          <w:i/>
        </w:rPr>
        <w:tab/>
      </w:r>
      <w:r w:rsidRPr="009D4CEA">
        <w:t>that current and future International Mobile Telecommunications (IMT) networks can provide connectivity services to helicopters, small aircraft and unmanned aircraft systems (UAS);</w:t>
      </w:r>
    </w:p>
    <w:p w14:paraId="63D0EB27" w14:textId="77777777" w:rsidR="00441E33" w:rsidRPr="009D4CEA" w:rsidRDefault="00441E33" w:rsidP="00E56A85">
      <w:r w:rsidRPr="009D4CEA">
        <w:rPr>
          <w:i/>
        </w:rPr>
        <w:t>c)</w:t>
      </w:r>
      <w:r w:rsidRPr="009D4CEA">
        <w:rPr>
          <w:i/>
        </w:rPr>
        <w:tab/>
      </w:r>
      <w:r w:rsidRPr="009D4CEA">
        <w:t>that current and future IMT networks may provide communication functions for the beyond visual line-of-sight operation of UAS;</w:t>
      </w:r>
    </w:p>
    <w:p w14:paraId="60DA345F" w14:textId="77777777" w:rsidR="00441E33" w:rsidRPr="009D4CEA" w:rsidRDefault="00441E33" w:rsidP="00E56A85">
      <w:r w:rsidRPr="009D4CEA">
        <w:rPr>
          <w:i/>
        </w:rPr>
        <w:t>d)</w:t>
      </w:r>
      <w:r w:rsidRPr="009D4CEA">
        <w:rPr>
          <w:i/>
        </w:rPr>
        <w:tab/>
      </w:r>
      <w:r w:rsidRPr="009D4CEA">
        <w:t>that future IMT networks may support direct air-ground connectivity services to commercial airplanes with specific equipment on board airplanes;</w:t>
      </w:r>
    </w:p>
    <w:p w14:paraId="2E180E5C" w14:textId="77777777" w:rsidR="00441E33" w:rsidRPr="009D4CEA" w:rsidRDefault="00441E33" w:rsidP="00E56A85">
      <w:r w:rsidRPr="009D4CEA">
        <w:rPr>
          <w:i/>
        </w:rPr>
        <w:t>e)</w:t>
      </w:r>
      <w:r w:rsidRPr="009D4CEA">
        <w:rPr>
          <w:i/>
        </w:rPr>
        <w:tab/>
      </w:r>
      <w:r w:rsidRPr="009D4CEA">
        <w:t xml:space="preserve">that the IMT capacities identified in the </w:t>
      </w:r>
      <w:r w:rsidRPr="009D4CEA">
        <w:rPr>
          <w:i/>
          <w:iCs/>
        </w:rPr>
        <w:t>considering</w:t>
      </w:r>
      <w:r w:rsidRPr="009D4CEA">
        <w:t xml:space="preserve"> paragraphs above have been demonstrated to be feasible by several studies and are currently being developed by standards development organizations,</w:t>
      </w:r>
    </w:p>
    <w:p w14:paraId="6BEB9DD6" w14:textId="77777777" w:rsidR="00441E33" w:rsidRPr="009D4CEA" w:rsidRDefault="00441E33" w:rsidP="00E56A85">
      <w:pPr>
        <w:pStyle w:val="Call"/>
      </w:pPr>
      <w:r w:rsidRPr="009D4CEA">
        <w:lastRenderedPageBreak/>
        <w:t>noting</w:t>
      </w:r>
    </w:p>
    <w:p w14:paraId="49130058" w14:textId="12F6377C" w:rsidR="00441E33" w:rsidRPr="009D4CEA" w:rsidRDefault="00441E33" w:rsidP="00E56A85">
      <w:r w:rsidRPr="009D4CEA">
        <w:rPr>
          <w:i/>
        </w:rPr>
        <w:t>a)</w:t>
      </w:r>
      <w:r w:rsidRPr="009D4CEA">
        <w:rPr>
          <w:i/>
        </w:rPr>
        <w:tab/>
      </w:r>
      <w:r w:rsidRPr="009D4CEA">
        <w:t xml:space="preserve">that ITU Radiocommunication Sector </w:t>
      </w:r>
      <w:r w:rsidR="009877A8" w:rsidRPr="009D4CEA">
        <w:t>(ITU</w:t>
      </w:r>
      <w:r w:rsidR="009877A8" w:rsidRPr="009D4CEA">
        <w:noBreakHyphen/>
        <w:t xml:space="preserve">R) </w:t>
      </w:r>
      <w:r w:rsidRPr="009D4CEA">
        <w:t xml:space="preserve">sharing and compatibility studies supporting the identification of specific frequency bands for IMT did not consider the use cases described in </w:t>
      </w:r>
      <w:r w:rsidRPr="009D4CEA">
        <w:rPr>
          <w:i/>
        </w:rPr>
        <w:t>considering b)</w:t>
      </w:r>
      <w:r w:rsidRPr="009D4CEA">
        <w:t xml:space="preserve"> to </w:t>
      </w:r>
      <w:r w:rsidRPr="009D4CEA">
        <w:rPr>
          <w:i/>
        </w:rPr>
        <w:t>e)</w:t>
      </w:r>
      <w:r w:rsidRPr="009D4CEA">
        <w:t>;</w:t>
      </w:r>
    </w:p>
    <w:p w14:paraId="7901157E" w14:textId="04A3BF0D" w:rsidR="00441E33" w:rsidRPr="009D4CEA" w:rsidRDefault="00441E33" w:rsidP="00E56A85">
      <w:r w:rsidRPr="009D4CEA">
        <w:rPr>
          <w:i/>
        </w:rPr>
        <w:t>b)</w:t>
      </w:r>
      <w:r w:rsidRPr="009D4CEA">
        <w:rPr>
          <w:i/>
        </w:rPr>
        <w:tab/>
      </w:r>
      <w:r w:rsidRPr="009D4CEA">
        <w:t>that Resolution</w:t>
      </w:r>
      <w:r w:rsidR="00D43CA9" w:rsidRPr="009D4CEA">
        <w:t> </w:t>
      </w:r>
      <w:r w:rsidRPr="009D4CEA">
        <w:rPr>
          <w:b/>
        </w:rPr>
        <w:t>224 (Rev.WRC</w:t>
      </w:r>
      <w:r w:rsidRPr="009D4CEA">
        <w:rPr>
          <w:b/>
        </w:rPr>
        <w:noBreakHyphen/>
        <w:t>19)</w:t>
      </w:r>
      <w:r w:rsidRPr="009D4CEA">
        <w:t xml:space="preserve"> addresses frequency bands for the terrestrial component of IMT below 1 GHz; </w:t>
      </w:r>
    </w:p>
    <w:p w14:paraId="39A287B2" w14:textId="7EB6D371" w:rsidR="00441E33" w:rsidRPr="009D4CEA" w:rsidRDefault="006D5A70" w:rsidP="00E56A85">
      <w:r>
        <w:rPr>
          <w:i/>
        </w:rPr>
        <w:t>c</w:t>
      </w:r>
      <w:r w:rsidR="00441E33" w:rsidRPr="009D4CEA">
        <w:rPr>
          <w:i/>
        </w:rPr>
        <w:t>)</w:t>
      </w:r>
      <w:r w:rsidR="00441E33" w:rsidRPr="009D4CEA">
        <w:rPr>
          <w:i/>
        </w:rPr>
        <w:tab/>
      </w:r>
      <w:r w:rsidR="00441E33" w:rsidRPr="009D4CEA">
        <w:t xml:space="preserve">that the </w:t>
      </w:r>
      <w:r w:rsidR="00D06CE5" w:rsidRPr="009D4CEA">
        <w:t xml:space="preserve">frequency bands </w:t>
      </w:r>
      <w:r w:rsidR="00441E33" w:rsidRPr="009D4CEA">
        <w:t>3</w:t>
      </w:r>
      <w:r w:rsidR="00D43CA9" w:rsidRPr="009D4CEA">
        <w:t> </w:t>
      </w:r>
      <w:r w:rsidR="00441E33" w:rsidRPr="009D4CEA">
        <w:t>400-3</w:t>
      </w:r>
      <w:r w:rsidR="00D43CA9" w:rsidRPr="009D4CEA">
        <w:t> </w:t>
      </w:r>
      <w:r w:rsidR="00441E33" w:rsidRPr="009D4CEA">
        <w:t>600</w:t>
      </w:r>
      <w:r w:rsidR="00D43CA9" w:rsidRPr="009D4CEA">
        <w:t> </w:t>
      </w:r>
      <w:r w:rsidR="00441E33" w:rsidRPr="009D4CEA">
        <w:t>MHz and 3</w:t>
      </w:r>
      <w:r w:rsidR="00D43CA9" w:rsidRPr="009D4CEA">
        <w:t> </w:t>
      </w:r>
      <w:r w:rsidR="00441E33" w:rsidRPr="009D4CEA">
        <w:t>600-3</w:t>
      </w:r>
      <w:r w:rsidR="00D43CA9" w:rsidRPr="009D4CEA">
        <w:t> </w:t>
      </w:r>
      <w:r w:rsidR="00441E33" w:rsidRPr="009D4CEA">
        <w:t>700</w:t>
      </w:r>
      <w:r w:rsidR="00D43CA9" w:rsidRPr="009D4CEA">
        <w:t> </w:t>
      </w:r>
      <w:r w:rsidR="00441E33" w:rsidRPr="009D4CEA">
        <w:t xml:space="preserve">MHz </w:t>
      </w:r>
      <w:r w:rsidR="00D06CE5" w:rsidRPr="009D4CEA">
        <w:t xml:space="preserve">are </w:t>
      </w:r>
      <w:r w:rsidR="00441E33" w:rsidRPr="009D4CEA">
        <w:t>allocated on a primary basis to the mobile except aeronautical mobile service</w:t>
      </w:r>
      <w:r w:rsidR="00AB2976" w:rsidRPr="009D4CEA">
        <w:t>,</w:t>
      </w:r>
    </w:p>
    <w:p w14:paraId="2B3C9A7F" w14:textId="77777777" w:rsidR="00441E33" w:rsidRPr="009D4CEA" w:rsidRDefault="00441E33" w:rsidP="00441E33">
      <w:pPr>
        <w:pStyle w:val="Call"/>
      </w:pPr>
      <w:r w:rsidRPr="009D4CEA">
        <w:t>recognizing</w:t>
      </w:r>
    </w:p>
    <w:p w14:paraId="4EFFC404" w14:textId="77777777" w:rsidR="00441E33" w:rsidRPr="009D4CEA" w:rsidRDefault="00441E33" w:rsidP="00441E33">
      <w:r w:rsidRPr="009D4CEA">
        <w:t>that the removal of the limitation regarding aeronautical mobile in the proposed frequency bands would enable the unified use of the IMT identifications by aeronautical user equipment throughout the Regions,</w:t>
      </w:r>
    </w:p>
    <w:p w14:paraId="450FAB0A" w14:textId="33CC4882" w:rsidR="00441E33" w:rsidRPr="009D4CEA" w:rsidRDefault="00441E33" w:rsidP="00441E33">
      <w:pPr>
        <w:pStyle w:val="Call"/>
      </w:pPr>
      <w:r w:rsidRPr="009D4CEA">
        <w:t>resolves to invite the ITU</w:t>
      </w:r>
      <w:r w:rsidR="00D43CA9" w:rsidRPr="009D4CEA">
        <w:noBreakHyphen/>
      </w:r>
      <w:r w:rsidRPr="009D4CEA">
        <w:t>R</w:t>
      </w:r>
    </w:p>
    <w:p w14:paraId="05217375" w14:textId="77777777" w:rsidR="00441E33" w:rsidRPr="009D4CEA" w:rsidRDefault="00441E33" w:rsidP="00441E33">
      <w:r w:rsidRPr="009D4CEA">
        <w:t>1</w:t>
      </w:r>
      <w:r w:rsidRPr="009D4CEA">
        <w:tab/>
        <w:t>to assess relevant aeronautical mobile service scenarios for air-ground and ground-air connectivity for airborne user equipment in IMT networks to be addressed in compatibility and sharing studies;</w:t>
      </w:r>
    </w:p>
    <w:p w14:paraId="6F56F44B" w14:textId="77777777" w:rsidR="00441E33" w:rsidRPr="009D4CEA" w:rsidRDefault="00441E33" w:rsidP="00441E33">
      <w:r w:rsidRPr="009D4CEA">
        <w:t>2</w:t>
      </w:r>
      <w:r w:rsidRPr="009D4CEA">
        <w:tab/>
        <w:t>to identify relevant technical parameters associated with the aeronautical mobile systems;</w:t>
      </w:r>
    </w:p>
    <w:p w14:paraId="75E6C233" w14:textId="77777777" w:rsidR="00441E33" w:rsidRPr="009D4CEA" w:rsidRDefault="00441E33" w:rsidP="00441E33">
      <w:r w:rsidRPr="009D4CEA">
        <w:t>3</w:t>
      </w:r>
      <w:r w:rsidRPr="009D4CEA">
        <w:tab/>
        <w:t>to conduct sharing and compatibility studies with existing services, including in adjacent frequency bands;</w:t>
      </w:r>
    </w:p>
    <w:p w14:paraId="30B52087" w14:textId="724CCDB4" w:rsidR="00441E33" w:rsidRPr="009D4CEA" w:rsidRDefault="00441E33" w:rsidP="00441E33">
      <w:r w:rsidRPr="009D4CEA">
        <w:t>4</w:t>
      </w:r>
      <w:r w:rsidRPr="009D4CEA">
        <w:tab/>
        <w:t>to determine the possibility of removing the aeronautical mobile service exception or other suitable regulatory measures in the frequency ranges [3</w:t>
      </w:r>
      <w:r w:rsidR="009877A8" w:rsidRPr="009D4CEA">
        <w:t> </w:t>
      </w:r>
      <w:r w:rsidRPr="009D4CEA">
        <w:t>400-3</w:t>
      </w:r>
      <w:r w:rsidR="009877A8" w:rsidRPr="009D4CEA">
        <w:t> </w:t>
      </w:r>
      <w:r w:rsidRPr="009D4CEA">
        <w:t>600</w:t>
      </w:r>
      <w:r w:rsidR="009877A8" w:rsidRPr="009D4CEA">
        <w:t> </w:t>
      </w:r>
      <w:r w:rsidRPr="009D4CEA">
        <w:t>MHz in Region</w:t>
      </w:r>
      <w:r w:rsidR="009877A8" w:rsidRPr="009D4CEA">
        <w:t> </w:t>
      </w:r>
      <w:r w:rsidRPr="009D4CEA">
        <w:t>3] [and</w:t>
      </w:r>
      <w:r w:rsidR="00D43CA9" w:rsidRPr="009D4CEA">
        <w:t xml:space="preserve"> </w:t>
      </w:r>
      <w:r w:rsidRPr="009D4CEA">
        <w:t>3</w:t>
      </w:r>
      <w:r w:rsidR="00D261BC" w:rsidRPr="009D4CEA">
        <w:t> </w:t>
      </w:r>
      <w:r w:rsidRPr="009D4CEA">
        <w:t>600-3</w:t>
      </w:r>
      <w:r w:rsidR="00D43CA9" w:rsidRPr="009D4CEA">
        <w:t> </w:t>
      </w:r>
      <w:r w:rsidRPr="009D4CEA">
        <w:t>700</w:t>
      </w:r>
      <w:r w:rsidR="00D43CA9" w:rsidRPr="009D4CEA">
        <w:t> </w:t>
      </w:r>
      <w:r w:rsidRPr="009D4CEA">
        <w:t>MHz in Region</w:t>
      </w:r>
      <w:r w:rsidR="00D43CA9" w:rsidRPr="009D4CEA">
        <w:t> </w:t>
      </w:r>
      <w:r w:rsidRPr="009D4CEA">
        <w:t>3], based on the results of the above ITU</w:t>
      </w:r>
      <w:r w:rsidR="00D43CA9" w:rsidRPr="009D4CEA">
        <w:noBreakHyphen/>
      </w:r>
      <w:r w:rsidRPr="009D4CEA">
        <w:t>R studies,</w:t>
      </w:r>
    </w:p>
    <w:p w14:paraId="2FADBA94" w14:textId="76FBA6B7" w:rsidR="00441E33" w:rsidRPr="009D4CEA" w:rsidRDefault="00441E33" w:rsidP="00441E33">
      <w:pPr>
        <w:pStyle w:val="Call"/>
      </w:pPr>
      <w:r w:rsidRPr="009D4CEA">
        <w:rPr>
          <w:szCs w:val="24"/>
        </w:rPr>
        <w:t>invites the WRC</w:t>
      </w:r>
      <w:r w:rsidR="00D43CA9" w:rsidRPr="009D4CEA">
        <w:rPr>
          <w:szCs w:val="24"/>
        </w:rPr>
        <w:noBreakHyphen/>
      </w:r>
      <w:r w:rsidRPr="009D4CEA">
        <w:rPr>
          <w:szCs w:val="24"/>
        </w:rPr>
        <w:t>31</w:t>
      </w:r>
    </w:p>
    <w:p w14:paraId="19EADD51" w14:textId="1811E92A" w:rsidR="002F73C0" w:rsidRPr="009D4CEA" w:rsidRDefault="00441E33" w:rsidP="00441E33">
      <w:r w:rsidRPr="009D4CEA">
        <w:t>to consider the results of the above ITU</w:t>
      </w:r>
      <w:r w:rsidR="00D43CA9" w:rsidRPr="009D4CEA">
        <w:noBreakHyphen/>
      </w:r>
      <w:r w:rsidRPr="009D4CEA">
        <w:t>R studies and take appropriate actions regarding the possibility of removal the aeronautical mobile service exception or other suitable regulatory measures in the frequency ranges [3</w:t>
      </w:r>
      <w:r w:rsidR="00D43CA9" w:rsidRPr="009D4CEA">
        <w:t> </w:t>
      </w:r>
      <w:r w:rsidRPr="009D4CEA">
        <w:t>400-3</w:t>
      </w:r>
      <w:r w:rsidR="00D43CA9" w:rsidRPr="009D4CEA">
        <w:t> </w:t>
      </w:r>
      <w:r w:rsidRPr="009D4CEA">
        <w:t>600</w:t>
      </w:r>
      <w:r w:rsidR="00D43CA9" w:rsidRPr="009D4CEA">
        <w:t> </w:t>
      </w:r>
      <w:r w:rsidRPr="009D4CEA">
        <w:t>MHz] [and 3</w:t>
      </w:r>
      <w:r w:rsidR="00D43CA9" w:rsidRPr="009D4CEA">
        <w:t> </w:t>
      </w:r>
      <w:r w:rsidRPr="009D4CEA">
        <w:t>600-3</w:t>
      </w:r>
      <w:r w:rsidR="00D43CA9" w:rsidRPr="009D4CEA">
        <w:t> </w:t>
      </w:r>
      <w:r w:rsidRPr="009D4CEA">
        <w:t>700</w:t>
      </w:r>
      <w:r w:rsidR="00D43CA9" w:rsidRPr="009D4CEA">
        <w:t> </w:t>
      </w:r>
      <w:r w:rsidRPr="009D4CEA">
        <w:t>MHz] [in Region</w:t>
      </w:r>
      <w:r w:rsidR="00D43CA9" w:rsidRPr="009D4CEA">
        <w:t> </w:t>
      </w:r>
      <w:r w:rsidRPr="009D4CEA">
        <w:t xml:space="preserve">3], </w:t>
      </w:r>
      <w:r w:rsidRPr="009D4CEA">
        <w:rPr>
          <w:lang w:eastAsia="ko-KR"/>
        </w:rPr>
        <w:t>while ensuring the full protection of services to which these frequency bands are allocated as well as services in the adjacent bands</w:t>
      </w:r>
      <w:r w:rsidRPr="009D4CEA">
        <w:t>.</w:t>
      </w:r>
    </w:p>
    <w:p w14:paraId="3EF4BC75" w14:textId="1A1C6932" w:rsidR="00D75B70" w:rsidRPr="009D4CEA" w:rsidRDefault="00D75B70" w:rsidP="00D75B70">
      <w:pPr>
        <w:pStyle w:val="Reasons"/>
      </w:pPr>
      <w:r w:rsidRPr="009D4CEA">
        <w:rPr>
          <w:b/>
        </w:rPr>
        <w:t>Reasons:</w:t>
      </w:r>
      <w:r w:rsidRPr="009D4CEA">
        <w:tab/>
        <w:t>Proposal for a preliminary agenda item of WRC</w:t>
      </w:r>
      <w:r w:rsidR="00D43CA9" w:rsidRPr="009D4CEA">
        <w:noBreakHyphen/>
      </w:r>
      <w:r w:rsidRPr="009D4CEA">
        <w:t>31 agenda item to consider on the removal of the limitation regarding aeronautical mobile within the frequency range</w:t>
      </w:r>
      <w:r w:rsidR="00D9460F" w:rsidRPr="009D4CEA">
        <w:t>s</w:t>
      </w:r>
      <w:r w:rsidRPr="009D4CEA">
        <w:t xml:space="preserve"> [3</w:t>
      </w:r>
      <w:r w:rsidR="00D43CA9" w:rsidRPr="009D4CEA">
        <w:t> </w:t>
      </w:r>
      <w:r w:rsidRPr="009D4CEA">
        <w:t>400-3 600 MHz] and [3</w:t>
      </w:r>
      <w:r w:rsidR="00D43CA9" w:rsidRPr="009D4CEA">
        <w:t> </w:t>
      </w:r>
      <w:r w:rsidRPr="009D4CEA">
        <w:t>600-3</w:t>
      </w:r>
      <w:r w:rsidR="00D43CA9" w:rsidRPr="009D4CEA">
        <w:t> </w:t>
      </w:r>
      <w:r w:rsidRPr="009D4CEA">
        <w:t>700</w:t>
      </w:r>
      <w:r w:rsidR="00D43CA9" w:rsidRPr="009D4CEA">
        <w:t> </w:t>
      </w:r>
      <w:r w:rsidRPr="009D4CEA">
        <w:t>MHz] for the use of International Mobile Telecommunications user equipment by non-safety applications.</w:t>
      </w:r>
    </w:p>
    <w:p w14:paraId="387138CC" w14:textId="77777777" w:rsidR="00E13853" w:rsidRPr="009D4CEA" w:rsidRDefault="00E13853" w:rsidP="00441E33"/>
    <w:tbl>
      <w:tblPr>
        <w:tblpPr w:leftFromText="180" w:rightFromText="180" w:vertAnchor="text" w:tblpX="-84" w:tblpY="1"/>
        <w:tblOverlap w:val="never"/>
        <w:tblW w:w="10065" w:type="dxa"/>
        <w:tblLayout w:type="fixed"/>
        <w:tblLook w:val="04A0" w:firstRow="1" w:lastRow="0" w:firstColumn="1" w:lastColumn="0" w:noHBand="0" w:noVBand="1"/>
      </w:tblPr>
      <w:tblGrid>
        <w:gridCol w:w="4897"/>
        <w:gridCol w:w="5168"/>
      </w:tblGrid>
      <w:tr w:rsidR="00441E33" w:rsidRPr="009D4CEA" w14:paraId="12545E0F" w14:textId="77777777" w:rsidTr="00CF0999">
        <w:trPr>
          <w:cantSplit/>
        </w:trPr>
        <w:tc>
          <w:tcPr>
            <w:tcW w:w="10065" w:type="dxa"/>
            <w:gridSpan w:val="2"/>
          </w:tcPr>
          <w:p w14:paraId="63FA3F1E" w14:textId="5EF6A79F" w:rsidR="00441E33" w:rsidRPr="009D4CEA" w:rsidRDefault="00441E33" w:rsidP="00C44173">
            <w:pPr>
              <w:keepNext/>
              <w:spacing w:after="120"/>
              <w:jc w:val="both"/>
            </w:pPr>
            <w:r w:rsidRPr="009D4CEA">
              <w:rPr>
                <w:b/>
                <w:bCs/>
              </w:rPr>
              <w:t>Subject:</w:t>
            </w:r>
            <w:r w:rsidRPr="009D4CEA">
              <w:rPr>
                <w:rFonts w:eastAsia="SimSun"/>
                <w:b/>
                <w:bCs/>
                <w:lang w:eastAsia="zh-CN"/>
              </w:rPr>
              <w:t xml:space="preserve"> </w:t>
            </w:r>
            <w:r w:rsidRPr="009D4CEA">
              <w:rPr>
                <w:b/>
                <w:bCs/>
              </w:rPr>
              <w:t>Proposal for WRC</w:t>
            </w:r>
            <w:r w:rsidR="00D43CA9" w:rsidRPr="009D4CEA">
              <w:rPr>
                <w:b/>
                <w:bCs/>
              </w:rPr>
              <w:noBreakHyphen/>
            </w:r>
            <w:r w:rsidRPr="009D4CEA">
              <w:rPr>
                <w:b/>
                <w:bCs/>
              </w:rPr>
              <w:t xml:space="preserve">31 agenda item Proposal </w:t>
            </w:r>
          </w:p>
        </w:tc>
      </w:tr>
      <w:tr w:rsidR="00441E33" w:rsidRPr="009D4CEA" w14:paraId="770E6F30" w14:textId="77777777" w:rsidTr="00CF0999">
        <w:trPr>
          <w:cantSplit/>
        </w:trPr>
        <w:tc>
          <w:tcPr>
            <w:tcW w:w="10065" w:type="dxa"/>
            <w:gridSpan w:val="2"/>
            <w:tcBorders>
              <w:top w:val="nil"/>
              <w:left w:val="nil"/>
              <w:bottom w:val="single" w:sz="4" w:space="0" w:color="auto"/>
              <w:right w:val="nil"/>
            </w:tcBorders>
          </w:tcPr>
          <w:p w14:paraId="49A9181A" w14:textId="77777777" w:rsidR="00441E33" w:rsidRPr="009D4CEA" w:rsidRDefault="00441E33" w:rsidP="00C44173">
            <w:pPr>
              <w:keepNext/>
              <w:spacing w:after="120"/>
              <w:rPr>
                <w:rFonts w:eastAsia="SimSun"/>
                <w:b/>
                <w:i/>
                <w:color w:val="000000"/>
                <w:highlight w:val="yellow"/>
                <w:lang w:eastAsia="zh-CN"/>
              </w:rPr>
            </w:pPr>
            <w:r w:rsidRPr="009D4CEA">
              <w:rPr>
                <w:b/>
                <w:bCs/>
              </w:rPr>
              <w:t>Origin:</w:t>
            </w:r>
            <w:r w:rsidRPr="009D4CEA">
              <w:rPr>
                <w:rFonts w:eastAsia="SimSun"/>
                <w:b/>
                <w:bCs/>
                <w:lang w:eastAsia="zh-CN"/>
              </w:rPr>
              <w:t xml:space="preserve"> APT</w:t>
            </w:r>
          </w:p>
        </w:tc>
      </w:tr>
      <w:tr w:rsidR="00441E33" w:rsidRPr="009D4CEA" w14:paraId="4FA581F1" w14:textId="77777777" w:rsidTr="00CF0999">
        <w:trPr>
          <w:cantSplit/>
        </w:trPr>
        <w:tc>
          <w:tcPr>
            <w:tcW w:w="10065" w:type="dxa"/>
            <w:gridSpan w:val="2"/>
            <w:tcBorders>
              <w:top w:val="single" w:sz="4" w:space="0" w:color="auto"/>
              <w:left w:val="nil"/>
              <w:bottom w:val="single" w:sz="4" w:space="0" w:color="auto"/>
              <w:right w:val="nil"/>
            </w:tcBorders>
          </w:tcPr>
          <w:p w14:paraId="7FCC8B28" w14:textId="77777777" w:rsidR="00441E33" w:rsidRPr="009D4CEA" w:rsidRDefault="00441E33" w:rsidP="00C44173">
            <w:pPr>
              <w:keepNext/>
              <w:spacing w:after="120"/>
              <w:rPr>
                <w:b/>
                <w:i/>
                <w:color w:val="000000"/>
              </w:rPr>
            </w:pPr>
            <w:r w:rsidRPr="009D4CEA">
              <w:rPr>
                <w:b/>
                <w:i/>
                <w:color w:val="000000"/>
              </w:rPr>
              <w:t>Proposal</w:t>
            </w:r>
            <w:r w:rsidRPr="009D4CEA">
              <w:rPr>
                <w:b/>
                <w:iCs/>
                <w:color w:val="000000"/>
              </w:rPr>
              <w:t>:</w:t>
            </w:r>
          </w:p>
          <w:p w14:paraId="65036E26" w14:textId="1EF2D19F" w:rsidR="00441E33" w:rsidRPr="009D4CEA" w:rsidRDefault="00D9460F" w:rsidP="00C44173">
            <w:pPr>
              <w:keepNext/>
              <w:spacing w:after="120"/>
              <w:rPr>
                <w:b/>
                <w:i/>
              </w:rPr>
            </w:pPr>
            <w:r w:rsidRPr="009D4CEA">
              <w:t>T</w:t>
            </w:r>
            <w:r w:rsidR="00441E33" w:rsidRPr="009D4CEA">
              <w:t>he use of existing International Mobile Telecommunications (IMT) identifications within the frequency ranges [3</w:t>
            </w:r>
            <w:r w:rsidR="00D43CA9" w:rsidRPr="009D4CEA">
              <w:t> </w:t>
            </w:r>
            <w:r w:rsidR="00441E33" w:rsidRPr="009D4CEA">
              <w:t>400-3</w:t>
            </w:r>
            <w:r w:rsidR="00D43CA9" w:rsidRPr="009D4CEA">
              <w:t> </w:t>
            </w:r>
            <w:r w:rsidR="00441E33" w:rsidRPr="009D4CEA">
              <w:t>600</w:t>
            </w:r>
            <w:r w:rsidR="00D43CA9" w:rsidRPr="009D4CEA">
              <w:t> </w:t>
            </w:r>
            <w:r w:rsidR="00441E33" w:rsidRPr="009D4CEA">
              <w:t>MHz] and [3</w:t>
            </w:r>
            <w:r w:rsidR="00D43CA9" w:rsidRPr="009D4CEA">
              <w:t> </w:t>
            </w:r>
            <w:r w:rsidR="00441E33" w:rsidRPr="009D4CEA">
              <w:t>600-3</w:t>
            </w:r>
            <w:r w:rsidR="00D43CA9" w:rsidRPr="009D4CEA">
              <w:t> </w:t>
            </w:r>
            <w:r w:rsidR="00441E33" w:rsidRPr="009D4CEA">
              <w:t>700</w:t>
            </w:r>
            <w:r w:rsidR="00D43CA9" w:rsidRPr="009D4CEA">
              <w:t> </w:t>
            </w:r>
            <w:r w:rsidR="00441E33" w:rsidRPr="009D4CEA">
              <w:t>MHz], with a view of the possible removal of the limitation regarding aeronautical mobile for the use of IMT user equipment by non-safety applications, where appropriate, in accordance with Resolution</w:t>
            </w:r>
            <w:r w:rsidR="00D43CA9" w:rsidRPr="009D4CEA">
              <w:t> </w:t>
            </w:r>
            <w:r w:rsidR="00441E33" w:rsidRPr="009D4CEA">
              <w:rPr>
                <w:b/>
                <w:bCs/>
              </w:rPr>
              <w:t>251 (Rev.WRC</w:t>
            </w:r>
            <w:r w:rsidR="00D43CA9" w:rsidRPr="009D4CEA">
              <w:rPr>
                <w:b/>
                <w:bCs/>
              </w:rPr>
              <w:noBreakHyphen/>
            </w:r>
            <w:r w:rsidR="00441E33" w:rsidRPr="009D4CEA">
              <w:rPr>
                <w:b/>
                <w:bCs/>
              </w:rPr>
              <w:t>23)</w:t>
            </w:r>
          </w:p>
        </w:tc>
      </w:tr>
      <w:tr w:rsidR="00441E33" w:rsidRPr="009D4CEA" w14:paraId="573FE6E1" w14:textId="77777777" w:rsidTr="00CF0999">
        <w:trPr>
          <w:cantSplit/>
        </w:trPr>
        <w:tc>
          <w:tcPr>
            <w:tcW w:w="10065" w:type="dxa"/>
            <w:gridSpan w:val="2"/>
            <w:tcBorders>
              <w:top w:val="single" w:sz="4" w:space="0" w:color="auto"/>
              <w:left w:val="nil"/>
              <w:bottom w:val="single" w:sz="4" w:space="0" w:color="auto"/>
              <w:right w:val="nil"/>
            </w:tcBorders>
          </w:tcPr>
          <w:p w14:paraId="1B76E819" w14:textId="77777777" w:rsidR="00441E33" w:rsidRPr="009D4CEA" w:rsidRDefault="00441E33" w:rsidP="00DE5993">
            <w:pPr>
              <w:keepNext/>
              <w:keepLines/>
              <w:spacing w:after="120"/>
              <w:rPr>
                <w:b/>
                <w:i/>
                <w:color w:val="000000"/>
              </w:rPr>
            </w:pPr>
            <w:r w:rsidRPr="009D4CEA">
              <w:rPr>
                <w:b/>
                <w:i/>
                <w:color w:val="000000"/>
              </w:rPr>
              <w:lastRenderedPageBreak/>
              <w:t>Background/reason</w:t>
            </w:r>
            <w:r w:rsidRPr="009D4CEA">
              <w:rPr>
                <w:b/>
                <w:iCs/>
                <w:color w:val="000000"/>
              </w:rPr>
              <w:t>:</w:t>
            </w:r>
          </w:p>
          <w:p w14:paraId="55E1ECA2" w14:textId="05C8C21C" w:rsidR="00441E33" w:rsidRPr="009D4CEA" w:rsidRDefault="00441E33" w:rsidP="00DE5993">
            <w:pPr>
              <w:keepNext/>
              <w:keepLines/>
            </w:pPr>
            <w:r w:rsidRPr="009D4CEA">
              <w:t xml:space="preserve">There is a growing demand for affordable air to ground and ground to air connectivity, due the rising expectation for connectivity in airplanes. Several test campaigns have demonstrated that IMT networks can respond to this type of connectivity demand. Standards Developing Organizations (SDOs) such as 3GPP, CCSA are currently standardizing functionalities to support these use cases. </w:t>
            </w:r>
          </w:p>
        </w:tc>
      </w:tr>
      <w:tr w:rsidR="00441E33" w:rsidRPr="009D4CEA" w14:paraId="61446EA2" w14:textId="77777777" w:rsidTr="00CF0999">
        <w:trPr>
          <w:cantSplit/>
        </w:trPr>
        <w:tc>
          <w:tcPr>
            <w:tcW w:w="10065" w:type="dxa"/>
            <w:gridSpan w:val="2"/>
            <w:tcBorders>
              <w:top w:val="single" w:sz="4" w:space="0" w:color="auto"/>
              <w:left w:val="nil"/>
              <w:bottom w:val="single" w:sz="4" w:space="0" w:color="auto"/>
              <w:right w:val="nil"/>
            </w:tcBorders>
          </w:tcPr>
          <w:p w14:paraId="49893262" w14:textId="77777777" w:rsidR="00441E33" w:rsidRPr="009D4CEA" w:rsidRDefault="00441E33" w:rsidP="00DE5993">
            <w:pPr>
              <w:keepNext/>
              <w:keepLines/>
              <w:spacing w:after="120"/>
              <w:rPr>
                <w:b/>
                <w:i/>
              </w:rPr>
            </w:pPr>
            <w:r w:rsidRPr="009D4CEA">
              <w:rPr>
                <w:b/>
                <w:i/>
              </w:rPr>
              <w:t>Radiocommunication services concerned</w:t>
            </w:r>
            <w:r w:rsidRPr="009D4CEA">
              <w:rPr>
                <w:b/>
                <w:iCs/>
              </w:rPr>
              <w:t>:</w:t>
            </w:r>
          </w:p>
          <w:p w14:paraId="2F5EC1FA" w14:textId="4F5110A0" w:rsidR="00441E33" w:rsidRPr="009D4CEA" w:rsidRDefault="00441E33" w:rsidP="00DE5993">
            <w:pPr>
              <w:keepNext/>
              <w:keepLines/>
              <w:spacing w:after="120"/>
              <w:rPr>
                <w:b/>
                <w:i/>
              </w:rPr>
            </w:pPr>
            <w:r w:rsidRPr="009D4CEA">
              <w:rPr>
                <w:iCs/>
              </w:rPr>
              <w:t>Mobile service, fixed</w:t>
            </w:r>
            <w:r w:rsidR="000B2860" w:rsidRPr="009D4CEA">
              <w:rPr>
                <w:iCs/>
              </w:rPr>
              <w:t>-</w:t>
            </w:r>
            <w:r w:rsidRPr="009D4CEA">
              <w:rPr>
                <w:iCs/>
              </w:rPr>
              <w:t>satellite service (space-to-Earth), broadcasting service</w:t>
            </w:r>
          </w:p>
        </w:tc>
      </w:tr>
      <w:tr w:rsidR="00441E33" w:rsidRPr="009D4CEA" w14:paraId="2B5A7A8A" w14:textId="77777777" w:rsidTr="00CF0999">
        <w:trPr>
          <w:cantSplit/>
        </w:trPr>
        <w:tc>
          <w:tcPr>
            <w:tcW w:w="10065" w:type="dxa"/>
            <w:gridSpan w:val="2"/>
            <w:tcBorders>
              <w:top w:val="single" w:sz="4" w:space="0" w:color="auto"/>
              <w:left w:val="nil"/>
              <w:bottom w:val="single" w:sz="4" w:space="0" w:color="auto"/>
              <w:right w:val="nil"/>
            </w:tcBorders>
          </w:tcPr>
          <w:p w14:paraId="19551C63" w14:textId="77777777" w:rsidR="00441E33" w:rsidRPr="009D4CEA" w:rsidRDefault="00441E33" w:rsidP="00C44173">
            <w:pPr>
              <w:keepNext/>
              <w:spacing w:after="120"/>
              <w:rPr>
                <w:b/>
                <w:i/>
              </w:rPr>
            </w:pPr>
            <w:r w:rsidRPr="009D4CEA">
              <w:rPr>
                <w:b/>
                <w:i/>
              </w:rPr>
              <w:t>Indication of possible difficulties</w:t>
            </w:r>
            <w:r w:rsidRPr="009D4CEA">
              <w:rPr>
                <w:b/>
                <w:iCs/>
              </w:rPr>
              <w:t>:</w:t>
            </w:r>
          </w:p>
          <w:p w14:paraId="712ECC24" w14:textId="77777777" w:rsidR="00441E33" w:rsidRPr="009D4CEA" w:rsidRDefault="00441E33" w:rsidP="00C44173">
            <w:pPr>
              <w:keepNext/>
              <w:spacing w:after="120"/>
              <w:rPr>
                <w:b/>
                <w:i/>
              </w:rPr>
            </w:pPr>
            <w:r w:rsidRPr="009D4CEA">
              <w:rPr>
                <w:iCs/>
              </w:rPr>
              <w:t>Sharing studies with radiocommunication services in band and in adjacent bands</w:t>
            </w:r>
          </w:p>
        </w:tc>
      </w:tr>
      <w:tr w:rsidR="00441E33" w:rsidRPr="009D4CEA" w14:paraId="17BC39A7" w14:textId="77777777" w:rsidTr="00CF0999">
        <w:trPr>
          <w:cantSplit/>
        </w:trPr>
        <w:tc>
          <w:tcPr>
            <w:tcW w:w="10065" w:type="dxa"/>
            <w:gridSpan w:val="2"/>
            <w:tcBorders>
              <w:top w:val="single" w:sz="4" w:space="0" w:color="auto"/>
              <w:left w:val="nil"/>
              <w:bottom w:val="single" w:sz="4" w:space="0" w:color="auto"/>
              <w:right w:val="nil"/>
            </w:tcBorders>
          </w:tcPr>
          <w:p w14:paraId="491BC48B" w14:textId="77777777" w:rsidR="00441E33" w:rsidRPr="009D4CEA" w:rsidRDefault="00441E33" w:rsidP="00C44173">
            <w:pPr>
              <w:keepNext/>
              <w:spacing w:after="120"/>
              <w:rPr>
                <w:b/>
                <w:iCs/>
              </w:rPr>
            </w:pPr>
            <w:r w:rsidRPr="009D4CEA">
              <w:rPr>
                <w:b/>
                <w:i/>
              </w:rPr>
              <w:t>Previous/ongoing studies on the issue</w:t>
            </w:r>
            <w:r w:rsidRPr="009D4CEA">
              <w:rPr>
                <w:b/>
                <w:iCs/>
              </w:rPr>
              <w:t>:</w:t>
            </w:r>
          </w:p>
          <w:p w14:paraId="494FDC1E" w14:textId="7361BAA2" w:rsidR="00441E33" w:rsidRPr="009D4CEA" w:rsidRDefault="00441E33" w:rsidP="00C44173">
            <w:pPr>
              <w:keepNext/>
              <w:spacing w:after="120"/>
              <w:rPr>
                <w:b/>
                <w:i/>
              </w:rPr>
            </w:pPr>
            <w:r w:rsidRPr="009D4CEA">
              <w:rPr>
                <w:rFonts w:eastAsia="SimSun"/>
                <w:lang w:eastAsia="zh-CN"/>
              </w:rPr>
              <w:t>Resolution </w:t>
            </w:r>
            <w:r w:rsidRPr="009D4CEA">
              <w:t xml:space="preserve"> [</w:t>
            </w:r>
            <w:r w:rsidRPr="009D4CEA">
              <w:rPr>
                <w:b/>
                <w:bCs/>
              </w:rPr>
              <w:t>251 (Rev.WRC</w:t>
            </w:r>
            <w:r w:rsidRPr="009D4CEA">
              <w:rPr>
                <w:b/>
                <w:bCs/>
              </w:rPr>
              <w:noBreakHyphen/>
              <w:t>23)]/[ [Aerial IMT (WRC</w:t>
            </w:r>
            <w:r w:rsidR="00D43CA9" w:rsidRPr="009D4CEA">
              <w:rPr>
                <w:b/>
                <w:bCs/>
              </w:rPr>
              <w:noBreakHyphen/>
            </w:r>
            <w:r w:rsidRPr="009D4CEA">
              <w:rPr>
                <w:b/>
                <w:bCs/>
              </w:rPr>
              <w:t>23)</w:t>
            </w:r>
            <w:r w:rsidRPr="009D4CEA">
              <w:t>]</w:t>
            </w:r>
          </w:p>
        </w:tc>
      </w:tr>
      <w:tr w:rsidR="00441E33" w:rsidRPr="009D4CEA" w14:paraId="7379B5E5" w14:textId="77777777" w:rsidTr="00CF0999">
        <w:trPr>
          <w:cantSplit/>
        </w:trPr>
        <w:tc>
          <w:tcPr>
            <w:tcW w:w="4897" w:type="dxa"/>
            <w:tcBorders>
              <w:top w:val="single" w:sz="4" w:space="0" w:color="auto"/>
              <w:left w:val="nil"/>
              <w:bottom w:val="single" w:sz="4" w:space="0" w:color="auto"/>
              <w:right w:val="single" w:sz="4" w:space="0" w:color="auto"/>
            </w:tcBorders>
          </w:tcPr>
          <w:p w14:paraId="2AFC6B79" w14:textId="77777777" w:rsidR="00441E33" w:rsidRPr="009D4CEA" w:rsidRDefault="00441E33" w:rsidP="00C44173">
            <w:pPr>
              <w:keepNext/>
              <w:spacing w:after="120"/>
              <w:rPr>
                <w:b/>
                <w:i/>
                <w:color w:val="000000"/>
              </w:rPr>
            </w:pPr>
            <w:r w:rsidRPr="009D4CEA">
              <w:rPr>
                <w:b/>
                <w:i/>
                <w:color w:val="000000"/>
              </w:rPr>
              <w:t>Studies to be carried out by</w:t>
            </w:r>
            <w:r w:rsidRPr="009D4CEA">
              <w:rPr>
                <w:b/>
                <w:iCs/>
                <w:color w:val="000000"/>
              </w:rPr>
              <w:t>:</w:t>
            </w:r>
          </w:p>
          <w:p w14:paraId="30B3D674" w14:textId="01A15D53" w:rsidR="00441E33" w:rsidRPr="009D4CEA" w:rsidRDefault="00441E33" w:rsidP="00C44173">
            <w:pPr>
              <w:keepNext/>
              <w:spacing w:after="120"/>
              <w:rPr>
                <w:b/>
                <w:i/>
                <w:color w:val="000000"/>
              </w:rPr>
            </w:pPr>
            <w:r w:rsidRPr="009D4CEA">
              <w:rPr>
                <w:color w:val="000000"/>
                <w:lang w:eastAsia="zh-CN"/>
              </w:rPr>
              <w:t>ITU</w:t>
            </w:r>
            <w:r w:rsidR="00D43CA9" w:rsidRPr="009D4CEA">
              <w:rPr>
                <w:color w:val="000000"/>
                <w:lang w:eastAsia="zh-CN"/>
              </w:rPr>
              <w:noBreakHyphen/>
            </w:r>
            <w:r w:rsidRPr="009D4CEA">
              <w:rPr>
                <w:color w:val="000000"/>
                <w:lang w:eastAsia="zh-CN"/>
              </w:rPr>
              <w:t>R</w:t>
            </w:r>
            <w:r w:rsidRPr="009D4CEA">
              <w:rPr>
                <w:rFonts w:eastAsia="MS Mincho"/>
                <w:iCs/>
                <w:color w:val="000000"/>
              </w:rPr>
              <w:t xml:space="preserve"> Study Group </w:t>
            </w:r>
            <w:r w:rsidRPr="009D4CEA">
              <w:rPr>
                <w:color w:val="000000"/>
                <w:lang w:eastAsia="zh-CN"/>
              </w:rPr>
              <w:t>5 (Working Party 5D)</w:t>
            </w:r>
          </w:p>
        </w:tc>
        <w:tc>
          <w:tcPr>
            <w:tcW w:w="5168" w:type="dxa"/>
            <w:tcBorders>
              <w:top w:val="single" w:sz="4" w:space="0" w:color="auto"/>
              <w:left w:val="single" w:sz="4" w:space="0" w:color="auto"/>
              <w:bottom w:val="single" w:sz="4" w:space="0" w:color="auto"/>
              <w:right w:val="nil"/>
            </w:tcBorders>
          </w:tcPr>
          <w:p w14:paraId="7E36DD47" w14:textId="77777777" w:rsidR="00441E33" w:rsidRPr="009D4CEA" w:rsidRDefault="00441E33" w:rsidP="00C44173">
            <w:pPr>
              <w:keepNext/>
              <w:spacing w:after="120"/>
              <w:rPr>
                <w:b/>
                <w:iCs/>
                <w:color w:val="000000"/>
              </w:rPr>
            </w:pPr>
            <w:r w:rsidRPr="009D4CEA">
              <w:rPr>
                <w:b/>
                <w:i/>
                <w:color w:val="000000"/>
              </w:rPr>
              <w:t>with the participation of</w:t>
            </w:r>
            <w:r w:rsidRPr="009D4CEA">
              <w:rPr>
                <w:b/>
                <w:iCs/>
                <w:color w:val="000000"/>
              </w:rPr>
              <w:t>:</w:t>
            </w:r>
          </w:p>
          <w:p w14:paraId="19D3F564" w14:textId="77777777" w:rsidR="00441E33" w:rsidRPr="009D4CEA" w:rsidRDefault="00441E33" w:rsidP="00C44173">
            <w:pPr>
              <w:keepNext/>
              <w:spacing w:after="120"/>
              <w:rPr>
                <w:b/>
                <w:iCs/>
                <w:color w:val="000000"/>
              </w:rPr>
            </w:pPr>
            <w:r w:rsidRPr="009D4CEA">
              <w:rPr>
                <w:bCs/>
                <w:i/>
                <w:color w:val="000000"/>
              </w:rPr>
              <w:t>TBD</w:t>
            </w:r>
          </w:p>
        </w:tc>
      </w:tr>
      <w:tr w:rsidR="00441E33" w:rsidRPr="009D4CEA" w14:paraId="6BC3AD27" w14:textId="77777777" w:rsidTr="00CF0999">
        <w:trPr>
          <w:cantSplit/>
        </w:trPr>
        <w:tc>
          <w:tcPr>
            <w:tcW w:w="10065" w:type="dxa"/>
            <w:gridSpan w:val="2"/>
            <w:tcBorders>
              <w:top w:val="single" w:sz="4" w:space="0" w:color="auto"/>
              <w:left w:val="nil"/>
              <w:bottom w:val="single" w:sz="4" w:space="0" w:color="auto"/>
              <w:right w:val="nil"/>
            </w:tcBorders>
          </w:tcPr>
          <w:p w14:paraId="1F4417B7" w14:textId="77777777" w:rsidR="00441E33" w:rsidRPr="009D4CEA" w:rsidRDefault="00441E33" w:rsidP="00C44173">
            <w:pPr>
              <w:keepNext/>
              <w:spacing w:after="120"/>
              <w:rPr>
                <w:b/>
                <w:i/>
                <w:color w:val="000000"/>
              </w:rPr>
            </w:pPr>
            <w:r w:rsidRPr="009D4CEA">
              <w:rPr>
                <w:b/>
                <w:i/>
                <w:color w:val="000000"/>
              </w:rPr>
              <w:t>ITU</w:t>
            </w:r>
            <w:r w:rsidRPr="009D4CEA">
              <w:rPr>
                <w:b/>
                <w:i/>
                <w:color w:val="000000"/>
              </w:rPr>
              <w:noBreakHyphen/>
              <w:t>R study groups concerned</w:t>
            </w:r>
            <w:r w:rsidRPr="009D4CEA">
              <w:rPr>
                <w:b/>
                <w:iCs/>
                <w:color w:val="000000"/>
              </w:rPr>
              <w:t>:</w:t>
            </w:r>
          </w:p>
          <w:p w14:paraId="124E9556" w14:textId="77777777" w:rsidR="00441E33" w:rsidRPr="009D4CEA" w:rsidRDefault="00441E33" w:rsidP="00C44173">
            <w:pPr>
              <w:keepNext/>
              <w:spacing w:after="120"/>
              <w:rPr>
                <w:b/>
                <w:i/>
              </w:rPr>
            </w:pPr>
            <w:r w:rsidRPr="009D4CEA">
              <w:rPr>
                <w:lang w:eastAsia="zh-CN"/>
              </w:rPr>
              <w:t>SG 4, SG 5</w:t>
            </w:r>
          </w:p>
        </w:tc>
      </w:tr>
      <w:tr w:rsidR="00441E33" w:rsidRPr="009D4CEA" w14:paraId="142A457A" w14:textId="77777777" w:rsidTr="00CF0999">
        <w:trPr>
          <w:cantSplit/>
        </w:trPr>
        <w:tc>
          <w:tcPr>
            <w:tcW w:w="10065" w:type="dxa"/>
            <w:gridSpan w:val="2"/>
            <w:tcBorders>
              <w:top w:val="single" w:sz="4" w:space="0" w:color="auto"/>
              <w:left w:val="nil"/>
              <w:bottom w:val="single" w:sz="4" w:space="0" w:color="auto"/>
              <w:right w:val="nil"/>
            </w:tcBorders>
          </w:tcPr>
          <w:p w14:paraId="4CD691C0" w14:textId="77777777" w:rsidR="00441E33" w:rsidRPr="009D4CEA" w:rsidRDefault="00441E33" w:rsidP="00C44173">
            <w:pPr>
              <w:keepNext/>
              <w:spacing w:after="120"/>
              <w:rPr>
                <w:b/>
                <w:i/>
              </w:rPr>
            </w:pPr>
            <w:r w:rsidRPr="009D4CEA">
              <w:rPr>
                <w:b/>
                <w:i/>
              </w:rPr>
              <w:t>ITU resource implications, including financial implications (refer to CV126)</w:t>
            </w:r>
            <w:r w:rsidRPr="009D4CEA">
              <w:rPr>
                <w:b/>
                <w:iCs/>
              </w:rPr>
              <w:t>:</w:t>
            </w:r>
          </w:p>
          <w:p w14:paraId="5EA251D5" w14:textId="77777777" w:rsidR="00441E33" w:rsidRPr="009D4CEA" w:rsidRDefault="00441E33" w:rsidP="00C44173">
            <w:pPr>
              <w:keepNext/>
              <w:spacing w:after="120"/>
              <w:rPr>
                <w:b/>
                <w:i/>
              </w:rPr>
            </w:pPr>
            <w:r w:rsidRPr="009D4CEA">
              <w:rPr>
                <w:bCs/>
                <w:i/>
              </w:rPr>
              <w:t xml:space="preserve">No direct financial implications have been identified to date. </w:t>
            </w:r>
          </w:p>
        </w:tc>
      </w:tr>
      <w:tr w:rsidR="00441E33" w:rsidRPr="009D4CEA" w14:paraId="5B740C3F" w14:textId="77777777" w:rsidTr="00CF0999">
        <w:trPr>
          <w:cantSplit/>
        </w:trPr>
        <w:tc>
          <w:tcPr>
            <w:tcW w:w="4897" w:type="dxa"/>
            <w:tcBorders>
              <w:top w:val="single" w:sz="4" w:space="0" w:color="auto"/>
              <w:left w:val="nil"/>
              <w:bottom w:val="single" w:sz="4" w:space="0" w:color="auto"/>
              <w:right w:val="nil"/>
            </w:tcBorders>
          </w:tcPr>
          <w:p w14:paraId="34B81EC8" w14:textId="77777777" w:rsidR="00441E33" w:rsidRPr="009D4CEA" w:rsidRDefault="00441E33" w:rsidP="00C44173">
            <w:pPr>
              <w:keepNext/>
              <w:spacing w:after="120"/>
              <w:rPr>
                <w:b/>
                <w:iCs/>
              </w:rPr>
            </w:pPr>
            <w:r w:rsidRPr="009D4CEA">
              <w:rPr>
                <w:b/>
                <w:i/>
              </w:rPr>
              <w:t>Common regional proposal</w:t>
            </w:r>
            <w:r w:rsidRPr="009D4CEA">
              <w:rPr>
                <w:b/>
                <w:iCs/>
              </w:rPr>
              <w:t xml:space="preserve">: </w:t>
            </w:r>
            <w:r w:rsidRPr="009D4CEA">
              <w:rPr>
                <w:bCs/>
                <w:iCs/>
              </w:rPr>
              <w:t>TBD</w:t>
            </w:r>
          </w:p>
        </w:tc>
        <w:tc>
          <w:tcPr>
            <w:tcW w:w="5168" w:type="dxa"/>
            <w:tcBorders>
              <w:top w:val="single" w:sz="4" w:space="0" w:color="auto"/>
              <w:left w:val="nil"/>
              <w:bottom w:val="single" w:sz="4" w:space="0" w:color="auto"/>
              <w:right w:val="nil"/>
            </w:tcBorders>
          </w:tcPr>
          <w:p w14:paraId="1681A0BF" w14:textId="77777777" w:rsidR="00441E33" w:rsidRPr="009D4CEA" w:rsidRDefault="00441E33" w:rsidP="00C44173">
            <w:pPr>
              <w:keepNext/>
              <w:spacing w:after="120"/>
              <w:rPr>
                <w:b/>
                <w:iCs/>
              </w:rPr>
            </w:pPr>
            <w:r w:rsidRPr="009D4CEA">
              <w:rPr>
                <w:b/>
                <w:i/>
              </w:rPr>
              <w:t>Multicountry proposal</w:t>
            </w:r>
            <w:r w:rsidRPr="009D4CEA">
              <w:rPr>
                <w:b/>
                <w:iCs/>
              </w:rPr>
              <w:t xml:space="preserve">: </w:t>
            </w:r>
            <w:r w:rsidRPr="009D4CEA">
              <w:rPr>
                <w:bCs/>
                <w:iCs/>
              </w:rPr>
              <w:t>TBD</w:t>
            </w:r>
          </w:p>
          <w:p w14:paraId="06007ACF" w14:textId="77777777" w:rsidR="00441E33" w:rsidRPr="009D4CEA" w:rsidRDefault="00441E33" w:rsidP="00C44173">
            <w:pPr>
              <w:keepNext/>
              <w:spacing w:after="120"/>
              <w:rPr>
                <w:b/>
                <w:i/>
              </w:rPr>
            </w:pPr>
            <w:r w:rsidRPr="009D4CEA">
              <w:rPr>
                <w:b/>
                <w:i/>
              </w:rPr>
              <w:t>Number of countries</w:t>
            </w:r>
            <w:r w:rsidRPr="009D4CEA">
              <w:rPr>
                <w:b/>
                <w:iCs/>
              </w:rPr>
              <w:t xml:space="preserve">: </w:t>
            </w:r>
            <w:r w:rsidRPr="009D4CEA">
              <w:rPr>
                <w:rFonts w:eastAsia="SimSun"/>
                <w:bCs/>
                <w:iCs/>
                <w:lang w:eastAsia="zh-CN"/>
              </w:rPr>
              <w:t>TBD</w:t>
            </w:r>
          </w:p>
        </w:tc>
      </w:tr>
      <w:tr w:rsidR="00441E33" w:rsidRPr="009D4CEA" w14:paraId="75A22D3C" w14:textId="77777777" w:rsidTr="00CF0999">
        <w:trPr>
          <w:cantSplit/>
        </w:trPr>
        <w:tc>
          <w:tcPr>
            <w:tcW w:w="10065" w:type="dxa"/>
            <w:gridSpan w:val="2"/>
            <w:tcBorders>
              <w:top w:val="single" w:sz="4" w:space="0" w:color="auto"/>
              <w:left w:val="nil"/>
              <w:bottom w:val="nil"/>
              <w:right w:val="nil"/>
            </w:tcBorders>
          </w:tcPr>
          <w:p w14:paraId="0E06BDCF" w14:textId="77777777" w:rsidR="00441E33" w:rsidRPr="009D4CEA" w:rsidRDefault="00441E33" w:rsidP="00C44173">
            <w:pPr>
              <w:spacing w:after="120"/>
              <w:rPr>
                <w:b/>
                <w:i/>
              </w:rPr>
            </w:pPr>
            <w:r w:rsidRPr="009D4CEA">
              <w:rPr>
                <w:b/>
                <w:i/>
              </w:rPr>
              <w:t>Remarks</w:t>
            </w:r>
          </w:p>
          <w:p w14:paraId="33AC5769" w14:textId="77777777" w:rsidR="00441E33" w:rsidRPr="009D4CEA" w:rsidRDefault="00441E33" w:rsidP="00C44173">
            <w:pPr>
              <w:spacing w:after="120"/>
              <w:rPr>
                <w:b/>
                <w:i/>
              </w:rPr>
            </w:pPr>
          </w:p>
        </w:tc>
      </w:tr>
    </w:tbl>
    <w:bookmarkEnd w:id="12"/>
    <w:p w14:paraId="4C0BFE9D" w14:textId="1AC14956" w:rsidR="00441E33" w:rsidRDefault="00441E33" w:rsidP="00C71308">
      <w:pPr>
        <w:spacing w:before="360"/>
        <w:jc w:val="center"/>
      </w:pPr>
      <w:r w:rsidRPr="009D4CEA">
        <w:t>_____________</w:t>
      </w:r>
    </w:p>
    <w:sectPr w:rsidR="00441E33" w:rsidSect="0039169B">
      <w:headerReference w:type="default" r:id="rId14"/>
      <w:footerReference w:type="even" r:id="rId15"/>
      <w:footerReference w:type="default" r:id="rId16"/>
      <w:footerReference w:type="first" r:id="rId17"/>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AD1BA8" w14:textId="77777777" w:rsidR="00A91B2F" w:rsidRDefault="00A91B2F">
      <w:r>
        <w:separator/>
      </w:r>
    </w:p>
  </w:endnote>
  <w:endnote w:type="continuationSeparator" w:id="0">
    <w:p w14:paraId="4612DEDD" w14:textId="77777777" w:rsidR="00A91B2F" w:rsidRDefault="00A91B2F">
      <w:r>
        <w:continuationSeparator/>
      </w:r>
    </w:p>
  </w:endnote>
  <w:endnote w:type="continuationNotice" w:id="1">
    <w:p w14:paraId="6308BAC2" w14:textId="77777777" w:rsidR="00A91B2F" w:rsidRDefault="00A91B2F">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2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75565" w14:textId="77777777" w:rsidR="00E45D05" w:rsidRDefault="00E45D05">
    <w:pPr>
      <w:framePr w:wrap="around" w:vAnchor="text" w:hAnchor="margin" w:xAlign="right" w:y="1"/>
    </w:pPr>
    <w:r>
      <w:fldChar w:fldCharType="begin"/>
    </w:r>
    <w:r>
      <w:instrText xml:space="preserve">PAGE  </w:instrText>
    </w:r>
    <w:r>
      <w:fldChar w:fldCharType="end"/>
    </w:r>
  </w:p>
  <w:p w14:paraId="7553F73A" w14:textId="14F10023"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F320AA">
      <w:rPr>
        <w:noProof/>
        <w:lang w:val="en-US"/>
      </w:rPr>
      <w:t>Q:\TEMPLATE\ITUOffice2007\POOL\DPM templates\WRC-23\E.docx</w:t>
    </w:r>
    <w:r>
      <w:fldChar w:fldCharType="end"/>
    </w:r>
    <w:r w:rsidRPr="0041348E">
      <w:rPr>
        <w:lang w:val="en-US"/>
      </w:rPr>
      <w:tab/>
    </w:r>
    <w:r>
      <w:fldChar w:fldCharType="begin"/>
    </w:r>
    <w:r>
      <w:instrText xml:space="preserve"> SAVEDATE \@ DD.MM.YY </w:instrText>
    </w:r>
    <w:r>
      <w:fldChar w:fldCharType="separate"/>
    </w:r>
    <w:r w:rsidR="009877A8">
      <w:rPr>
        <w:noProof/>
      </w:rPr>
      <w:t>12.10.23</w:t>
    </w:r>
    <w:r>
      <w:fldChar w:fldCharType="end"/>
    </w:r>
    <w:r w:rsidRPr="0041348E">
      <w:rPr>
        <w:lang w:val="en-US"/>
      </w:rPr>
      <w:tab/>
    </w:r>
    <w:r>
      <w:fldChar w:fldCharType="begin"/>
    </w:r>
    <w:r>
      <w:instrText xml:space="preserve"> PRINTDATE \@ DD.MM.YY </w:instrText>
    </w:r>
    <w:r>
      <w:fldChar w:fldCharType="separate"/>
    </w:r>
    <w:r w:rsidR="00F320AA">
      <w:rPr>
        <w:noProof/>
      </w:rPr>
      <w:t>10.02.17</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0AC53B" w14:textId="1167133A" w:rsidR="00E45D05" w:rsidRDefault="00E45D05" w:rsidP="009B1EA1">
    <w:pPr>
      <w:pStyle w:val="Footer"/>
    </w:pPr>
    <w:r>
      <w:fldChar w:fldCharType="begin"/>
    </w:r>
    <w:r w:rsidRPr="0041348E">
      <w:rPr>
        <w:lang w:val="en-US"/>
      </w:rPr>
      <w:instrText xml:space="preserve"> FILENAME \p  \* MERGEFORMAT </w:instrText>
    </w:r>
    <w:r>
      <w:fldChar w:fldCharType="separate"/>
    </w:r>
    <w:r w:rsidR="00E21CF1">
      <w:rPr>
        <w:lang w:val="en-US"/>
      </w:rPr>
      <w:t>P:\ENG\ITU-R\CONF-R\CMR23\000\062ADD27ADD07E.doc</w:t>
    </w:r>
    <w:r>
      <w:fldChar w:fldCharType="end"/>
    </w:r>
    <w:r w:rsidR="00E21CF1">
      <w:t xml:space="preserve"> (528998)</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96029B" w14:textId="599F27C4" w:rsidR="00E21CF1" w:rsidRPr="00E21CF1" w:rsidRDefault="00E21CF1">
    <w:pPr>
      <w:pStyle w:val="Footer"/>
    </w:pPr>
    <w:r>
      <w:fldChar w:fldCharType="begin"/>
    </w:r>
    <w:r>
      <w:rPr>
        <w:lang w:val="en-US"/>
      </w:rPr>
      <w:instrText xml:space="preserve"> FILENAME \p \* MERGEFORMAT </w:instrText>
    </w:r>
    <w:r>
      <w:fldChar w:fldCharType="separate"/>
    </w:r>
    <w:r>
      <w:rPr>
        <w:lang w:val="en-US"/>
      </w:rPr>
      <w:t>P:\ENG\ITU-R\CONF-R\CMR23\000\062ADD27ADD07E.doc</w:t>
    </w:r>
    <w:r>
      <w:fldChar w:fldCharType="end"/>
    </w:r>
    <w:r>
      <w:t xml:space="preserve"> (528998)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AF353E" w14:textId="77777777" w:rsidR="00A91B2F" w:rsidRDefault="00A91B2F">
      <w:r>
        <w:rPr>
          <w:b/>
        </w:rPr>
        <w:t>_______________</w:t>
      </w:r>
    </w:p>
  </w:footnote>
  <w:footnote w:type="continuationSeparator" w:id="0">
    <w:p w14:paraId="107AB1A1" w14:textId="77777777" w:rsidR="00A91B2F" w:rsidRDefault="00A91B2F">
      <w:r>
        <w:continuationSeparator/>
      </w:r>
    </w:p>
  </w:footnote>
  <w:footnote w:type="continuationNotice" w:id="1">
    <w:p w14:paraId="02315D8E" w14:textId="77777777" w:rsidR="00A91B2F" w:rsidRDefault="00A91B2F">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082E3C" w14:textId="77777777" w:rsidR="00E45D05" w:rsidRDefault="00A066F1" w:rsidP="00187BD9">
    <w:pPr>
      <w:pStyle w:val="Header"/>
    </w:pPr>
    <w:r>
      <w:fldChar w:fldCharType="begin"/>
    </w:r>
    <w:r>
      <w:instrText xml:space="preserve"> PAGE  \* MERGEFORMAT </w:instrText>
    </w:r>
    <w:r>
      <w:fldChar w:fldCharType="separate"/>
    </w:r>
    <w:r w:rsidR="009B1EA1">
      <w:rPr>
        <w:noProof/>
      </w:rPr>
      <w:t>2</w:t>
    </w:r>
    <w:r>
      <w:fldChar w:fldCharType="end"/>
    </w:r>
  </w:p>
  <w:p w14:paraId="6EE2B100" w14:textId="77777777" w:rsidR="00A066F1" w:rsidRPr="00A066F1" w:rsidRDefault="00BC75DE" w:rsidP="00241FA2">
    <w:pPr>
      <w:pStyle w:val="Header"/>
    </w:pPr>
    <w:r>
      <w:t>WRC</w:t>
    </w:r>
    <w:r w:rsidR="006D70B0">
      <w:t>23</w:t>
    </w:r>
    <w:r w:rsidR="00A066F1">
      <w:t>/</w:t>
    </w:r>
    <w:bookmarkStart w:id="13" w:name="OLE_LINK1"/>
    <w:bookmarkStart w:id="14" w:name="OLE_LINK2"/>
    <w:bookmarkStart w:id="15" w:name="OLE_LINK3"/>
    <w:r w:rsidR="00EB55C6">
      <w:t>62(Add.27)(Add.7)</w:t>
    </w:r>
    <w:bookmarkEnd w:id="13"/>
    <w:bookmarkEnd w:id="14"/>
    <w:bookmarkEnd w:id="15"/>
    <w:r w:rsidR="00187BD9">
      <w:t>-</w:t>
    </w:r>
    <w:r w:rsidR="004A26C4" w:rsidRPr="004A26C4">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16cid:durableId="1997759577">
    <w:abstractNumId w:val="0"/>
  </w:num>
  <w:num w:numId="2" w16cid:durableId="1517428217">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6F1"/>
    <w:rsid w:val="000041EA"/>
    <w:rsid w:val="00014212"/>
    <w:rsid w:val="00022A29"/>
    <w:rsid w:val="000355FD"/>
    <w:rsid w:val="00051E39"/>
    <w:rsid w:val="000705F2"/>
    <w:rsid w:val="00077239"/>
    <w:rsid w:val="0007795D"/>
    <w:rsid w:val="00086491"/>
    <w:rsid w:val="00091346"/>
    <w:rsid w:val="0009706C"/>
    <w:rsid w:val="000B2860"/>
    <w:rsid w:val="000D154B"/>
    <w:rsid w:val="000D2DAF"/>
    <w:rsid w:val="000E463E"/>
    <w:rsid w:val="000F73FF"/>
    <w:rsid w:val="00114CF7"/>
    <w:rsid w:val="00116C7A"/>
    <w:rsid w:val="00123B68"/>
    <w:rsid w:val="00126F2E"/>
    <w:rsid w:val="00143B34"/>
    <w:rsid w:val="00145914"/>
    <w:rsid w:val="00146F6F"/>
    <w:rsid w:val="00161F26"/>
    <w:rsid w:val="00187BD9"/>
    <w:rsid w:val="00190B55"/>
    <w:rsid w:val="001C3B5F"/>
    <w:rsid w:val="001D058F"/>
    <w:rsid w:val="001F1F33"/>
    <w:rsid w:val="002009EA"/>
    <w:rsid w:val="00202756"/>
    <w:rsid w:val="00202CA0"/>
    <w:rsid w:val="00216B6D"/>
    <w:rsid w:val="0022757F"/>
    <w:rsid w:val="00241FA2"/>
    <w:rsid w:val="00271316"/>
    <w:rsid w:val="002B349C"/>
    <w:rsid w:val="002D58BE"/>
    <w:rsid w:val="002E634D"/>
    <w:rsid w:val="002F4747"/>
    <w:rsid w:val="002F73C0"/>
    <w:rsid w:val="00302605"/>
    <w:rsid w:val="003111CC"/>
    <w:rsid w:val="003600D0"/>
    <w:rsid w:val="00361B37"/>
    <w:rsid w:val="00371382"/>
    <w:rsid w:val="00377BD3"/>
    <w:rsid w:val="00384088"/>
    <w:rsid w:val="003852CE"/>
    <w:rsid w:val="0039169B"/>
    <w:rsid w:val="003A7F8C"/>
    <w:rsid w:val="003B2284"/>
    <w:rsid w:val="003B532E"/>
    <w:rsid w:val="003B608A"/>
    <w:rsid w:val="003D0F8B"/>
    <w:rsid w:val="003E0DB6"/>
    <w:rsid w:val="0041348E"/>
    <w:rsid w:val="00414294"/>
    <w:rsid w:val="00420873"/>
    <w:rsid w:val="00441E33"/>
    <w:rsid w:val="0044318F"/>
    <w:rsid w:val="00444DA8"/>
    <w:rsid w:val="00492075"/>
    <w:rsid w:val="004969AD"/>
    <w:rsid w:val="004A26C4"/>
    <w:rsid w:val="004A2C56"/>
    <w:rsid w:val="004B13CB"/>
    <w:rsid w:val="004D26EA"/>
    <w:rsid w:val="004D2BFB"/>
    <w:rsid w:val="004D5D5C"/>
    <w:rsid w:val="004F3DC0"/>
    <w:rsid w:val="0050139F"/>
    <w:rsid w:val="0055140B"/>
    <w:rsid w:val="005664A4"/>
    <w:rsid w:val="00566EE3"/>
    <w:rsid w:val="005828C4"/>
    <w:rsid w:val="005861D7"/>
    <w:rsid w:val="005964AB"/>
    <w:rsid w:val="005C099A"/>
    <w:rsid w:val="005C1706"/>
    <w:rsid w:val="005C31A5"/>
    <w:rsid w:val="005E10C9"/>
    <w:rsid w:val="005E290B"/>
    <w:rsid w:val="005E61DD"/>
    <w:rsid w:val="005F04D8"/>
    <w:rsid w:val="005F64AF"/>
    <w:rsid w:val="006022C3"/>
    <w:rsid w:val="006023DF"/>
    <w:rsid w:val="00615426"/>
    <w:rsid w:val="00616219"/>
    <w:rsid w:val="006171E2"/>
    <w:rsid w:val="00645B7D"/>
    <w:rsid w:val="00657DE0"/>
    <w:rsid w:val="00685313"/>
    <w:rsid w:val="0068725D"/>
    <w:rsid w:val="00692833"/>
    <w:rsid w:val="006A6E9B"/>
    <w:rsid w:val="006B7C2A"/>
    <w:rsid w:val="006C23DA"/>
    <w:rsid w:val="006C4731"/>
    <w:rsid w:val="006D5A70"/>
    <w:rsid w:val="006D70B0"/>
    <w:rsid w:val="006E25A8"/>
    <w:rsid w:val="006E3D45"/>
    <w:rsid w:val="006F57C2"/>
    <w:rsid w:val="007028A6"/>
    <w:rsid w:val="0070607A"/>
    <w:rsid w:val="007149F9"/>
    <w:rsid w:val="00733A30"/>
    <w:rsid w:val="00745AEE"/>
    <w:rsid w:val="00750F10"/>
    <w:rsid w:val="007742CA"/>
    <w:rsid w:val="00790D70"/>
    <w:rsid w:val="007A6F1F"/>
    <w:rsid w:val="007A7DE0"/>
    <w:rsid w:val="007D5320"/>
    <w:rsid w:val="007F31F5"/>
    <w:rsid w:val="007F5678"/>
    <w:rsid w:val="00800972"/>
    <w:rsid w:val="00804475"/>
    <w:rsid w:val="00811633"/>
    <w:rsid w:val="00814037"/>
    <w:rsid w:val="00841216"/>
    <w:rsid w:val="00842AF0"/>
    <w:rsid w:val="0086171E"/>
    <w:rsid w:val="00872FC8"/>
    <w:rsid w:val="008845D0"/>
    <w:rsid w:val="00884D60"/>
    <w:rsid w:val="00896E56"/>
    <w:rsid w:val="008B43F2"/>
    <w:rsid w:val="008B6CFF"/>
    <w:rsid w:val="009274B4"/>
    <w:rsid w:val="00934EA2"/>
    <w:rsid w:val="00944A5C"/>
    <w:rsid w:val="00952A66"/>
    <w:rsid w:val="009877A8"/>
    <w:rsid w:val="009B1EA1"/>
    <w:rsid w:val="009B7C9A"/>
    <w:rsid w:val="009C56E5"/>
    <w:rsid w:val="009C7716"/>
    <w:rsid w:val="009D4CEA"/>
    <w:rsid w:val="009E5FC8"/>
    <w:rsid w:val="009E6825"/>
    <w:rsid w:val="009E687A"/>
    <w:rsid w:val="009F236F"/>
    <w:rsid w:val="00A066F1"/>
    <w:rsid w:val="00A141AF"/>
    <w:rsid w:val="00A16D29"/>
    <w:rsid w:val="00A30305"/>
    <w:rsid w:val="00A31D2D"/>
    <w:rsid w:val="00A4600A"/>
    <w:rsid w:val="00A538A6"/>
    <w:rsid w:val="00A54C25"/>
    <w:rsid w:val="00A710E7"/>
    <w:rsid w:val="00A7372E"/>
    <w:rsid w:val="00A74326"/>
    <w:rsid w:val="00A810A0"/>
    <w:rsid w:val="00A8284C"/>
    <w:rsid w:val="00A9009E"/>
    <w:rsid w:val="00A91B2F"/>
    <w:rsid w:val="00A93B85"/>
    <w:rsid w:val="00AA0B18"/>
    <w:rsid w:val="00AA3C65"/>
    <w:rsid w:val="00AA666F"/>
    <w:rsid w:val="00AB2976"/>
    <w:rsid w:val="00AB5AC4"/>
    <w:rsid w:val="00AD7914"/>
    <w:rsid w:val="00AE514B"/>
    <w:rsid w:val="00B40888"/>
    <w:rsid w:val="00B639E9"/>
    <w:rsid w:val="00B817CD"/>
    <w:rsid w:val="00B81A7D"/>
    <w:rsid w:val="00B91EF7"/>
    <w:rsid w:val="00B939D7"/>
    <w:rsid w:val="00B9413B"/>
    <w:rsid w:val="00B94AD0"/>
    <w:rsid w:val="00BB3A95"/>
    <w:rsid w:val="00BC75DE"/>
    <w:rsid w:val="00BD6CCE"/>
    <w:rsid w:val="00C0018F"/>
    <w:rsid w:val="00C16A5A"/>
    <w:rsid w:val="00C20466"/>
    <w:rsid w:val="00C214ED"/>
    <w:rsid w:val="00C234E6"/>
    <w:rsid w:val="00C324A8"/>
    <w:rsid w:val="00C54517"/>
    <w:rsid w:val="00C56F70"/>
    <w:rsid w:val="00C57B91"/>
    <w:rsid w:val="00C64CD8"/>
    <w:rsid w:val="00C71308"/>
    <w:rsid w:val="00C82695"/>
    <w:rsid w:val="00C97C68"/>
    <w:rsid w:val="00CA1A47"/>
    <w:rsid w:val="00CA3DFC"/>
    <w:rsid w:val="00CB44E5"/>
    <w:rsid w:val="00CC247A"/>
    <w:rsid w:val="00CE388F"/>
    <w:rsid w:val="00CE5E47"/>
    <w:rsid w:val="00CF020F"/>
    <w:rsid w:val="00CF0999"/>
    <w:rsid w:val="00CF2B5B"/>
    <w:rsid w:val="00D06CE5"/>
    <w:rsid w:val="00D14CE0"/>
    <w:rsid w:val="00D255D4"/>
    <w:rsid w:val="00D261BC"/>
    <w:rsid w:val="00D268B3"/>
    <w:rsid w:val="00D43CA9"/>
    <w:rsid w:val="00D52FD6"/>
    <w:rsid w:val="00D54009"/>
    <w:rsid w:val="00D5651D"/>
    <w:rsid w:val="00D57A34"/>
    <w:rsid w:val="00D74898"/>
    <w:rsid w:val="00D75B70"/>
    <w:rsid w:val="00D801ED"/>
    <w:rsid w:val="00D936BC"/>
    <w:rsid w:val="00D9460F"/>
    <w:rsid w:val="00D96530"/>
    <w:rsid w:val="00DA1CB1"/>
    <w:rsid w:val="00DC1E46"/>
    <w:rsid w:val="00DD44AF"/>
    <w:rsid w:val="00DE1F11"/>
    <w:rsid w:val="00DE2AC3"/>
    <w:rsid w:val="00DE5692"/>
    <w:rsid w:val="00DE5993"/>
    <w:rsid w:val="00DE6300"/>
    <w:rsid w:val="00DF36C4"/>
    <w:rsid w:val="00DF4BC6"/>
    <w:rsid w:val="00DF78E0"/>
    <w:rsid w:val="00E03C94"/>
    <w:rsid w:val="00E13853"/>
    <w:rsid w:val="00E205BC"/>
    <w:rsid w:val="00E21CF1"/>
    <w:rsid w:val="00E26226"/>
    <w:rsid w:val="00E45D05"/>
    <w:rsid w:val="00E55816"/>
    <w:rsid w:val="00E55AEF"/>
    <w:rsid w:val="00E56A85"/>
    <w:rsid w:val="00E70BBA"/>
    <w:rsid w:val="00E74FD7"/>
    <w:rsid w:val="00E976C1"/>
    <w:rsid w:val="00EA12E5"/>
    <w:rsid w:val="00EB0812"/>
    <w:rsid w:val="00EB54B2"/>
    <w:rsid w:val="00EB55C6"/>
    <w:rsid w:val="00EC742C"/>
    <w:rsid w:val="00EF1932"/>
    <w:rsid w:val="00EF71B6"/>
    <w:rsid w:val="00F02766"/>
    <w:rsid w:val="00F05BD4"/>
    <w:rsid w:val="00F06473"/>
    <w:rsid w:val="00F320AA"/>
    <w:rsid w:val="00F53AC7"/>
    <w:rsid w:val="00F56081"/>
    <w:rsid w:val="00F6155B"/>
    <w:rsid w:val="00F65C19"/>
    <w:rsid w:val="00F822B0"/>
    <w:rsid w:val="00F86E02"/>
    <w:rsid w:val="00FD08E2"/>
    <w:rsid w:val="00FD18DA"/>
    <w:rsid w:val="00FD2546"/>
    <w:rsid w:val="00FD772E"/>
    <w:rsid w:val="00FE03DB"/>
    <w:rsid w:val="00FE78C7"/>
    <w:rsid w:val="00FF366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C1876E0"/>
  <w15:docId w15:val="{E6966D8B-79D4-482D-9546-7B185F758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link w:val="CallChar"/>
    <w:qFormat/>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EB54B2"/>
    <w:pPr>
      <w:spacing w:after="240"/>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EB54B2"/>
    <w:pPr>
      <w:keepNext/>
      <w:keepLines/>
      <w:spacing w:before="0" w:after="12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link w:val="NormalaftertitleChar"/>
    <w:qFormat/>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Tabletext"/>
    <w:rsid w:val="00EB54B2"/>
    <w:rPr>
      <w:sz w:val="18"/>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B54B2"/>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link w:val="RestitleChar"/>
    <w:qFormat/>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paragraph" w:styleId="BalloonText">
    <w:name w:val="Balloon Text"/>
    <w:basedOn w:val="Normal"/>
    <w:link w:val="BalloonTextChar"/>
    <w:semiHidden/>
    <w:unhideWhenUsed/>
    <w:rsid w:val="00202756"/>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02756"/>
    <w:rPr>
      <w:rFonts w:ascii="Segoe UI" w:hAnsi="Segoe UI" w:cs="Segoe UI"/>
      <w:sz w:val="18"/>
      <w:szCs w:val="18"/>
      <w:lang w:val="en-GB" w:eastAsia="en-US"/>
    </w:rPr>
  </w:style>
  <w:style w:type="paragraph" w:customStyle="1" w:styleId="Tablesplit">
    <w:name w:val="Table_split"/>
    <w:basedOn w:val="Tabletext"/>
    <w:qFormat/>
    <w:rsid w:val="00CA3DFC"/>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customStyle="1" w:styleId="Provsplit">
    <w:name w:val="Prov_split"/>
    <w:basedOn w:val="DefaultParagraphFont"/>
    <w:qFormat/>
    <w:rsid w:val="00CA3DFC"/>
    <w:rPr>
      <w:rFonts w:ascii="Times New Roman" w:hAnsi="Times New Roman"/>
      <w:b w:val="0"/>
    </w:rPr>
  </w:style>
  <w:style w:type="paragraph" w:customStyle="1" w:styleId="Normalsplit">
    <w:name w:val="Normal_split"/>
    <w:basedOn w:val="Normal"/>
    <w:qFormat/>
    <w:rsid w:val="00CA3DFC"/>
  </w:style>
  <w:style w:type="paragraph" w:customStyle="1" w:styleId="Headingsplit">
    <w:name w:val="Heading_split"/>
    <w:basedOn w:val="Headingi"/>
    <w:qFormat/>
    <w:rsid w:val="00CA3DFC"/>
    <w:rPr>
      <w:lang w:val="en-US"/>
    </w:rPr>
  </w:style>
  <w:style w:type="paragraph" w:customStyle="1" w:styleId="MethodHeadingb">
    <w:name w:val="Method_Headingb"/>
    <w:basedOn w:val="Headingb"/>
    <w:qFormat/>
    <w:rsid w:val="00EB54B2"/>
    <w:pPr>
      <w:tabs>
        <w:tab w:val="clear" w:pos="1134"/>
        <w:tab w:val="clear" w:pos="1871"/>
        <w:tab w:val="clear" w:pos="2268"/>
      </w:tabs>
      <w:overflowPunct/>
      <w:autoSpaceDE/>
      <w:autoSpaceDN/>
      <w:adjustRightInd/>
      <w:textAlignment w:val="auto"/>
    </w:pPr>
  </w:style>
  <w:style w:type="paragraph" w:customStyle="1" w:styleId="Methodheading1">
    <w:name w:val="Method_heading1"/>
    <w:basedOn w:val="Heading1"/>
    <w:next w:val="Normal"/>
    <w:qFormat/>
    <w:rsid w:val="00EF71B6"/>
  </w:style>
  <w:style w:type="paragraph" w:customStyle="1" w:styleId="Methodheading2">
    <w:name w:val="Method_heading2"/>
    <w:basedOn w:val="Heading2"/>
    <w:next w:val="Normal"/>
    <w:qFormat/>
    <w:rsid w:val="00EF71B6"/>
  </w:style>
  <w:style w:type="paragraph" w:customStyle="1" w:styleId="Methodheading3">
    <w:name w:val="Method_heading3"/>
    <w:basedOn w:val="Heading3"/>
    <w:next w:val="Normal"/>
    <w:qFormat/>
    <w:rsid w:val="00EF71B6"/>
  </w:style>
  <w:style w:type="paragraph" w:customStyle="1" w:styleId="Methodheading4">
    <w:name w:val="Method_heading4"/>
    <w:basedOn w:val="Heading4"/>
    <w:next w:val="Normal"/>
    <w:qFormat/>
    <w:rsid w:val="00EF71B6"/>
  </w:style>
  <w:style w:type="paragraph" w:customStyle="1" w:styleId="TableTextS5">
    <w:name w:val="Table_TextS5"/>
    <w:basedOn w:val="Normal"/>
    <w:rsid w:val="00C82695"/>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fin">
    <w:name w:val="Table_fin"/>
    <w:basedOn w:val="Tabletext"/>
    <w:qFormat/>
    <w:rsid w:val="00F822B0"/>
    <w:pPr>
      <w:spacing w:before="0" w:after="0"/>
    </w:pPr>
  </w:style>
  <w:style w:type="paragraph" w:customStyle="1" w:styleId="EditorsNote">
    <w:name w:val="EditorsNote"/>
    <w:basedOn w:val="Normal"/>
    <w:qFormat/>
    <w:rsid w:val="00EB54B2"/>
    <w:pPr>
      <w:spacing w:before="240" w:after="240"/>
    </w:pPr>
    <w:rPr>
      <w:i/>
    </w:rPr>
  </w:style>
  <w:style w:type="character" w:styleId="Hyperlink">
    <w:name w:val="Hyperlink"/>
    <w:basedOn w:val="DefaultParagraphFont"/>
    <w:uiPriority w:val="99"/>
    <w:semiHidden/>
    <w:unhideWhenUsed/>
    <w:rPr>
      <w:color w:val="0000FF" w:themeColor="hyperlink"/>
      <w:u w:val="single"/>
    </w:rPr>
  </w:style>
  <w:style w:type="character" w:customStyle="1" w:styleId="NormalaftertitleChar">
    <w:name w:val="Normal after title Char"/>
    <w:basedOn w:val="DefaultParagraphFont"/>
    <w:link w:val="Normalaftertitle"/>
    <w:qFormat/>
    <w:locked/>
    <w:rsid w:val="00B939D7"/>
    <w:rPr>
      <w:rFonts w:ascii="Times New Roman" w:hAnsi="Times New Roman"/>
      <w:sz w:val="24"/>
      <w:lang w:val="en-GB" w:eastAsia="en-US"/>
    </w:rPr>
  </w:style>
  <w:style w:type="character" w:customStyle="1" w:styleId="RestitleChar">
    <w:name w:val="Res_title Char"/>
    <w:link w:val="Restitle"/>
    <w:qFormat/>
    <w:rsid w:val="00B939D7"/>
    <w:rPr>
      <w:rFonts w:ascii="Times New Roman Bold" w:hAnsi="Times New Roman Bold"/>
      <w:b/>
      <w:sz w:val="28"/>
      <w:lang w:val="en-GB" w:eastAsia="en-US"/>
    </w:rPr>
  </w:style>
  <w:style w:type="character" w:customStyle="1" w:styleId="CallChar">
    <w:name w:val="Call Char"/>
    <w:basedOn w:val="DefaultParagraphFont"/>
    <w:link w:val="Call"/>
    <w:qFormat/>
    <w:locked/>
    <w:rsid w:val="00441E33"/>
    <w:rPr>
      <w:rFonts w:ascii="Times New Roman" w:hAnsi="Times New Roman"/>
      <w:i/>
      <w:sz w:val="24"/>
      <w:lang w:val="en-GB" w:eastAsia="en-US"/>
    </w:rPr>
  </w:style>
  <w:style w:type="paragraph" w:styleId="Revision">
    <w:name w:val="Revision"/>
    <w:hidden/>
    <w:uiPriority w:val="99"/>
    <w:semiHidden/>
    <w:rsid w:val="00F86E02"/>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BFA528CE1D8294396E46BAD2517FBF6" ma:contentTypeVersion="12" ma:contentTypeDescription="Create a new document." ma:contentTypeScope="" ma:versionID="94285b97e88f2c839d498d2d7659fc4d">
  <xsd:schema xmlns:xsd="http://www.w3.org/2001/XMLSchema" xmlns:xs="http://www.w3.org/2001/XMLSchema" xmlns:p="http://schemas.microsoft.com/office/2006/metadata/properties" xmlns:ns2="76b7d054-b29f-418b-b414-6b742f999448" xmlns:ns3="b9f87034-1e33-420b-8ff9-da24a529006f" targetNamespace="http://schemas.microsoft.com/office/2006/metadata/properties" ma:root="true" ma:fieldsID="5a9f648c1b52a11f05962b9faea6528c" ns2:_="" ns3:_="">
    <xsd:import namespace="76b7d054-b29f-418b-b414-6b742f999448"/>
    <xsd:import namespace="b9f87034-1e33-420b-8ff9-da24a529006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DPM_x0020_File_x0020_name" minOccurs="0"/>
                <xsd:element ref="ns2:DPM_x0020_Author" minOccurs="0"/>
                <xsd:element ref="ns2:DPM_x0020_Version" minOccurs="0"/>
                <xsd:element ref="ns2:MediaServiceObjectDetectorVersions"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b7d054-b29f-418b-b414-6b742f9994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Author" ma:index="13" nillable="true" ma:displayName="DPM Author" ma:internalName="DPM_x0020_Author">
      <xsd:simpleType>
        <xsd:restriction base="dms:Text">
          <xsd:maxLength value="255"/>
        </xsd:restriction>
      </xsd:simpleType>
    </xsd:element>
    <xsd:element name="DPM_x0020_Version" ma:index="14" nillable="true" ma:displayName="DPM Version" ma:internalName="DPM_x0020_Version">
      <xsd:simpleType>
        <xsd:restriction base="dms:Text">
          <xsd:maxLength value="255"/>
        </xsd:restrictio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9f87034-1e33-420b-8ff9-da24a529006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ources xmlns:b="http://schemas.openxmlformats.org/officeDocument/2006/bibliography" xmlns="http://schemas.openxmlformats.org/officeDocument/2006/bibliography" SelectedStyle="\APA.XSL" StyleName="APA"/>
</file>

<file path=customXml/item4.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DPM_x0020_File_x0020_name xmlns="76b7d054-b29f-418b-b414-6b742f999448">R23-WRC23-C-0062!A27-A7!MSW-E</DPM_x0020_File_x0020_name>
    <DPM_x0020_Author xmlns="76b7d054-b29f-418b-b414-6b742f999448">DPM</DPM_x0020_Author>
    <DPM_x0020_Version xmlns="76b7d054-b29f-418b-b414-6b742f999448">DPM_2022.05.12.01</DPM_x0020_Version>
  </documentManagement>
</p:properties>
</file>

<file path=customXml/itemProps1.xml><?xml version="1.0" encoding="utf-8"?>
<ds:datastoreItem xmlns:ds="http://schemas.openxmlformats.org/officeDocument/2006/customXml" ds:itemID="{FEA7EED5-79A2-4DC6-88B9-2BC890F245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b7d054-b29f-418b-b414-6b742f999448"/>
    <ds:schemaRef ds:uri="b9f87034-1e33-420b-8ff9-da24a52900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0716B07-7036-4C4A-9502-47601C779684}">
  <ds:schemaRefs>
    <ds:schemaRef ds:uri="http://schemas.microsoft.com/sharepoint/v3/contenttype/forms"/>
  </ds:schemaRefs>
</ds:datastoreItem>
</file>

<file path=customXml/itemProps3.xml><?xml version="1.0" encoding="utf-8"?>
<ds:datastoreItem xmlns:ds="http://schemas.openxmlformats.org/officeDocument/2006/customXml" ds:itemID="{4E9C0B50-234E-483C-9238-53BC98EFCD04}">
  <ds:schemaRefs>
    <ds:schemaRef ds:uri="http://schemas.openxmlformats.org/officeDocument/2006/bibliography"/>
  </ds:schemaRefs>
</ds:datastoreItem>
</file>

<file path=customXml/itemProps4.xml><?xml version="1.0" encoding="utf-8"?>
<ds:datastoreItem xmlns:ds="http://schemas.openxmlformats.org/officeDocument/2006/customXml" ds:itemID="{A8A99A6E-83DE-4C89-8FF2-2AA46935D0D5}">
  <ds:schemaRefs>
    <ds:schemaRef ds:uri="http://schemas.microsoft.com/sharepoint/events"/>
  </ds:schemaRefs>
</ds:datastoreItem>
</file>

<file path=customXml/itemProps5.xml><?xml version="1.0" encoding="utf-8"?>
<ds:datastoreItem xmlns:ds="http://schemas.openxmlformats.org/officeDocument/2006/customXml" ds:itemID="{BA52D1F2-A07B-4282-927E-505EF3C6FCE0}">
  <ds:schemaRefs>
    <ds:schemaRef ds:uri="http://schemas.microsoft.com/office/2006/metadata/properties"/>
    <ds:schemaRef ds:uri="http://schemas.microsoft.com/office/infopath/2007/PartnerControls"/>
    <ds:schemaRef ds:uri="76b7d054-b29f-418b-b414-6b742f999448"/>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4</Pages>
  <Words>952</Words>
  <Characters>5646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R23-WRC23-C-0062!A27-A7!MSW-E</vt:lpstr>
    </vt:vector>
  </TitlesOfParts>
  <Manager>General Secretariat - Pool</Manager>
  <Company>International Telecommunication Union (ITU)</Company>
  <LinksUpToDate>false</LinksUpToDate>
  <CharactersWithSpaces>6585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R23-WRC23-C-0062!A27-A7!MSW-E</dc:title>
  <dc:subject>World Radiocommunication Conference - 2023</dc:subject>
  <dc:creator>Documents Proposals Manager (DPM)</dc:creator>
  <cp:keywords>DPM_v2023.8.1.1_prod</cp:keywords>
  <dc:description>Uploaded on 2015.07.06</dc:description>
  <cp:lastModifiedBy>TPU E RR</cp:lastModifiedBy>
  <cp:revision>9</cp:revision>
  <cp:lastPrinted>2017-02-10T08:23:00Z</cp:lastPrinted>
  <dcterms:created xsi:type="dcterms:W3CDTF">2023-10-12T07:48:00Z</dcterms:created>
  <dcterms:modified xsi:type="dcterms:W3CDTF">2023-10-12T14:32:00Z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_dlc_DocIdItemGuid">
    <vt:lpwstr>e3f51d54-8436-4404-bce8-bbffce89a1d7</vt:lpwstr>
  </property>
  <property fmtid="{D5CDD505-2E9C-101B-9397-08002B2CF9AE}" pid="10" name="ContentTypeId">
    <vt:lpwstr>0x0101008BFA528CE1D8294396E46BAD2517FBF6</vt:lpwstr>
  </property>
</Properties>
</file>