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30E5E" w14:paraId="3584EAE8" w14:textId="77777777" w:rsidTr="00C1305F">
        <w:trPr>
          <w:cantSplit/>
        </w:trPr>
        <w:tc>
          <w:tcPr>
            <w:tcW w:w="1418" w:type="dxa"/>
            <w:vAlign w:val="center"/>
          </w:tcPr>
          <w:p w14:paraId="19DA0D02" w14:textId="77777777" w:rsidR="00C1305F" w:rsidRPr="00930E5E" w:rsidRDefault="00C1305F" w:rsidP="00C16C4F">
            <w:pPr>
              <w:spacing w:before="0"/>
              <w:rPr>
                <w:rFonts w:ascii="Verdana" w:hAnsi="Verdana"/>
                <w:b/>
                <w:bCs/>
                <w:sz w:val="20"/>
              </w:rPr>
            </w:pPr>
            <w:r w:rsidRPr="00930E5E">
              <w:drawing>
                <wp:inline distT="0" distB="0" distL="0" distR="0" wp14:anchorId="03DD2C40" wp14:editId="56F7422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D31D47A" w14:textId="17DEC871" w:rsidR="00C1305F" w:rsidRPr="00930E5E" w:rsidRDefault="00C1305F" w:rsidP="00C16C4F">
            <w:pPr>
              <w:spacing w:before="400" w:after="48"/>
              <w:rPr>
                <w:rFonts w:ascii="Verdana" w:hAnsi="Verdana"/>
                <w:b/>
                <w:bCs/>
                <w:sz w:val="20"/>
              </w:rPr>
            </w:pPr>
            <w:r w:rsidRPr="00930E5E">
              <w:rPr>
                <w:rFonts w:ascii="Verdana" w:hAnsi="Verdana"/>
                <w:b/>
                <w:bCs/>
                <w:sz w:val="20"/>
              </w:rPr>
              <w:t>Conférence mondiale des radiocommunications (CMR-23)</w:t>
            </w:r>
            <w:r w:rsidRPr="00930E5E">
              <w:rPr>
                <w:rFonts w:ascii="Verdana" w:hAnsi="Verdana"/>
                <w:b/>
                <w:bCs/>
                <w:sz w:val="20"/>
              </w:rPr>
              <w:br/>
            </w:r>
            <w:r w:rsidRPr="00930E5E">
              <w:rPr>
                <w:rFonts w:ascii="Verdana" w:hAnsi="Verdana"/>
                <w:b/>
                <w:bCs/>
                <w:sz w:val="18"/>
                <w:szCs w:val="18"/>
              </w:rPr>
              <w:t xml:space="preserve">Dubaï, 20 novembre </w:t>
            </w:r>
            <w:r w:rsidR="005A4E96" w:rsidRPr="00930E5E">
              <w:rPr>
                <w:rFonts w:ascii="Verdana" w:hAnsi="Verdana"/>
                <w:b/>
                <w:bCs/>
                <w:sz w:val="18"/>
                <w:szCs w:val="18"/>
              </w:rPr>
              <w:t>–</w:t>
            </w:r>
            <w:r w:rsidRPr="00930E5E">
              <w:rPr>
                <w:rFonts w:ascii="Verdana" w:hAnsi="Verdana"/>
                <w:b/>
                <w:bCs/>
                <w:sz w:val="18"/>
                <w:szCs w:val="18"/>
              </w:rPr>
              <w:t xml:space="preserve"> 15 décembre 2023</w:t>
            </w:r>
          </w:p>
        </w:tc>
        <w:tc>
          <w:tcPr>
            <w:tcW w:w="1809" w:type="dxa"/>
            <w:vAlign w:val="center"/>
          </w:tcPr>
          <w:p w14:paraId="5BB1227D" w14:textId="77777777" w:rsidR="00C1305F" w:rsidRPr="00930E5E" w:rsidRDefault="00C1305F" w:rsidP="00C16C4F">
            <w:pPr>
              <w:spacing w:before="0"/>
            </w:pPr>
            <w:bookmarkStart w:id="0" w:name="ditulogo"/>
            <w:bookmarkEnd w:id="0"/>
            <w:r w:rsidRPr="00930E5E">
              <w:drawing>
                <wp:inline distT="0" distB="0" distL="0" distR="0" wp14:anchorId="66B1C721" wp14:editId="4D312B9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30E5E" w14:paraId="2F25BC17" w14:textId="77777777" w:rsidTr="0050008E">
        <w:trPr>
          <w:cantSplit/>
        </w:trPr>
        <w:tc>
          <w:tcPr>
            <w:tcW w:w="6911" w:type="dxa"/>
            <w:gridSpan w:val="2"/>
            <w:tcBorders>
              <w:bottom w:val="single" w:sz="12" w:space="0" w:color="auto"/>
            </w:tcBorders>
          </w:tcPr>
          <w:p w14:paraId="4734836C" w14:textId="77777777" w:rsidR="00BB1D82" w:rsidRPr="00930E5E" w:rsidRDefault="00BB1D82" w:rsidP="00C16C4F">
            <w:pPr>
              <w:spacing w:before="0" w:after="48"/>
              <w:rPr>
                <w:b/>
                <w:smallCaps/>
                <w:szCs w:val="24"/>
              </w:rPr>
            </w:pPr>
            <w:bookmarkStart w:id="1" w:name="dhead"/>
          </w:p>
        </w:tc>
        <w:tc>
          <w:tcPr>
            <w:tcW w:w="3120" w:type="dxa"/>
            <w:gridSpan w:val="2"/>
            <w:tcBorders>
              <w:bottom w:val="single" w:sz="12" w:space="0" w:color="auto"/>
            </w:tcBorders>
          </w:tcPr>
          <w:p w14:paraId="44A2A877" w14:textId="77777777" w:rsidR="00BB1D82" w:rsidRPr="00930E5E" w:rsidRDefault="00BB1D82" w:rsidP="00C16C4F">
            <w:pPr>
              <w:spacing w:before="0"/>
              <w:rPr>
                <w:rFonts w:ascii="Verdana" w:hAnsi="Verdana"/>
                <w:szCs w:val="24"/>
              </w:rPr>
            </w:pPr>
          </w:p>
        </w:tc>
      </w:tr>
      <w:tr w:rsidR="00BB1D82" w:rsidRPr="00930E5E" w14:paraId="51BEDC89" w14:textId="77777777" w:rsidTr="00BB1D82">
        <w:trPr>
          <w:cantSplit/>
        </w:trPr>
        <w:tc>
          <w:tcPr>
            <w:tcW w:w="6911" w:type="dxa"/>
            <w:gridSpan w:val="2"/>
            <w:tcBorders>
              <w:top w:val="single" w:sz="12" w:space="0" w:color="auto"/>
            </w:tcBorders>
          </w:tcPr>
          <w:p w14:paraId="55AD968C" w14:textId="77777777" w:rsidR="00BB1D82" w:rsidRPr="00930E5E" w:rsidRDefault="00BB1D82" w:rsidP="00C16C4F">
            <w:pPr>
              <w:spacing w:before="0" w:after="48"/>
              <w:rPr>
                <w:rFonts w:ascii="Verdana" w:hAnsi="Verdana"/>
                <w:b/>
                <w:smallCaps/>
                <w:sz w:val="20"/>
              </w:rPr>
            </w:pPr>
          </w:p>
        </w:tc>
        <w:tc>
          <w:tcPr>
            <w:tcW w:w="3120" w:type="dxa"/>
            <w:gridSpan w:val="2"/>
            <w:tcBorders>
              <w:top w:val="single" w:sz="12" w:space="0" w:color="auto"/>
            </w:tcBorders>
          </w:tcPr>
          <w:p w14:paraId="7F754AAD" w14:textId="77777777" w:rsidR="00BB1D82" w:rsidRPr="00930E5E" w:rsidRDefault="00BB1D82" w:rsidP="00C16C4F">
            <w:pPr>
              <w:spacing w:before="0"/>
              <w:rPr>
                <w:rFonts w:ascii="Verdana" w:hAnsi="Verdana"/>
                <w:sz w:val="20"/>
              </w:rPr>
            </w:pPr>
          </w:p>
        </w:tc>
      </w:tr>
      <w:tr w:rsidR="00BB1D82" w:rsidRPr="00930E5E" w14:paraId="044F3D3F" w14:textId="77777777" w:rsidTr="00BB1D82">
        <w:trPr>
          <w:cantSplit/>
        </w:trPr>
        <w:tc>
          <w:tcPr>
            <w:tcW w:w="6911" w:type="dxa"/>
            <w:gridSpan w:val="2"/>
          </w:tcPr>
          <w:p w14:paraId="221F6031" w14:textId="77777777" w:rsidR="00BB1D82" w:rsidRPr="00930E5E" w:rsidRDefault="006D4724" w:rsidP="00997036">
            <w:pPr>
              <w:spacing w:before="0"/>
              <w:rPr>
                <w:rFonts w:ascii="Verdana" w:hAnsi="Verdana"/>
                <w:b/>
                <w:sz w:val="20"/>
              </w:rPr>
            </w:pPr>
            <w:r w:rsidRPr="00930E5E">
              <w:rPr>
                <w:rFonts w:ascii="Verdana" w:hAnsi="Verdana"/>
                <w:b/>
                <w:sz w:val="20"/>
              </w:rPr>
              <w:t>SÉANCE PLÉNIÈRE</w:t>
            </w:r>
          </w:p>
        </w:tc>
        <w:tc>
          <w:tcPr>
            <w:tcW w:w="3120" w:type="dxa"/>
            <w:gridSpan w:val="2"/>
          </w:tcPr>
          <w:p w14:paraId="28BA0B46" w14:textId="77777777" w:rsidR="00BB1D82" w:rsidRPr="00930E5E" w:rsidRDefault="006D4724" w:rsidP="00997036">
            <w:pPr>
              <w:spacing w:before="0"/>
              <w:rPr>
                <w:rFonts w:ascii="Verdana" w:hAnsi="Verdana"/>
                <w:sz w:val="20"/>
              </w:rPr>
            </w:pPr>
            <w:r w:rsidRPr="00930E5E">
              <w:rPr>
                <w:rFonts w:ascii="Verdana" w:hAnsi="Verdana"/>
                <w:b/>
                <w:sz w:val="20"/>
              </w:rPr>
              <w:t>Addendum 6 au</w:t>
            </w:r>
            <w:r w:rsidRPr="00930E5E">
              <w:rPr>
                <w:rFonts w:ascii="Verdana" w:hAnsi="Verdana"/>
                <w:b/>
                <w:sz w:val="20"/>
              </w:rPr>
              <w:br/>
              <w:t>Document 62(Add.27)</w:t>
            </w:r>
            <w:r w:rsidR="00BB1D82" w:rsidRPr="00930E5E">
              <w:rPr>
                <w:rFonts w:ascii="Verdana" w:hAnsi="Verdana"/>
                <w:b/>
                <w:sz w:val="20"/>
              </w:rPr>
              <w:t>-</w:t>
            </w:r>
            <w:r w:rsidRPr="00930E5E">
              <w:rPr>
                <w:rFonts w:ascii="Verdana" w:hAnsi="Verdana"/>
                <w:b/>
                <w:sz w:val="20"/>
              </w:rPr>
              <w:t>F</w:t>
            </w:r>
          </w:p>
        </w:tc>
      </w:tr>
      <w:bookmarkEnd w:id="1"/>
      <w:tr w:rsidR="00690C7B" w:rsidRPr="00930E5E" w14:paraId="706E2F4C" w14:textId="77777777" w:rsidTr="00BB1D82">
        <w:trPr>
          <w:cantSplit/>
        </w:trPr>
        <w:tc>
          <w:tcPr>
            <w:tcW w:w="6911" w:type="dxa"/>
            <w:gridSpan w:val="2"/>
          </w:tcPr>
          <w:p w14:paraId="6EED51EE" w14:textId="77777777" w:rsidR="00690C7B" w:rsidRPr="00930E5E" w:rsidRDefault="00690C7B" w:rsidP="00997036">
            <w:pPr>
              <w:spacing w:before="0"/>
              <w:rPr>
                <w:rFonts w:ascii="Verdana" w:hAnsi="Verdana"/>
                <w:b/>
                <w:sz w:val="20"/>
              </w:rPr>
            </w:pPr>
          </w:p>
        </w:tc>
        <w:tc>
          <w:tcPr>
            <w:tcW w:w="3120" w:type="dxa"/>
            <w:gridSpan w:val="2"/>
          </w:tcPr>
          <w:p w14:paraId="216D1292" w14:textId="77777777" w:rsidR="00690C7B" w:rsidRPr="00930E5E" w:rsidRDefault="00690C7B" w:rsidP="00997036">
            <w:pPr>
              <w:spacing w:before="0"/>
              <w:rPr>
                <w:rFonts w:ascii="Verdana" w:hAnsi="Verdana"/>
                <w:b/>
                <w:sz w:val="20"/>
              </w:rPr>
            </w:pPr>
            <w:r w:rsidRPr="00930E5E">
              <w:rPr>
                <w:rFonts w:ascii="Verdana" w:hAnsi="Verdana"/>
                <w:b/>
                <w:sz w:val="20"/>
              </w:rPr>
              <w:t>26 septembre 2023</w:t>
            </w:r>
          </w:p>
        </w:tc>
      </w:tr>
      <w:tr w:rsidR="00690C7B" w:rsidRPr="00930E5E" w14:paraId="49C2E157" w14:textId="77777777" w:rsidTr="00BB1D82">
        <w:trPr>
          <w:cantSplit/>
        </w:trPr>
        <w:tc>
          <w:tcPr>
            <w:tcW w:w="6911" w:type="dxa"/>
            <w:gridSpan w:val="2"/>
          </w:tcPr>
          <w:p w14:paraId="4E1962A8" w14:textId="77777777" w:rsidR="00690C7B" w:rsidRPr="00930E5E" w:rsidRDefault="00690C7B" w:rsidP="00997036">
            <w:pPr>
              <w:spacing w:before="0" w:after="48"/>
              <w:rPr>
                <w:rFonts w:ascii="Verdana" w:hAnsi="Verdana"/>
                <w:b/>
                <w:smallCaps/>
                <w:sz w:val="20"/>
              </w:rPr>
            </w:pPr>
          </w:p>
        </w:tc>
        <w:tc>
          <w:tcPr>
            <w:tcW w:w="3120" w:type="dxa"/>
            <w:gridSpan w:val="2"/>
          </w:tcPr>
          <w:p w14:paraId="3EEA9E2C" w14:textId="77777777" w:rsidR="00690C7B" w:rsidRPr="00930E5E" w:rsidRDefault="00690C7B" w:rsidP="00997036">
            <w:pPr>
              <w:spacing w:before="0"/>
              <w:rPr>
                <w:rFonts w:ascii="Verdana" w:hAnsi="Verdana"/>
                <w:b/>
                <w:sz w:val="20"/>
              </w:rPr>
            </w:pPr>
            <w:r w:rsidRPr="00930E5E">
              <w:rPr>
                <w:rFonts w:ascii="Verdana" w:hAnsi="Verdana"/>
                <w:b/>
                <w:sz w:val="20"/>
              </w:rPr>
              <w:t>Original: anglais</w:t>
            </w:r>
          </w:p>
        </w:tc>
      </w:tr>
      <w:tr w:rsidR="00690C7B" w:rsidRPr="00930E5E" w14:paraId="738250A7" w14:textId="77777777" w:rsidTr="00C11970">
        <w:trPr>
          <w:cantSplit/>
        </w:trPr>
        <w:tc>
          <w:tcPr>
            <w:tcW w:w="10031" w:type="dxa"/>
            <w:gridSpan w:val="4"/>
          </w:tcPr>
          <w:p w14:paraId="544B9AE6" w14:textId="77777777" w:rsidR="00690C7B" w:rsidRPr="00930E5E" w:rsidRDefault="00690C7B" w:rsidP="00997036">
            <w:pPr>
              <w:spacing w:before="0"/>
              <w:rPr>
                <w:rFonts w:ascii="Verdana" w:hAnsi="Verdana"/>
                <w:b/>
                <w:sz w:val="20"/>
              </w:rPr>
            </w:pPr>
          </w:p>
        </w:tc>
      </w:tr>
      <w:tr w:rsidR="00690C7B" w:rsidRPr="00930E5E" w14:paraId="32E73EE6" w14:textId="77777777" w:rsidTr="0050008E">
        <w:trPr>
          <w:cantSplit/>
        </w:trPr>
        <w:tc>
          <w:tcPr>
            <w:tcW w:w="10031" w:type="dxa"/>
            <w:gridSpan w:val="4"/>
          </w:tcPr>
          <w:p w14:paraId="695D1478" w14:textId="77777777" w:rsidR="00690C7B" w:rsidRPr="00930E5E" w:rsidRDefault="00690C7B" w:rsidP="00997036">
            <w:pPr>
              <w:pStyle w:val="Source"/>
            </w:pPr>
            <w:bookmarkStart w:id="2" w:name="dsource" w:colFirst="0" w:colLast="0"/>
            <w:r w:rsidRPr="00930E5E">
              <w:t>Propositions communes de la Télécommunauté Asie-Pacifique</w:t>
            </w:r>
          </w:p>
        </w:tc>
      </w:tr>
      <w:tr w:rsidR="00690C7B" w:rsidRPr="00930E5E" w14:paraId="7166495B" w14:textId="77777777" w:rsidTr="0050008E">
        <w:trPr>
          <w:cantSplit/>
        </w:trPr>
        <w:tc>
          <w:tcPr>
            <w:tcW w:w="10031" w:type="dxa"/>
            <w:gridSpan w:val="4"/>
          </w:tcPr>
          <w:p w14:paraId="6C64C855" w14:textId="15F75F6C" w:rsidR="00690C7B" w:rsidRPr="00930E5E" w:rsidRDefault="005A4E96" w:rsidP="00997036">
            <w:pPr>
              <w:pStyle w:val="Title1"/>
            </w:pPr>
            <w:bookmarkStart w:id="3" w:name="dtitle1" w:colFirst="0" w:colLast="0"/>
            <w:bookmarkEnd w:id="2"/>
            <w:r w:rsidRPr="00930E5E">
              <w:rPr>
                <w:rStyle w:val="ui-provider"/>
              </w:rPr>
              <w:t xml:space="preserve">Propositions </w:t>
            </w:r>
            <w:r w:rsidRPr="00930E5E">
              <w:t>pour</w:t>
            </w:r>
            <w:r w:rsidRPr="00930E5E">
              <w:rPr>
                <w:rStyle w:val="ui-provider"/>
              </w:rPr>
              <w:t xml:space="preserve"> les travaux de la Conférence</w:t>
            </w:r>
          </w:p>
        </w:tc>
      </w:tr>
      <w:tr w:rsidR="00690C7B" w:rsidRPr="00930E5E" w14:paraId="69C33FC3" w14:textId="77777777" w:rsidTr="0050008E">
        <w:trPr>
          <w:cantSplit/>
        </w:trPr>
        <w:tc>
          <w:tcPr>
            <w:tcW w:w="10031" w:type="dxa"/>
            <w:gridSpan w:val="4"/>
          </w:tcPr>
          <w:p w14:paraId="7C191839" w14:textId="77777777" w:rsidR="00690C7B" w:rsidRPr="00930E5E" w:rsidRDefault="00690C7B" w:rsidP="00997036">
            <w:pPr>
              <w:pStyle w:val="Title2"/>
            </w:pPr>
            <w:bookmarkStart w:id="4" w:name="dtitle2" w:colFirst="0" w:colLast="0"/>
            <w:bookmarkEnd w:id="3"/>
          </w:p>
        </w:tc>
      </w:tr>
      <w:tr w:rsidR="00690C7B" w:rsidRPr="00930E5E" w14:paraId="69D69B47" w14:textId="77777777" w:rsidTr="0050008E">
        <w:trPr>
          <w:cantSplit/>
        </w:trPr>
        <w:tc>
          <w:tcPr>
            <w:tcW w:w="10031" w:type="dxa"/>
            <w:gridSpan w:val="4"/>
          </w:tcPr>
          <w:p w14:paraId="0271FBD4" w14:textId="77777777" w:rsidR="00690C7B" w:rsidRPr="00930E5E" w:rsidRDefault="00690C7B" w:rsidP="00997036">
            <w:pPr>
              <w:pStyle w:val="Agendaitem"/>
              <w:rPr>
                <w:lang w:val="fr-FR"/>
              </w:rPr>
            </w:pPr>
            <w:bookmarkStart w:id="5" w:name="dtitle3" w:colFirst="0" w:colLast="0"/>
            <w:bookmarkEnd w:id="4"/>
            <w:r w:rsidRPr="00930E5E">
              <w:rPr>
                <w:lang w:val="fr-FR"/>
              </w:rPr>
              <w:t>Point 10 de l'ordre du jour</w:t>
            </w:r>
          </w:p>
        </w:tc>
      </w:tr>
    </w:tbl>
    <w:bookmarkEnd w:id="5"/>
    <w:p w14:paraId="690FD387" w14:textId="5CEAF19E" w:rsidR="00F469FB" w:rsidRPr="00930E5E" w:rsidRDefault="00F469FB" w:rsidP="00997036">
      <w:r w:rsidRPr="00930E5E">
        <w:t>10</w:t>
      </w:r>
      <w:r w:rsidRPr="00930E5E">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w:t>
      </w:r>
      <w:r w:rsidR="001820CE" w:rsidRPr="00930E5E">
        <w:t> </w:t>
      </w:r>
      <w:r w:rsidRPr="00930E5E">
        <w:rPr>
          <w:b/>
        </w:rPr>
        <w:t>804 (Rév.CMR-19)</w:t>
      </w:r>
      <w:r w:rsidRPr="00930E5E">
        <w:t>,</w:t>
      </w:r>
    </w:p>
    <w:p w14:paraId="1F32BFA1" w14:textId="08BF2F02" w:rsidR="003A583E" w:rsidRPr="00930E5E" w:rsidRDefault="005A4E96" w:rsidP="00997036">
      <w:pPr>
        <w:pStyle w:val="Headingb"/>
      </w:pPr>
      <w:r w:rsidRPr="00930E5E">
        <w:t>Introduction</w:t>
      </w:r>
    </w:p>
    <w:p w14:paraId="7209BEA5" w14:textId="66450232" w:rsidR="005A4E96" w:rsidRPr="00930E5E" w:rsidRDefault="006F68CC" w:rsidP="00997036">
      <w:r w:rsidRPr="00930E5E">
        <w:t xml:space="preserve">Les Membres de l'APT proposent un point </w:t>
      </w:r>
      <w:r w:rsidR="00997036" w:rsidRPr="00930E5E">
        <w:t xml:space="preserve">à inscrire </w:t>
      </w:r>
      <w:r w:rsidRPr="00930E5E">
        <w:t>à l'ordre du jour préliminaire de la</w:t>
      </w:r>
      <w:r w:rsidR="001820CE" w:rsidRPr="00930E5E">
        <w:t> </w:t>
      </w:r>
      <w:r w:rsidRPr="00930E5E">
        <w:t>CMR-31</w:t>
      </w:r>
      <w:r w:rsidR="00997036" w:rsidRPr="00930E5E">
        <w:t>,</w:t>
      </w:r>
      <w:r w:rsidRPr="00930E5E">
        <w:t xml:space="preserve"> </w:t>
      </w:r>
      <w:r w:rsidR="00997036" w:rsidRPr="00930E5E">
        <w:t>afin</w:t>
      </w:r>
      <w:r w:rsidRPr="00930E5E">
        <w:t xml:space="preserve"> </w:t>
      </w:r>
      <w:r w:rsidR="00997036" w:rsidRPr="00930E5E">
        <w:t>d'</w:t>
      </w:r>
      <w:r w:rsidRPr="00930E5E">
        <w:t>envisag</w:t>
      </w:r>
      <w:r w:rsidR="00997036" w:rsidRPr="00930E5E">
        <w:t>er</w:t>
      </w:r>
      <w:r w:rsidRPr="00930E5E">
        <w:t xml:space="preserve"> </w:t>
      </w:r>
      <w:r w:rsidR="00805568" w:rsidRPr="00930E5E">
        <w:t xml:space="preserve">de </w:t>
      </w:r>
      <w:r w:rsidRPr="00930E5E">
        <w:t>nouvelles attributions aux services fixe et mobile, au service de radioastronomie et au service d'exploration de la Terre par satellite (passive) à titre primaire avec égalité des droits dans la gamme de fréquences</w:t>
      </w:r>
      <w:r w:rsidR="001820CE" w:rsidRPr="00930E5E">
        <w:t> </w:t>
      </w:r>
      <w:r w:rsidRPr="00930E5E">
        <w:t>275</w:t>
      </w:r>
      <w:r w:rsidR="001820CE" w:rsidRPr="00930E5E">
        <w:noBreakHyphen/>
      </w:r>
      <w:r w:rsidR="007D0C5D" w:rsidRPr="00930E5E">
        <w:t>325 </w:t>
      </w:r>
      <w:r w:rsidRPr="00930E5E">
        <w:t>GHz dans le Tableau d'attribution des bande</w:t>
      </w:r>
      <w:r w:rsidR="00805568" w:rsidRPr="00930E5E">
        <w:t>s</w:t>
      </w:r>
      <w:r w:rsidRPr="00930E5E">
        <w:t xml:space="preserve"> de fréquences du Règlement des radiocommunications.</w:t>
      </w:r>
    </w:p>
    <w:p w14:paraId="5BF6A3A6" w14:textId="7FE55C72" w:rsidR="005A4E96" w:rsidRPr="00930E5E" w:rsidRDefault="005A4E96" w:rsidP="00C16C4F">
      <w:pPr>
        <w:pStyle w:val="Headingb"/>
      </w:pPr>
      <w:r w:rsidRPr="00930E5E">
        <w:t>Propositions</w:t>
      </w:r>
    </w:p>
    <w:p w14:paraId="78EE584E" w14:textId="77777777" w:rsidR="0015203F" w:rsidRPr="00930E5E" w:rsidRDefault="0015203F" w:rsidP="00997036">
      <w:pPr>
        <w:tabs>
          <w:tab w:val="clear" w:pos="1134"/>
          <w:tab w:val="clear" w:pos="1871"/>
          <w:tab w:val="clear" w:pos="2268"/>
        </w:tabs>
        <w:overflowPunct/>
        <w:autoSpaceDE/>
        <w:autoSpaceDN/>
        <w:adjustRightInd/>
        <w:spacing w:before="0"/>
        <w:textAlignment w:val="auto"/>
      </w:pPr>
      <w:r w:rsidRPr="00930E5E">
        <w:br w:type="page"/>
      </w:r>
    </w:p>
    <w:p w14:paraId="6ABE99DA" w14:textId="77777777" w:rsidR="00594B92" w:rsidRPr="00930E5E" w:rsidRDefault="00F469FB" w:rsidP="00997036">
      <w:pPr>
        <w:pStyle w:val="Proposal"/>
      </w:pPr>
      <w:r w:rsidRPr="00930E5E">
        <w:lastRenderedPageBreak/>
        <w:t>ADD</w:t>
      </w:r>
      <w:r w:rsidRPr="00930E5E">
        <w:tab/>
        <w:t>ACP/62A27A6/1</w:t>
      </w:r>
    </w:p>
    <w:p w14:paraId="2D21213B" w14:textId="72F5473C" w:rsidR="00594B92" w:rsidRPr="00930E5E" w:rsidRDefault="006F68CC" w:rsidP="00C16C4F">
      <w:pPr>
        <w:pStyle w:val="ResNo"/>
      </w:pPr>
      <w:r w:rsidRPr="00930E5E">
        <w:t>PROJET DE NOUVELLE RÉSOLUTION [ACP-AI10-2] (CMR-23)</w:t>
      </w:r>
    </w:p>
    <w:p w14:paraId="76EAE35A" w14:textId="04408384" w:rsidR="005A4E96" w:rsidRPr="00930E5E" w:rsidRDefault="006F68CC" w:rsidP="00C16C4F">
      <w:pPr>
        <w:pStyle w:val="Restitle"/>
      </w:pPr>
      <w:r w:rsidRPr="00930E5E">
        <w:t xml:space="preserve">Ordre du jour préliminaire de la Conférence mondiale </w:t>
      </w:r>
      <w:r w:rsidR="009F61BE" w:rsidRPr="00930E5E">
        <w:br/>
      </w:r>
      <w:r w:rsidRPr="00930E5E">
        <w:t>des radiocommunications de 2031</w:t>
      </w:r>
    </w:p>
    <w:p w14:paraId="138728FF" w14:textId="4209654E" w:rsidR="005A4E96" w:rsidRPr="00930E5E" w:rsidRDefault="000D1654" w:rsidP="00C16C4F">
      <w:pPr>
        <w:pStyle w:val="Normalaftertitle"/>
      </w:pPr>
      <w:r w:rsidRPr="00930E5E">
        <w:t>La Conférence mondiale des radiocommunications (Dubaï</w:t>
      </w:r>
      <w:r w:rsidR="006F68CC" w:rsidRPr="00930E5E">
        <w:t>, 2023),</w:t>
      </w:r>
    </w:p>
    <w:p w14:paraId="412807CA" w14:textId="292A9570" w:rsidR="005A4E96" w:rsidRPr="00930E5E" w:rsidRDefault="005A4E96" w:rsidP="00997036">
      <w:r w:rsidRPr="00930E5E">
        <w:t>...</w:t>
      </w:r>
    </w:p>
    <w:p w14:paraId="4D59F0BE" w14:textId="389BA350" w:rsidR="005A4E96" w:rsidRPr="00930E5E" w:rsidRDefault="005A4E96" w:rsidP="00C16C4F">
      <w:r w:rsidRPr="00930E5E">
        <w:t>2</w:t>
      </w:r>
      <w:r w:rsidRPr="00930E5E">
        <w:tab/>
      </w:r>
      <w:r w:rsidR="000D1654" w:rsidRPr="00930E5E">
        <w:t xml:space="preserve">sur la base des propositions des administrations et du </w:t>
      </w:r>
      <w:r w:rsidR="00997036" w:rsidRPr="00930E5E">
        <w:t>R</w:t>
      </w:r>
      <w:r w:rsidR="000D1654" w:rsidRPr="00930E5E">
        <w:t>apport de la Réunion de préparation à la Conférence, et compte tenu des résultats de la</w:t>
      </w:r>
      <w:r w:rsidR="001820CE" w:rsidRPr="00930E5E">
        <w:t> </w:t>
      </w:r>
      <w:r w:rsidR="000D1654" w:rsidRPr="00930E5E">
        <w:t>CMR-27, examiner les points suivants et prendre les mesures appropriées</w:t>
      </w:r>
      <w:r w:rsidR="006F68CC" w:rsidRPr="00930E5E">
        <w:t>:</w:t>
      </w:r>
    </w:p>
    <w:p w14:paraId="4FB3BFD6" w14:textId="1E1C87D5" w:rsidR="005A4E96" w:rsidRPr="00930E5E" w:rsidRDefault="005A4E96" w:rsidP="00C16C4F">
      <w:r w:rsidRPr="00930E5E">
        <w:t>2.1</w:t>
      </w:r>
      <w:r w:rsidRPr="00930E5E">
        <w:tab/>
        <w:t>envisager de nouvelles attributions aux services fixe et mobile, au service de radioastronomie et au service d'exploration de la Terre par satellite (passive) à titre primaire avec égalité des droits dans la gamme de fréquences</w:t>
      </w:r>
      <w:r w:rsidR="001820CE" w:rsidRPr="00930E5E">
        <w:t> </w:t>
      </w:r>
      <w:r w:rsidRPr="00930E5E">
        <w:t>275</w:t>
      </w:r>
      <w:r w:rsidR="001820CE" w:rsidRPr="00930E5E">
        <w:noBreakHyphen/>
      </w:r>
      <w:r w:rsidRPr="00930E5E">
        <w:t>325</w:t>
      </w:r>
      <w:r w:rsidR="001820CE" w:rsidRPr="00930E5E">
        <w:t> </w:t>
      </w:r>
      <w:r w:rsidRPr="00930E5E">
        <w:t>GHz dans le Tableau d'attribution des bande</w:t>
      </w:r>
      <w:r w:rsidR="00F37BD1" w:rsidRPr="00930E5E">
        <w:t>s</w:t>
      </w:r>
      <w:r w:rsidRPr="00930E5E">
        <w:t xml:space="preserve"> de fréquences du </w:t>
      </w:r>
      <w:r w:rsidR="000D1654" w:rsidRPr="00930E5E">
        <w:t>Règlement des radiocommunications</w:t>
      </w:r>
      <w:r w:rsidRPr="00930E5E">
        <w:t>, avec la mise à jour en conséquence des numéros </w:t>
      </w:r>
      <w:r w:rsidRPr="00930E5E">
        <w:rPr>
          <w:b/>
          <w:bCs/>
        </w:rPr>
        <w:t>5.138</w:t>
      </w:r>
      <w:r w:rsidRPr="00930E5E">
        <w:t xml:space="preserve">, </w:t>
      </w:r>
      <w:r w:rsidRPr="00930E5E">
        <w:rPr>
          <w:b/>
          <w:bCs/>
        </w:rPr>
        <w:t>5.149</w:t>
      </w:r>
      <w:r w:rsidRPr="00930E5E">
        <w:t xml:space="preserve">, </w:t>
      </w:r>
      <w:r w:rsidRPr="00930E5E">
        <w:rPr>
          <w:b/>
          <w:bCs/>
        </w:rPr>
        <w:t>5.340</w:t>
      </w:r>
      <w:r w:rsidRPr="00930E5E">
        <w:t xml:space="preserve">, </w:t>
      </w:r>
      <w:r w:rsidRPr="00930E5E">
        <w:rPr>
          <w:b/>
          <w:bCs/>
        </w:rPr>
        <w:t>5.564A</w:t>
      </w:r>
      <w:r w:rsidRPr="00930E5E">
        <w:t xml:space="preserve"> et</w:t>
      </w:r>
      <w:r w:rsidR="001820CE" w:rsidRPr="00930E5E">
        <w:t> </w:t>
      </w:r>
      <w:r w:rsidRPr="00930E5E">
        <w:rPr>
          <w:b/>
          <w:bCs/>
        </w:rPr>
        <w:t>5.565</w:t>
      </w:r>
      <w:r w:rsidR="000D1654" w:rsidRPr="00930E5E">
        <w:t>, conformément à la Résolution</w:t>
      </w:r>
      <w:r w:rsidR="001820CE" w:rsidRPr="00930E5E">
        <w:t> </w:t>
      </w:r>
      <w:r w:rsidR="000D1654" w:rsidRPr="00930E5E">
        <w:rPr>
          <w:b/>
          <w:lang w:eastAsia="ko-KR"/>
        </w:rPr>
        <w:t>[ACP-AI10-4] (CMR-23)</w:t>
      </w:r>
      <w:r w:rsidR="000D1654" w:rsidRPr="00930E5E">
        <w:rPr>
          <w:bCs/>
          <w:lang w:eastAsia="ko-KR"/>
        </w:rPr>
        <w:t>;</w:t>
      </w:r>
    </w:p>
    <w:p w14:paraId="4E8E99EC" w14:textId="1FC2415C" w:rsidR="005A4E96" w:rsidRPr="00930E5E" w:rsidRDefault="005A4E96" w:rsidP="00997036">
      <w:r w:rsidRPr="00930E5E">
        <w:t>...</w:t>
      </w:r>
    </w:p>
    <w:p w14:paraId="6B049086" w14:textId="77777777" w:rsidR="00594B92" w:rsidRPr="00930E5E" w:rsidRDefault="00594B92" w:rsidP="00997036">
      <w:pPr>
        <w:pStyle w:val="Reasons"/>
      </w:pPr>
    </w:p>
    <w:p w14:paraId="29295872" w14:textId="77777777" w:rsidR="00594B92" w:rsidRPr="00930E5E" w:rsidRDefault="00F469FB" w:rsidP="00997036">
      <w:pPr>
        <w:pStyle w:val="Proposal"/>
      </w:pPr>
      <w:r w:rsidRPr="00930E5E">
        <w:t>ADD</w:t>
      </w:r>
      <w:r w:rsidRPr="00930E5E">
        <w:tab/>
        <w:t>ACP/62A27A6/2</w:t>
      </w:r>
    </w:p>
    <w:p w14:paraId="07F02E5B" w14:textId="6D936457" w:rsidR="005A4E96" w:rsidRPr="00930E5E" w:rsidRDefault="000D1654" w:rsidP="00C16C4F">
      <w:pPr>
        <w:pStyle w:val="ResNo"/>
      </w:pPr>
      <w:r w:rsidRPr="00930E5E">
        <w:t>PROJET DE NOUVELLE RÉSOLUTION [ACP-AI10-4] (CMR-23)</w:t>
      </w:r>
    </w:p>
    <w:p w14:paraId="242F1AFF" w14:textId="417E4B09" w:rsidR="005A4E96" w:rsidRPr="00930E5E" w:rsidRDefault="000D1654" w:rsidP="00C16C4F">
      <w:pPr>
        <w:pStyle w:val="Restitle"/>
      </w:pPr>
      <w:r w:rsidRPr="00930E5E">
        <w:t>Nouvelles attributions aux services fixe et mobile, au service de radioastronomie et au service d'exploration de la Terre par satellite (passive) à titre primaire avec égalité des droits dans la gamme de fréquences</w:t>
      </w:r>
      <w:r w:rsidR="001820CE" w:rsidRPr="00930E5E">
        <w:t> </w:t>
      </w:r>
      <w:r w:rsidRPr="00930E5E">
        <w:t>275-325</w:t>
      </w:r>
      <w:r w:rsidR="001820CE" w:rsidRPr="00930E5E">
        <w:t> </w:t>
      </w:r>
      <w:r w:rsidRPr="00930E5E">
        <w:t>GHz, avec la mise à</w:t>
      </w:r>
      <w:r w:rsidR="008D1B3E" w:rsidRPr="00930E5E">
        <w:t> </w:t>
      </w:r>
      <w:r w:rsidRPr="00930E5E">
        <w:t>jour en conséquence des numéros </w:t>
      </w:r>
      <w:r w:rsidRPr="00930E5E">
        <w:rPr>
          <w:bCs/>
        </w:rPr>
        <w:t>5.138</w:t>
      </w:r>
      <w:r w:rsidRPr="00930E5E">
        <w:t xml:space="preserve">, </w:t>
      </w:r>
      <w:r w:rsidRPr="00930E5E">
        <w:rPr>
          <w:bCs/>
        </w:rPr>
        <w:t>5.149</w:t>
      </w:r>
      <w:r w:rsidRPr="00930E5E">
        <w:t xml:space="preserve">, </w:t>
      </w:r>
      <w:r w:rsidRPr="00930E5E">
        <w:rPr>
          <w:bCs/>
        </w:rPr>
        <w:t>5.340</w:t>
      </w:r>
      <w:r w:rsidRPr="00930E5E">
        <w:t xml:space="preserve">, </w:t>
      </w:r>
      <w:r w:rsidRPr="00930E5E">
        <w:rPr>
          <w:bCs/>
        </w:rPr>
        <w:t>5.564A</w:t>
      </w:r>
      <w:r w:rsidRPr="00930E5E">
        <w:t xml:space="preserve"> et</w:t>
      </w:r>
      <w:r w:rsidR="001820CE" w:rsidRPr="00930E5E">
        <w:t> </w:t>
      </w:r>
      <w:r w:rsidRPr="00930E5E">
        <w:rPr>
          <w:bCs/>
        </w:rPr>
        <w:t>5.565</w:t>
      </w:r>
    </w:p>
    <w:p w14:paraId="3E2B7C7B" w14:textId="662368A5" w:rsidR="005A4E96" w:rsidRPr="00930E5E" w:rsidRDefault="000D1654" w:rsidP="00C16C4F">
      <w:pPr>
        <w:pStyle w:val="Normalaftertitle"/>
      </w:pPr>
      <w:r w:rsidRPr="00930E5E">
        <w:t>La Conférence mondiale des radiocommunications (Dubaï, 2023),</w:t>
      </w:r>
    </w:p>
    <w:p w14:paraId="3232D951" w14:textId="4A4CD7B1" w:rsidR="00594B92" w:rsidRPr="00930E5E" w:rsidRDefault="005A4E96" w:rsidP="00997036">
      <w:pPr>
        <w:pStyle w:val="Call"/>
      </w:pPr>
      <w:r w:rsidRPr="00930E5E">
        <w:t>considérant</w:t>
      </w:r>
    </w:p>
    <w:p w14:paraId="550ADBBE" w14:textId="38B94960" w:rsidR="005A4E96" w:rsidRPr="00930E5E" w:rsidRDefault="005A4E96" w:rsidP="00C16C4F">
      <w:r w:rsidRPr="00930E5E">
        <w:rPr>
          <w:i/>
          <w:iCs/>
        </w:rPr>
        <w:t>a)</w:t>
      </w:r>
      <w:r w:rsidRPr="00930E5E">
        <w:tab/>
      </w:r>
      <w:r w:rsidR="0091065C" w:rsidRPr="00930E5E">
        <w:t>que l'UIT-R a procédé à des études portant sur les caractéristiques techniques et opérationnelles des applications du service fixe (SF) et du service mobile terrestre (SMT) fonctionnant dans la gamme de fréquences</w:t>
      </w:r>
      <w:r w:rsidR="001820CE" w:rsidRPr="00930E5E">
        <w:t> </w:t>
      </w:r>
      <w:r w:rsidR="0091065C" w:rsidRPr="00930E5E">
        <w:t>275</w:t>
      </w:r>
      <w:r w:rsidR="001820CE" w:rsidRPr="00930E5E">
        <w:noBreakHyphen/>
      </w:r>
      <w:r w:rsidR="0091065C" w:rsidRPr="00930E5E">
        <w:t>450</w:t>
      </w:r>
      <w:r w:rsidR="001820CE" w:rsidRPr="00930E5E">
        <w:t> </w:t>
      </w:r>
      <w:r w:rsidR="0091065C" w:rsidRPr="00930E5E">
        <w:t>GHz;</w:t>
      </w:r>
    </w:p>
    <w:p w14:paraId="199D55E6" w14:textId="3D314454" w:rsidR="005A4E96" w:rsidRPr="00930E5E" w:rsidRDefault="005A4E96" w:rsidP="00C16C4F">
      <w:r w:rsidRPr="00930E5E">
        <w:rPr>
          <w:i/>
          <w:iCs/>
        </w:rPr>
        <w:t>b)</w:t>
      </w:r>
      <w:r w:rsidRPr="00930E5E">
        <w:tab/>
      </w:r>
      <w:r w:rsidR="0091065C" w:rsidRPr="00930E5E">
        <w:t>que l'UIT-R a procédé à des études portant sur la coexistence entre les applications du</w:t>
      </w:r>
      <w:r w:rsidR="001820CE" w:rsidRPr="00930E5E">
        <w:t> </w:t>
      </w:r>
      <w:r w:rsidR="0091065C" w:rsidRPr="00930E5E">
        <w:t>SF et du</w:t>
      </w:r>
      <w:r w:rsidR="001820CE" w:rsidRPr="00930E5E">
        <w:t> </w:t>
      </w:r>
      <w:r w:rsidR="0091065C" w:rsidRPr="00930E5E">
        <w:t>SMT dans la gamme de fréquences</w:t>
      </w:r>
      <w:r w:rsidR="001820CE" w:rsidRPr="00930E5E">
        <w:t> </w:t>
      </w:r>
      <w:r w:rsidR="0091065C" w:rsidRPr="00930E5E">
        <w:t>252</w:t>
      </w:r>
      <w:r w:rsidR="001820CE" w:rsidRPr="00930E5E">
        <w:noBreakHyphen/>
      </w:r>
      <w:r w:rsidR="0091065C" w:rsidRPr="00930E5E">
        <w:t>296</w:t>
      </w:r>
      <w:r w:rsidR="001820CE" w:rsidRPr="00930E5E">
        <w:t> </w:t>
      </w:r>
      <w:r w:rsidR="0091065C" w:rsidRPr="00930E5E">
        <w:t>GHz;</w:t>
      </w:r>
    </w:p>
    <w:p w14:paraId="58B55CF8" w14:textId="2D41B8A3" w:rsidR="005A4E96" w:rsidRPr="00930E5E" w:rsidRDefault="005A4E96" w:rsidP="00C16C4F">
      <w:r w:rsidRPr="00930E5E">
        <w:rPr>
          <w:i/>
          <w:iCs/>
        </w:rPr>
        <w:t>c)</w:t>
      </w:r>
      <w:r w:rsidRPr="00930E5E">
        <w:tab/>
      </w:r>
      <w:r w:rsidR="0091065C" w:rsidRPr="00930E5E">
        <w:rPr>
          <w:lang w:eastAsia="zh-CN"/>
        </w:rPr>
        <w:t xml:space="preserve">que la </w:t>
      </w:r>
      <w:r w:rsidR="003762F3" w:rsidRPr="00930E5E">
        <w:rPr>
          <w:lang w:eastAsia="zh-CN"/>
        </w:rPr>
        <w:t>Recommandation</w:t>
      </w:r>
      <w:r w:rsidR="001820CE" w:rsidRPr="00930E5E">
        <w:rPr>
          <w:lang w:eastAsia="zh-CN"/>
        </w:rPr>
        <w:t> </w:t>
      </w:r>
      <w:r w:rsidR="003762F3" w:rsidRPr="00930E5E">
        <w:rPr>
          <w:lang w:eastAsia="zh-CN"/>
        </w:rPr>
        <w:t>UIT</w:t>
      </w:r>
      <w:r w:rsidR="001820CE" w:rsidRPr="00930E5E">
        <w:rPr>
          <w:lang w:eastAsia="zh-CN"/>
        </w:rPr>
        <w:noBreakHyphen/>
      </w:r>
      <w:r w:rsidR="003762F3" w:rsidRPr="00930E5E">
        <w:rPr>
          <w:lang w:eastAsia="zh-CN"/>
        </w:rPr>
        <w:t>R</w:t>
      </w:r>
      <w:r w:rsidR="001820CE" w:rsidRPr="00930E5E">
        <w:rPr>
          <w:lang w:eastAsia="zh-CN"/>
        </w:rPr>
        <w:t> </w:t>
      </w:r>
      <w:r w:rsidR="003762F3" w:rsidRPr="00930E5E">
        <w:rPr>
          <w:bCs/>
          <w:lang w:eastAsia="zh-CN"/>
        </w:rPr>
        <w:t>RS.2017</w:t>
      </w:r>
      <w:r w:rsidR="003762F3" w:rsidRPr="00930E5E">
        <w:rPr>
          <w:lang w:eastAsia="zh-CN"/>
        </w:rPr>
        <w:t xml:space="preserve"> fournit des critères de qualité de fonctionnement et de brouillage pour la télédétection passive par satellite</w:t>
      </w:r>
      <w:r w:rsidR="0091065C" w:rsidRPr="00930E5E">
        <w:rPr>
          <w:lang w:eastAsia="zh-CN"/>
        </w:rPr>
        <w:t xml:space="preserve"> jusqu'à</w:t>
      </w:r>
      <w:r w:rsidR="001820CE" w:rsidRPr="00930E5E">
        <w:rPr>
          <w:lang w:eastAsia="zh-CN"/>
        </w:rPr>
        <w:t> </w:t>
      </w:r>
      <w:r w:rsidR="0091065C" w:rsidRPr="00930E5E">
        <w:rPr>
          <w:lang w:eastAsia="zh-CN"/>
        </w:rPr>
        <w:t>1 000 GHz</w:t>
      </w:r>
      <w:r w:rsidR="008D7B51" w:rsidRPr="00930E5E">
        <w:rPr>
          <w:lang w:eastAsia="zh-CN"/>
        </w:rPr>
        <w:t>;</w:t>
      </w:r>
    </w:p>
    <w:p w14:paraId="31DA7599" w14:textId="2A983F3B" w:rsidR="005A4E96" w:rsidRPr="00930E5E" w:rsidRDefault="00E35E90" w:rsidP="00C16C4F">
      <w:r w:rsidRPr="00930E5E">
        <w:rPr>
          <w:i/>
          <w:iCs/>
        </w:rPr>
        <w:t>d)</w:t>
      </w:r>
      <w:r w:rsidRPr="00930E5E">
        <w:tab/>
      </w:r>
      <w:r w:rsidR="00CC7B02" w:rsidRPr="00930E5E">
        <w:t>que les critères de protection applicables au service de radioastronomie (</w:t>
      </w:r>
      <w:r w:rsidR="00317C78" w:rsidRPr="00930E5E">
        <w:t>SRA</w:t>
      </w:r>
      <w:r w:rsidR="00CC7B02" w:rsidRPr="00930E5E">
        <w:t xml:space="preserve">) </w:t>
      </w:r>
      <w:r w:rsidR="00997036" w:rsidRPr="00930E5E">
        <w:t>au</w:t>
      </w:r>
      <w:r w:rsidR="008D1B3E" w:rsidRPr="00930E5E">
        <w:noBreakHyphen/>
      </w:r>
      <w:r w:rsidR="00CC7B02" w:rsidRPr="00930E5E">
        <w:t>dessous de</w:t>
      </w:r>
      <w:r w:rsidR="001820CE" w:rsidRPr="00930E5E">
        <w:t> </w:t>
      </w:r>
      <w:r w:rsidR="00CC7B02" w:rsidRPr="00930E5E">
        <w:t>275</w:t>
      </w:r>
      <w:r w:rsidR="001820CE" w:rsidRPr="00930E5E">
        <w:t> </w:t>
      </w:r>
      <w:r w:rsidR="00CC7B02" w:rsidRPr="00930E5E">
        <w:t>GHz figurent dans la Recommandation</w:t>
      </w:r>
      <w:r w:rsidR="001820CE" w:rsidRPr="00930E5E">
        <w:t> </w:t>
      </w:r>
      <w:r w:rsidR="00CC7B02" w:rsidRPr="00930E5E">
        <w:t>UIT</w:t>
      </w:r>
      <w:r w:rsidR="001820CE" w:rsidRPr="00930E5E">
        <w:noBreakHyphen/>
      </w:r>
      <w:r w:rsidR="00CC7B02" w:rsidRPr="00930E5E">
        <w:t>R</w:t>
      </w:r>
      <w:r w:rsidR="001820CE" w:rsidRPr="00930E5E">
        <w:t> </w:t>
      </w:r>
      <w:r w:rsidR="00CC7B02" w:rsidRPr="00930E5E">
        <w:t xml:space="preserve">RA.769, et que </w:t>
      </w:r>
      <w:r w:rsidR="00F1326F" w:rsidRPr="00930E5E">
        <w:t>les critères de protection applicable au</w:t>
      </w:r>
      <w:r w:rsidR="001820CE" w:rsidRPr="00930E5E">
        <w:t> </w:t>
      </w:r>
      <w:r w:rsidR="00F1326F" w:rsidRPr="00930E5E">
        <w:t xml:space="preserve">SRA </w:t>
      </w:r>
      <w:r w:rsidR="00CC7B02" w:rsidRPr="00930E5E">
        <w:t>au-dessus de</w:t>
      </w:r>
      <w:r w:rsidR="001820CE" w:rsidRPr="00930E5E">
        <w:t> </w:t>
      </w:r>
      <w:r w:rsidR="00CC7B02" w:rsidRPr="00930E5E">
        <w:t>275</w:t>
      </w:r>
      <w:r w:rsidR="001820CE" w:rsidRPr="00930E5E">
        <w:t> </w:t>
      </w:r>
      <w:r w:rsidR="00CC7B02" w:rsidRPr="00930E5E">
        <w:t>GHz figurent dans le Rapport</w:t>
      </w:r>
      <w:r w:rsidR="001820CE" w:rsidRPr="00930E5E">
        <w:t> </w:t>
      </w:r>
      <w:r w:rsidR="00CC7B02" w:rsidRPr="00930E5E">
        <w:t>UIT</w:t>
      </w:r>
      <w:r w:rsidR="001820CE" w:rsidRPr="00930E5E">
        <w:noBreakHyphen/>
      </w:r>
      <w:r w:rsidR="00CC7B02" w:rsidRPr="00930E5E">
        <w:t>R</w:t>
      </w:r>
      <w:r w:rsidR="001820CE" w:rsidRPr="00930E5E">
        <w:t> </w:t>
      </w:r>
      <w:r w:rsidR="00CC7B02" w:rsidRPr="00930E5E">
        <w:t>RA.2189;</w:t>
      </w:r>
    </w:p>
    <w:p w14:paraId="68C8952A" w14:textId="00EFEF80" w:rsidR="00E35E90" w:rsidRPr="00930E5E" w:rsidRDefault="00E35E90" w:rsidP="00C16C4F">
      <w:r w:rsidRPr="00930E5E">
        <w:rPr>
          <w:i/>
          <w:iCs/>
        </w:rPr>
        <w:lastRenderedPageBreak/>
        <w:t>e)</w:t>
      </w:r>
      <w:r w:rsidRPr="00930E5E">
        <w:tab/>
      </w:r>
      <w:r w:rsidR="00CC7B02" w:rsidRPr="00930E5E">
        <w:t>que les bandes de fréquences au-dessus de</w:t>
      </w:r>
      <w:r w:rsidR="001820CE" w:rsidRPr="00930E5E">
        <w:t> </w:t>
      </w:r>
      <w:r w:rsidR="00CC7B02" w:rsidRPr="00930E5E">
        <w:t>275</w:t>
      </w:r>
      <w:r w:rsidR="001820CE" w:rsidRPr="00930E5E">
        <w:t> </w:t>
      </w:r>
      <w:r w:rsidR="00CC7B02" w:rsidRPr="00930E5E">
        <w:t>GHz dans lesquelles les émissions sont interdites ne sont pas indiquées dans une disposition du Règlement des radiocommunications (RR);</w:t>
      </w:r>
    </w:p>
    <w:p w14:paraId="2A80DE98" w14:textId="5C6C4FC3" w:rsidR="00E35E90" w:rsidRPr="00930E5E" w:rsidRDefault="00E35E90" w:rsidP="00C16C4F">
      <w:r w:rsidRPr="00930E5E">
        <w:rPr>
          <w:i/>
          <w:iCs/>
        </w:rPr>
        <w:t>f)</w:t>
      </w:r>
      <w:r w:rsidRPr="00930E5E">
        <w:tab/>
      </w:r>
      <w:r w:rsidR="00CC7B02" w:rsidRPr="00930E5E">
        <w:t xml:space="preserve">que des observatoires de radioastronomie et des </w:t>
      </w:r>
      <w:r w:rsidR="006421D5" w:rsidRPr="00930E5E">
        <w:t xml:space="preserve">satellites de télédétection passive </w:t>
      </w:r>
      <w:r w:rsidR="00CC7B02" w:rsidRPr="00930E5E">
        <w:t>fonctionn</w:t>
      </w:r>
      <w:r w:rsidR="00F1326F" w:rsidRPr="00930E5E">
        <w:t>ent</w:t>
      </w:r>
      <w:r w:rsidR="00CC7B02" w:rsidRPr="00930E5E">
        <w:t xml:space="preserve"> au-dessus de</w:t>
      </w:r>
      <w:r w:rsidR="001820CE" w:rsidRPr="00930E5E">
        <w:t> </w:t>
      </w:r>
      <w:r w:rsidR="00CC7B02" w:rsidRPr="00930E5E">
        <w:t>275</w:t>
      </w:r>
      <w:r w:rsidR="001820CE" w:rsidRPr="00930E5E">
        <w:t> </w:t>
      </w:r>
      <w:r w:rsidR="00CC7B02" w:rsidRPr="00930E5E">
        <w:t>GHz;</w:t>
      </w:r>
    </w:p>
    <w:p w14:paraId="7D154D00" w14:textId="2478A6E9" w:rsidR="00E35E90" w:rsidRPr="00930E5E" w:rsidRDefault="00E35E90" w:rsidP="00C16C4F">
      <w:r w:rsidRPr="00930E5E">
        <w:rPr>
          <w:i/>
          <w:iCs/>
        </w:rPr>
        <w:t>g)</w:t>
      </w:r>
      <w:r w:rsidRPr="00930E5E">
        <w:tab/>
      </w:r>
      <w:r w:rsidR="006421D5" w:rsidRPr="00930E5E">
        <w:t>que les bandes de fréquences au-dessus de</w:t>
      </w:r>
      <w:r w:rsidR="001820CE" w:rsidRPr="00930E5E">
        <w:t> </w:t>
      </w:r>
      <w:r w:rsidR="006421D5" w:rsidRPr="00930E5E">
        <w:t>275</w:t>
      </w:r>
      <w:r w:rsidR="001820CE" w:rsidRPr="00930E5E">
        <w:t> </w:t>
      </w:r>
      <w:r w:rsidR="006421D5" w:rsidRPr="00930E5E">
        <w:t>GHz pour les dispositifs à courte portée (SRD) ou les applications industrielles, scientifiques et médicales (ISM) ne sont pas indiquées dans une disposition du</w:t>
      </w:r>
      <w:r w:rsidR="001820CE" w:rsidRPr="00930E5E">
        <w:t> </w:t>
      </w:r>
      <w:r w:rsidR="006421D5" w:rsidRPr="00930E5E">
        <w:t>RR;</w:t>
      </w:r>
    </w:p>
    <w:p w14:paraId="39D5CB9B" w14:textId="6A183A73" w:rsidR="00E35E90" w:rsidRPr="00930E5E" w:rsidRDefault="00E35E90" w:rsidP="00997036">
      <w:r w:rsidRPr="00930E5E">
        <w:rPr>
          <w:i/>
          <w:iCs/>
        </w:rPr>
        <w:t>h)</w:t>
      </w:r>
      <w:r w:rsidRPr="00930E5E">
        <w:tab/>
      </w:r>
      <w:r w:rsidR="003762F3" w:rsidRPr="00930E5E">
        <w:rPr>
          <w:rFonts w:eastAsia="MS Mincho"/>
        </w:rPr>
        <w:t xml:space="preserve">que </w:t>
      </w:r>
      <w:r w:rsidR="003762F3" w:rsidRPr="00930E5E">
        <w:rPr>
          <w:color w:val="000000"/>
        </w:rPr>
        <w:t>les caractéristiques de propagation des fréquences au-dessus de</w:t>
      </w:r>
      <w:r w:rsidR="001820CE" w:rsidRPr="00930E5E">
        <w:rPr>
          <w:color w:val="000000"/>
        </w:rPr>
        <w:t> </w:t>
      </w:r>
      <w:r w:rsidR="003762F3" w:rsidRPr="00930E5E">
        <w:rPr>
          <w:color w:val="000000"/>
        </w:rPr>
        <w:t>275</w:t>
      </w:r>
      <w:r w:rsidR="001820CE" w:rsidRPr="00930E5E">
        <w:rPr>
          <w:color w:val="000000"/>
        </w:rPr>
        <w:t> </w:t>
      </w:r>
      <w:r w:rsidR="003762F3" w:rsidRPr="00930E5E">
        <w:rPr>
          <w:color w:val="000000"/>
        </w:rPr>
        <w:t>GHz font actuellement l'objet d'études au sein de la Commission d'études</w:t>
      </w:r>
      <w:r w:rsidR="001820CE" w:rsidRPr="00930E5E">
        <w:rPr>
          <w:color w:val="000000"/>
        </w:rPr>
        <w:t> </w:t>
      </w:r>
      <w:r w:rsidR="003762F3" w:rsidRPr="00930E5E">
        <w:rPr>
          <w:color w:val="000000"/>
        </w:rPr>
        <w:t>3 de l'UIT-R</w:t>
      </w:r>
      <w:r w:rsidR="00D50704" w:rsidRPr="00930E5E">
        <w:rPr>
          <w:rFonts w:eastAsia="MS Mincho"/>
        </w:rPr>
        <w:t>;</w:t>
      </w:r>
    </w:p>
    <w:p w14:paraId="34AD5475" w14:textId="7005A402" w:rsidR="00E35E90" w:rsidRPr="00930E5E" w:rsidRDefault="00E35E90" w:rsidP="00C16C4F">
      <w:r w:rsidRPr="00930E5E">
        <w:rPr>
          <w:i/>
          <w:iCs/>
        </w:rPr>
        <w:t>i)</w:t>
      </w:r>
      <w:r w:rsidRPr="00930E5E">
        <w:tab/>
      </w:r>
      <w:r w:rsidR="006421D5" w:rsidRPr="00930E5E">
        <w:t>que les technologies au-dessus de</w:t>
      </w:r>
      <w:r w:rsidR="001820CE" w:rsidRPr="00930E5E">
        <w:t> </w:t>
      </w:r>
      <w:r w:rsidR="006421D5" w:rsidRPr="00930E5E">
        <w:t>275</w:t>
      </w:r>
      <w:r w:rsidR="001820CE" w:rsidRPr="00930E5E">
        <w:t> </w:t>
      </w:r>
      <w:r w:rsidR="006421D5" w:rsidRPr="00930E5E">
        <w:t>GHz sont considérées</w:t>
      </w:r>
      <w:r w:rsidR="00200AB0" w:rsidRPr="00930E5E">
        <w:t xml:space="preserve"> comme des </w:t>
      </w:r>
      <w:r w:rsidR="00691357" w:rsidRPr="00930E5E">
        <w:t xml:space="preserve">technologies de base </w:t>
      </w:r>
      <w:r w:rsidR="00200AB0" w:rsidRPr="00930E5E">
        <w:t>émergent</w:t>
      </w:r>
      <w:r w:rsidR="00691357" w:rsidRPr="00930E5E">
        <w:t>e</w:t>
      </w:r>
      <w:r w:rsidR="00200AB0" w:rsidRPr="00930E5E">
        <w:t xml:space="preserve">s </w:t>
      </w:r>
      <w:r w:rsidR="00691357" w:rsidRPr="00930E5E">
        <w:t>permettant d'</w:t>
      </w:r>
      <w:r w:rsidR="00200AB0" w:rsidRPr="00930E5E">
        <w:t>améliorer l'interface radioélectrique pour prendre en charge l</w:t>
      </w:r>
      <w:r w:rsidR="00691357" w:rsidRPr="00930E5E">
        <w:t>es</w:t>
      </w:r>
      <w:r w:rsidR="00200AB0" w:rsidRPr="00930E5E">
        <w:t xml:space="preserve"> transmission</w:t>
      </w:r>
      <w:r w:rsidR="00691357" w:rsidRPr="00930E5E">
        <w:t>s sur de courtes distances et à grande capacité</w:t>
      </w:r>
      <w:r w:rsidR="00200AB0" w:rsidRPr="00930E5E">
        <w:t>;</w:t>
      </w:r>
    </w:p>
    <w:p w14:paraId="7555F8F3" w14:textId="5F25C65E" w:rsidR="00E35E90" w:rsidRPr="00930E5E" w:rsidRDefault="00E35E90" w:rsidP="00C16C4F">
      <w:r w:rsidRPr="00930E5E">
        <w:rPr>
          <w:i/>
          <w:iCs/>
        </w:rPr>
        <w:t>j)</w:t>
      </w:r>
      <w:r w:rsidRPr="00930E5E">
        <w:tab/>
      </w:r>
      <w:r w:rsidR="005810DF" w:rsidRPr="00930E5E">
        <w:t>que</w:t>
      </w:r>
      <w:r w:rsidR="00200AB0" w:rsidRPr="00930E5E">
        <w:t xml:space="preserve"> les fréquences inférieures aux térahertz (THz) et </w:t>
      </w:r>
      <w:r w:rsidR="00567A18" w:rsidRPr="00930E5E">
        <w:t xml:space="preserve">les fréquences </w:t>
      </w:r>
      <w:r w:rsidR="005810DF" w:rsidRPr="00930E5E">
        <w:t>de l'ordre du</w:t>
      </w:r>
      <w:r w:rsidR="00200AB0" w:rsidRPr="00930E5E">
        <w:t xml:space="preserve"> térahertz </w:t>
      </w:r>
      <w:r w:rsidR="005810DF" w:rsidRPr="00930E5E">
        <w:t>ont été examinées en vue de leur utilisation par</w:t>
      </w:r>
      <w:r w:rsidR="00200AB0" w:rsidRPr="00930E5E">
        <w:t xml:space="preserve"> diverses applications des services actifs après la</w:t>
      </w:r>
      <w:r w:rsidR="001820CE" w:rsidRPr="00930E5E">
        <w:t> </w:t>
      </w:r>
      <w:r w:rsidR="00200AB0" w:rsidRPr="00930E5E">
        <w:t>CMR-19;</w:t>
      </w:r>
    </w:p>
    <w:p w14:paraId="6E346723" w14:textId="131B6B54" w:rsidR="00E35E90" w:rsidRPr="00930E5E" w:rsidRDefault="00E35E90" w:rsidP="00C16C4F">
      <w:r w:rsidRPr="00930E5E">
        <w:rPr>
          <w:i/>
          <w:iCs/>
        </w:rPr>
        <w:t>k)</w:t>
      </w:r>
      <w:r w:rsidRPr="00930E5E">
        <w:tab/>
      </w:r>
      <w:r w:rsidR="00200AB0" w:rsidRPr="00930E5E">
        <w:t>qu'il convient de veiller à ce que les attributions de fréquences au</w:t>
      </w:r>
      <w:r w:rsidR="001820CE" w:rsidRPr="00930E5E">
        <w:t> </w:t>
      </w:r>
      <w:r w:rsidR="00200AB0" w:rsidRPr="00930E5E">
        <w:t>SF, au</w:t>
      </w:r>
      <w:r w:rsidR="001820CE" w:rsidRPr="00930E5E">
        <w:t> </w:t>
      </w:r>
      <w:r w:rsidR="00200AB0" w:rsidRPr="00930E5E">
        <w:t>SM, au</w:t>
      </w:r>
      <w:r w:rsidR="001820CE" w:rsidRPr="00930E5E">
        <w:t> </w:t>
      </w:r>
      <w:r w:rsidR="00317C78" w:rsidRPr="00930E5E">
        <w:t>SRA</w:t>
      </w:r>
      <w:r w:rsidR="00200AB0" w:rsidRPr="00930E5E">
        <w:t xml:space="preserve"> et au service d'exploration de la Terre par satellite (SETS) (passive) </w:t>
      </w:r>
      <w:r w:rsidR="005810DF" w:rsidRPr="00930E5E">
        <w:t>au-dessus de</w:t>
      </w:r>
      <w:r w:rsidR="001820CE" w:rsidRPr="00930E5E">
        <w:t> </w:t>
      </w:r>
      <w:r w:rsidR="005810DF" w:rsidRPr="00930E5E">
        <w:t>275</w:t>
      </w:r>
      <w:r w:rsidR="001820CE" w:rsidRPr="00930E5E">
        <w:t> </w:t>
      </w:r>
      <w:r w:rsidR="005810DF" w:rsidRPr="00930E5E">
        <w:t xml:space="preserve">GHz </w:t>
      </w:r>
      <w:r w:rsidR="00200AB0" w:rsidRPr="00930E5E">
        <w:t>correspondent aux caractéristiques techniques et opérationnelles actuelles des applications en question;</w:t>
      </w:r>
    </w:p>
    <w:p w14:paraId="1BC8E694" w14:textId="5BABC966" w:rsidR="00E35E90" w:rsidRPr="00930E5E" w:rsidRDefault="00E35E90" w:rsidP="00C16C4F">
      <w:r w:rsidRPr="00930E5E">
        <w:rPr>
          <w:i/>
          <w:iCs/>
        </w:rPr>
        <w:t>l)</w:t>
      </w:r>
      <w:r w:rsidRPr="00930E5E">
        <w:tab/>
      </w:r>
      <w:r w:rsidR="00200AB0" w:rsidRPr="00930E5E">
        <w:t>que l</w:t>
      </w:r>
      <w:r w:rsidR="00BC1EA0" w:rsidRPr="00930E5E">
        <w:t>a</w:t>
      </w:r>
      <w:r w:rsidR="00200AB0" w:rsidRPr="00930E5E">
        <w:t xml:space="preserve"> première </w:t>
      </w:r>
      <w:r w:rsidR="00567A18" w:rsidRPr="00930E5E">
        <w:t xml:space="preserve">norme </w:t>
      </w:r>
      <w:r w:rsidR="00200AB0" w:rsidRPr="00930E5E">
        <w:t>international</w:t>
      </w:r>
      <w:r w:rsidR="00567A18" w:rsidRPr="00930E5E">
        <w:t>e</w:t>
      </w:r>
      <w:r w:rsidR="00200AB0" w:rsidRPr="00930E5E">
        <w:t xml:space="preserve"> </w:t>
      </w:r>
      <w:r w:rsidR="00F37BD1" w:rsidRPr="00930E5E">
        <w:t xml:space="preserve">utilisant </w:t>
      </w:r>
      <w:r w:rsidR="00200AB0" w:rsidRPr="00930E5E">
        <w:t>la gamme de fréquences</w:t>
      </w:r>
      <w:r w:rsidR="001820CE" w:rsidRPr="00930E5E">
        <w:t> </w:t>
      </w:r>
      <w:r w:rsidR="00200AB0" w:rsidRPr="00930E5E">
        <w:t>252</w:t>
      </w:r>
      <w:r w:rsidR="001820CE" w:rsidRPr="00930E5E">
        <w:noBreakHyphen/>
      </w:r>
      <w:r w:rsidR="00200AB0" w:rsidRPr="00930E5E">
        <w:t>325</w:t>
      </w:r>
      <w:r w:rsidR="00567A18" w:rsidRPr="00930E5E">
        <w:t> </w:t>
      </w:r>
      <w:r w:rsidR="00200AB0" w:rsidRPr="00930E5E">
        <w:t>GHz</w:t>
      </w:r>
      <w:r w:rsidR="00BC1EA0" w:rsidRPr="00930E5E">
        <w:t xml:space="preserve">, </w:t>
      </w:r>
      <w:r w:rsidR="00567A18" w:rsidRPr="00930E5E">
        <w:t xml:space="preserve">élaborée en tant que </w:t>
      </w:r>
      <w:r w:rsidR="00BC1EA0" w:rsidRPr="00930E5E">
        <w:t>norme</w:t>
      </w:r>
      <w:r w:rsidR="001820CE" w:rsidRPr="00930E5E">
        <w:t> </w:t>
      </w:r>
      <w:r w:rsidR="00BC1EA0" w:rsidRPr="00930E5E">
        <w:t>IEEE</w:t>
      </w:r>
      <w:r w:rsidR="001820CE" w:rsidRPr="00930E5E">
        <w:t> </w:t>
      </w:r>
      <w:r w:rsidR="00BC1EA0" w:rsidRPr="00930E5E">
        <w:t xml:space="preserve">802, </w:t>
      </w:r>
      <w:r w:rsidR="00CD0D40" w:rsidRPr="00930E5E">
        <w:t xml:space="preserve">prend en charge </w:t>
      </w:r>
      <w:r w:rsidR="00567A18" w:rsidRPr="00930E5E">
        <w:t>d</w:t>
      </w:r>
      <w:r w:rsidR="00BC1EA0" w:rsidRPr="00930E5E">
        <w:t>es largeurs de bande de canal</w:t>
      </w:r>
      <w:r w:rsidR="00CD0D40" w:rsidRPr="00930E5E">
        <w:t xml:space="preserve"> comprises</w:t>
      </w:r>
      <w:r w:rsidR="00BC1EA0" w:rsidRPr="00930E5E">
        <w:t xml:space="preserve"> entre</w:t>
      </w:r>
      <w:r w:rsidR="001820CE" w:rsidRPr="00930E5E">
        <w:t> </w:t>
      </w:r>
      <w:r w:rsidR="00BC1EA0" w:rsidRPr="00930E5E">
        <w:t>2,16</w:t>
      </w:r>
      <w:r w:rsidR="00567A18" w:rsidRPr="00930E5E">
        <w:t> </w:t>
      </w:r>
      <w:r w:rsidR="00BC1EA0" w:rsidRPr="00930E5E">
        <w:t>GHz et</w:t>
      </w:r>
      <w:r w:rsidR="001820CE" w:rsidRPr="00930E5E">
        <w:t> </w:t>
      </w:r>
      <w:r w:rsidR="00BC1EA0" w:rsidRPr="00930E5E">
        <w:t>69,12</w:t>
      </w:r>
      <w:r w:rsidR="00567A18" w:rsidRPr="00930E5E">
        <w:t> </w:t>
      </w:r>
      <w:r w:rsidR="00BC1EA0" w:rsidRPr="00930E5E">
        <w:t>GHz;</w:t>
      </w:r>
    </w:p>
    <w:p w14:paraId="4956C9EF" w14:textId="657CF094" w:rsidR="00E35E90" w:rsidRPr="00930E5E" w:rsidRDefault="00E35E90" w:rsidP="00C16C4F">
      <w:r w:rsidRPr="00930E5E">
        <w:rPr>
          <w:i/>
          <w:iCs/>
        </w:rPr>
        <w:t>m)</w:t>
      </w:r>
      <w:r w:rsidRPr="00930E5E">
        <w:tab/>
      </w:r>
      <w:r w:rsidR="00BC1EA0" w:rsidRPr="00930E5E">
        <w:t xml:space="preserve">que l'ETSI a établi un Groupe de spécifications sectoriel s'occupant de la gamme des térahertz pour élaborer </w:t>
      </w:r>
      <w:r w:rsidR="00CD0D40" w:rsidRPr="00930E5E">
        <w:t xml:space="preserve">des </w:t>
      </w:r>
      <w:r w:rsidR="00BC1EA0" w:rsidRPr="00930E5E">
        <w:t>norme</w:t>
      </w:r>
      <w:r w:rsidR="00CD0D40" w:rsidRPr="00930E5E">
        <w:t>s</w:t>
      </w:r>
      <w:r w:rsidR="00BC1EA0" w:rsidRPr="00930E5E">
        <w:t xml:space="preserve"> relative</w:t>
      </w:r>
      <w:r w:rsidR="00CD0D40" w:rsidRPr="00930E5E">
        <w:t>s</w:t>
      </w:r>
      <w:r w:rsidR="00BC1EA0" w:rsidRPr="00930E5E">
        <w:t xml:space="preserve"> aux fréquences </w:t>
      </w:r>
      <w:r w:rsidR="00CD0D40" w:rsidRPr="00930E5E">
        <w:t xml:space="preserve">de l'ordre du </w:t>
      </w:r>
      <w:r w:rsidR="00BC1EA0" w:rsidRPr="00930E5E">
        <w:t>térahertz pour les applications du</w:t>
      </w:r>
      <w:r w:rsidR="001820CE" w:rsidRPr="00930E5E">
        <w:t> </w:t>
      </w:r>
      <w:r w:rsidR="00BC1EA0" w:rsidRPr="00930E5E">
        <w:t>SM,</w:t>
      </w:r>
    </w:p>
    <w:p w14:paraId="7875A8D4" w14:textId="153EF905" w:rsidR="00E35E90" w:rsidRPr="00930E5E" w:rsidRDefault="00E35E90" w:rsidP="00997036">
      <w:pPr>
        <w:pStyle w:val="Call"/>
      </w:pPr>
      <w:r w:rsidRPr="00930E5E">
        <w:t>reconnaissant</w:t>
      </w:r>
    </w:p>
    <w:p w14:paraId="1A4F95B6" w14:textId="0C5F7D60" w:rsidR="005A4E96" w:rsidRPr="00930E5E" w:rsidRDefault="00E35E90" w:rsidP="00C16C4F">
      <w:r w:rsidRPr="00930E5E">
        <w:rPr>
          <w:i/>
          <w:iCs/>
        </w:rPr>
        <w:t>a)</w:t>
      </w:r>
      <w:r w:rsidRPr="00930E5E">
        <w:tab/>
      </w:r>
      <w:r w:rsidR="00BC1EA0" w:rsidRPr="00930E5E">
        <w:t>que les services de radiocommunication qui disposent d'attributions dans la gamme de fréquences</w:t>
      </w:r>
      <w:r w:rsidR="001820CE" w:rsidRPr="00930E5E">
        <w:t> </w:t>
      </w:r>
      <w:r w:rsidR="00BC1EA0" w:rsidRPr="00930E5E">
        <w:t>248</w:t>
      </w:r>
      <w:r w:rsidR="001820CE" w:rsidRPr="00930E5E">
        <w:noBreakHyphen/>
      </w:r>
      <w:r w:rsidR="00BC1EA0" w:rsidRPr="00930E5E">
        <w:t>275</w:t>
      </w:r>
      <w:r w:rsidR="001820CE" w:rsidRPr="00930E5E">
        <w:t> </w:t>
      </w:r>
      <w:r w:rsidR="00BC1EA0" w:rsidRPr="00930E5E">
        <w:t>GHz dans l'édition de</w:t>
      </w:r>
      <w:r w:rsidR="001820CE" w:rsidRPr="00930E5E">
        <w:t> </w:t>
      </w:r>
      <w:r w:rsidR="00BC1EA0" w:rsidRPr="00930E5E">
        <w:t>2001 du</w:t>
      </w:r>
      <w:r w:rsidR="001820CE" w:rsidRPr="00930E5E">
        <w:t> </w:t>
      </w:r>
      <w:r w:rsidR="00BC1EA0" w:rsidRPr="00930E5E">
        <w:t xml:space="preserve">RR </w:t>
      </w:r>
      <w:r w:rsidR="00CD0D40" w:rsidRPr="00930E5E">
        <w:t>sont les mêmes</w:t>
      </w:r>
      <w:r w:rsidR="00BC1EA0" w:rsidRPr="00930E5E">
        <w:t xml:space="preserve"> depuis plus de 20</w:t>
      </w:r>
      <w:r w:rsidR="001820CE" w:rsidRPr="00930E5E">
        <w:t> </w:t>
      </w:r>
      <w:r w:rsidR="00BC1EA0" w:rsidRPr="00930E5E">
        <w:t>ans;</w:t>
      </w:r>
    </w:p>
    <w:p w14:paraId="520E6EDF" w14:textId="0B589058" w:rsidR="00E35E90" w:rsidRPr="00930E5E" w:rsidRDefault="00E35E90" w:rsidP="00C16C4F">
      <w:r w:rsidRPr="00930E5E">
        <w:rPr>
          <w:i/>
          <w:iCs/>
        </w:rPr>
        <w:t>b)</w:t>
      </w:r>
      <w:r w:rsidRPr="00930E5E">
        <w:tab/>
      </w:r>
      <w:r w:rsidR="00BC1EA0" w:rsidRPr="00930E5E">
        <w:rPr>
          <w:rFonts w:eastAsia="MS Mincho"/>
          <w:lang w:eastAsia="ja-JP"/>
        </w:rPr>
        <w:t>que les numéros</w:t>
      </w:r>
      <w:r w:rsidR="001820CE" w:rsidRPr="00930E5E">
        <w:rPr>
          <w:rFonts w:eastAsia="MS Mincho"/>
          <w:lang w:eastAsia="ja-JP"/>
        </w:rPr>
        <w:t> </w:t>
      </w:r>
      <w:r w:rsidR="00BC1EA0" w:rsidRPr="00930E5E">
        <w:rPr>
          <w:rFonts w:eastAsia="MS Mincho"/>
          <w:b/>
          <w:bCs/>
          <w:lang w:eastAsia="ja-JP"/>
        </w:rPr>
        <w:t>5.149, 5.340</w:t>
      </w:r>
      <w:r w:rsidR="00BC1EA0" w:rsidRPr="00930E5E">
        <w:rPr>
          <w:rFonts w:eastAsia="MS Mincho"/>
          <w:lang w:eastAsia="ja-JP"/>
        </w:rPr>
        <w:t xml:space="preserve"> et</w:t>
      </w:r>
      <w:r w:rsidR="001820CE" w:rsidRPr="00930E5E">
        <w:rPr>
          <w:rFonts w:eastAsia="MS Mincho"/>
          <w:lang w:eastAsia="ja-JP"/>
        </w:rPr>
        <w:t> </w:t>
      </w:r>
      <w:r w:rsidR="00BC1EA0" w:rsidRPr="00930E5E">
        <w:rPr>
          <w:rFonts w:eastAsia="MS Mincho"/>
          <w:b/>
          <w:bCs/>
          <w:lang w:eastAsia="ja-JP"/>
        </w:rPr>
        <w:t>5.565</w:t>
      </w:r>
      <w:r w:rsidR="00BC1EA0" w:rsidRPr="00930E5E">
        <w:rPr>
          <w:rFonts w:eastAsia="MS Mincho"/>
          <w:lang w:eastAsia="ja-JP"/>
        </w:rPr>
        <w:t xml:space="preserve"> ont été mis à jour lors de la</w:t>
      </w:r>
      <w:r w:rsidR="001820CE" w:rsidRPr="00930E5E">
        <w:rPr>
          <w:rFonts w:eastAsia="MS Mincho"/>
          <w:lang w:eastAsia="ja-JP"/>
        </w:rPr>
        <w:t> </w:t>
      </w:r>
      <w:r w:rsidR="00BC1EA0" w:rsidRPr="00930E5E">
        <w:rPr>
          <w:rFonts w:eastAsia="MS Mincho"/>
          <w:lang w:eastAsia="ja-JP"/>
        </w:rPr>
        <w:t>CMR</w:t>
      </w:r>
      <w:r w:rsidR="001820CE" w:rsidRPr="00930E5E">
        <w:rPr>
          <w:rFonts w:eastAsia="MS Mincho"/>
          <w:lang w:eastAsia="ja-JP"/>
        </w:rPr>
        <w:noBreakHyphen/>
      </w:r>
      <w:r w:rsidR="00BC1EA0" w:rsidRPr="00930E5E">
        <w:rPr>
          <w:rFonts w:eastAsia="MS Mincho"/>
          <w:lang w:eastAsia="ja-JP"/>
        </w:rPr>
        <w:t>03, de la</w:t>
      </w:r>
      <w:r w:rsidR="001820CE" w:rsidRPr="00930E5E">
        <w:rPr>
          <w:rFonts w:eastAsia="MS Mincho"/>
          <w:lang w:eastAsia="ja-JP"/>
        </w:rPr>
        <w:t> </w:t>
      </w:r>
      <w:r w:rsidR="00BC1EA0" w:rsidRPr="00930E5E">
        <w:rPr>
          <w:rFonts w:eastAsia="MS Mincho"/>
          <w:lang w:eastAsia="ja-JP"/>
        </w:rPr>
        <w:t>CMR</w:t>
      </w:r>
      <w:r w:rsidR="001820CE" w:rsidRPr="00930E5E">
        <w:rPr>
          <w:rFonts w:eastAsia="MS Mincho"/>
          <w:lang w:eastAsia="ja-JP"/>
        </w:rPr>
        <w:noBreakHyphen/>
      </w:r>
      <w:r w:rsidR="00BC1EA0" w:rsidRPr="00930E5E">
        <w:rPr>
          <w:rFonts w:eastAsia="MS Mincho"/>
          <w:lang w:eastAsia="ja-JP"/>
        </w:rPr>
        <w:t>07 et de la CMR</w:t>
      </w:r>
      <w:r w:rsidR="001820CE" w:rsidRPr="00930E5E">
        <w:rPr>
          <w:rFonts w:eastAsia="MS Mincho"/>
          <w:lang w:eastAsia="ja-JP"/>
        </w:rPr>
        <w:noBreakHyphen/>
      </w:r>
      <w:r w:rsidR="00BC1EA0" w:rsidRPr="00930E5E">
        <w:rPr>
          <w:rFonts w:eastAsia="MS Mincho"/>
          <w:lang w:eastAsia="ja-JP"/>
        </w:rPr>
        <w:t>12, respectivement;</w:t>
      </w:r>
    </w:p>
    <w:p w14:paraId="6A881803" w14:textId="65817659" w:rsidR="00E35E90" w:rsidRPr="00930E5E" w:rsidRDefault="00E35E90" w:rsidP="00C16C4F">
      <w:r w:rsidRPr="00930E5E">
        <w:rPr>
          <w:i/>
          <w:iCs/>
        </w:rPr>
        <w:t>c)</w:t>
      </w:r>
      <w:r w:rsidRPr="00930E5E">
        <w:tab/>
      </w:r>
      <w:r w:rsidR="00BC1EA0" w:rsidRPr="00930E5E">
        <w:rPr>
          <w:rFonts w:eastAsia="MS Mincho"/>
          <w:lang w:eastAsia="ja-JP"/>
        </w:rPr>
        <w:t>que le numéro</w:t>
      </w:r>
      <w:r w:rsidR="001820CE" w:rsidRPr="00930E5E">
        <w:rPr>
          <w:rFonts w:eastAsia="MS Mincho"/>
          <w:lang w:eastAsia="ja-JP"/>
        </w:rPr>
        <w:t> </w:t>
      </w:r>
      <w:r w:rsidR="00BC1EA0" w:rsidRPr="00930E5E">
        <w:rPr>
          <w:rFonts w:eastAsia="MS Mincho"/>
          <w:b/>
          <w:bCs/>
          <w:lang w:eastAsia="ja-JP"/>
        </w:rPr>
        <w:t>5.564A</w:t>
      </w:r>
      <w:r w:rsidR="00BC1EA0" w:rsidRPr="00930E5E">
        <w:rPr>
          <w:rFonts w:eastAsia="MS Mincho"/>
          <w:lang w:eastAsia="ja-JP"/>
        </w:rPr>
        <w:t xml:space="preserve"> a été ajouté lors de la</w:t>
      </w:r>
      <w:r w:rsidR="001820CE" w:rsidRPr="00930E5E">
        <w:rPr>
          <w:rFonts w:eastAsia="MS Mincho"/>
          <w:lang w:eastAsia="ja-JP"/>
        </w:rPr>
        <w:t> </w:t>
      </w:r>
      <w:r w:rsidR="00BC1EA0" w:rsidRPr="00930E5E">
        <w:rPr>
          <w:rFonts w:eastAsia="MS Mincho"/>
          <w:lang w:eastAsia="ja-JP"/>
        </w:rPr>
        <w:t>CMR</w:t>
      </w:r>
      <w:r w:rsidR="001820CE" w:rsidRPr="00930E5E">
        <w:rPr>
          <w:rFonts w:eastAsia="MS Mincho"/>
          <w:lang w:eastAsia="ja-JP"/>
        </w:rPr>
        <w:noBreakHyphen/>
      </w:r>
      <w:r w:rsidR="00BC1EA0" w:rsidRPr="00930E5E">
        <w:rPr>
          <w:rFonts w:eastAsia="MS Mincho"/>
          <w:lang w:eastAsia="ja-JP"/>
        </w:rPr>
        <w:t>19;</w:t>
      </w:r>
    </w:p>
    <w:p w14:paraId="0EA1C98F" w14:textId="48777EB8" w:rsidR="00E35E90" w:rsidRPr="00930E5E" w:rsidRDefault="00E35E90" w:rsidP="00C16C4F">
      <w:r w:rsidRPr="00930E5E">
        <w:rPr>
          <w:i/>
          <w:iCs/>
        </w:rPr>
        <w:t>d)</w:t>
      </w:r>
      <w:r w:rsidRPr="00930E5E">
        <w:tab/>
      </w:r>
      <w:r w:rsidR="003762F3" w:rsidRPr="00930E5E">
        <w:t>que, dans la gamme de fréquences</w:t>
      </w:r>
      <w:r w:rsidR="001820CE" w:rsidRPr="00930E5E">
        <w:t> </w:t>
      </w:r>
      <w:r w:rsidR="003762F3" w:rsidRPr="00930E5E">
        <w:t>275</w:t>
      </w:r>
      <w:r w:rsidR="001820CE" w:rsidRPr="00930E5E">
        <w:noBreakHyphen/>
      </w:r>
      <w:r w:rsidR="003762F3" w:rsidRPr="00930E5E">
        <w:t xml:space="preserve">1 000 GHz, plusieurs bandes sont identifiées en vue de leur utilisation par </w:t>
      </w:r>
      <w:r w:rsidR="00317C78" w:rsidRPr="00930E5E">
        <w:t xml:space="preserve">les administrations pour </w:t>
      </w:r>
      <w:r w:rsidR="003762F3" w:rsidRPr="00930E5E">
        <w:t>les services passifs, par exemple le</w:t>
      </w:r>
      <w:r w:rsidR="001820CE" w:rsidRPr="00930E5E">
        <w:t> </w:t>
      </w:r>
      <w:r w:rsidR="003762F3" w:rsidRPr="00930E5E">
        <w:t>SRA, le</w:t>
      </w:r>
      <w:r w:rsidR="001820CE" w:rsidRPr="00930E5E">
        <w:t> </w:t>
      </w:r>
      <w:r w:rsidR="003762F3" w:rsidRPr="00930E5E">
        <w:t>SETS (passive) et le service de recherche spatiale (passive)</w:t>
      </w:r>
      <w:r w:rsidR="008046E5" w:rsidRPr="00930E5E">
        <w:t>;</w:t>
      </w:r>
    </w:p>
    <w:p w14:paraId="651FD365" w14:textId="090D3D1F" w:rsidR="00E35E90" w:rsidRPr="00930E5E" w:rsidRDefault="00E35E90" w:rsidP="00C16C4F">
      <w:r w:rsidRPr="00930E5E">
        <w:rPr>
          <w:i/>
          <w:iCs/>
        </w:rPr>
        <w:t>e)</w:t>
      </w:r>
      <w:r w:rsidRPr="00930E5E">
        <w:tab/>
      </w:r>
      <w:r w:rsidR="00317C78" w:rsidRPr="00930E5E">
        <w:t>que quatre bandes dans la gamme de fréquences</w:t>
      </w:r>
      <w:r w:rsidR="001820CE" w:rsidRPr="00930E5E">
        <w:t> </w:t>
      </w:r>
      <w:r w:rsidR="00317C78" w:rsidRPr="00930E5E">
        <w:rPr>
          <w:rFonts w:eastAsia="MS Mincho"/>
        </w:rPr>
        <w:t>275</w:t>
      </w:r>
      <w:r w:rsidR="001820CE" w:rsidRPr="00930E5E">
        <w:rPr>
          <w:rFonts w:eastAsia="MS Mincho"/>
        </w:rPr>
        <w:noBreakHyphen/>
      </w:r>
      <w:r w:rsidR="00317C78" w:rsidRPr="00930E5E">
        <w:rPr>
          <w:rFonts w:eastAsia="MS Mincho"/>
        </w:rPr>
        <w:t>450</w:t>
      </w:r>
      <w:r w:rsidR="001820CE" w:rsidRPr="00930E5E">
        <w:rPr>
          <w:rFonts w:eastAsia="MS Mincho"/>
        </w:rPr>
        <w:t> </w:t>
      </w:r>
      <w:r w:rsidR="00317C78" w:rsidRPr="00930E5E">
        <w:rPr>
          <w:rFonts w:eastAsia="MS Mincho"/>
        </w:rPr>
        <w:t>GHz sont identifiées en vue de leur utilisation par les administrations pour mise en œuvre d</w:t>
      </w:r>
      <w:r w:rsidR="00CD0D40" w:rsidRPr="00930E5E">
        <w:rPr>
          <w:rFonts w:eastAsia="MS Mincho"/>
        </w:rPr>
        <w:t xml:space="preserve">es </w:t>
      </w:r>
      <w:r w:rsidR="00317C78" w:rsidRPr="00930E5E">
        <w:rPr>
          <w:rFonts w:eastAsia="MS Mincho"/>
        </w:rPr>
        <w:t>applications du</w:t>
      </w:r>
      <w:r w:rsidR="001820CE" w:rsidRPr="00930E5E">
        <w:rPr>
          <w:rFonts w:eastAsia="MS Mincho"/>
        </w:rPr>
        <w:t> </w:t>
      </w:r>
      <w:r w:rsidR="00317C78" w:rsidRPr="00930E5E">
        <w:rPr>
          <w:rFonts w:eastAsia="MS Mincho"/>
        </w:rPr>
        <w:t>SMT et du</w:t>
      </w:r>
      <w:r w:rsidR="001820CE" w:rsidRPr="00930E5E">
        <w:rPr>
          <w:rFonts w:eastAsia="MS Mincho"/>
        </w:rPr>
        <w:t> </w:t>
      </w:r>
      <w:r w:rsidR="00317C78" w:rsidRPr="00930E5E">
        <w:rPr>
          <w:rFonts w:eastAsia="MS Mincho"/>
        </w:rPr>
        <w:t>SF;</w:t>
      </w:r>
    </w:p>
    <w:p w14:paraId="27C5BE62" w14:textId="68EE1614" w:rsidR="00E35E90" w:rsidRPr="00930E5E" w:rsidRDefault="00E35E90" w:rsidP="00C16C4F">
      <w:r w:rsidRPr="00930E5E">
        <w:rPr>
          <w:i/>
          <w:iCs/>
        </w:rPr>
        <w:t>f)</w:t>
      </w:r>
      <w:r w:rsidRPr="00930E5E">
        <w:tab/>
      </w:r>
      <w:r w:rsidR="003762F3" w:rsidRPr="00930E5E">
        <w:t>que les administrations souhaitant mettre à disposition des fréquences dans la gamme de fréquences</w:t>
      </w:r>
      <w:r w:rsidR="001820CE" w:rsidRPr="00930E5E">
        <w:t> </w:t>
      </w:r>
      <w:r w:rsidR="003762F3" w:rsidRPr="00930E5E">
        <w:t>275</w:t>
      </w:r>
      <w:r w:rsidR="003762F3" w:rsidRPr="00930E5E">
        <w:noBreakHyphen/>
        <w:t>1 000 GHz pour les applications des services actifs sont instamment priées de prendre toutes les mesures pratiquement réalisables pour protéger ces services passifs contre les brouillages préjudiciables jusqu'à la date d'établissement du Tableau d'attribution des bandes de fréquences pour les bandes de fréquences concernées;</w:t>
      </w:r>
    </w:p>
    <w:p w14:paraId="05D66DF0" w14:textId="542D6352" w:rsidR="00E35E90" w:rsidRPr="00930E5E" w:rsidRDefault="00E35E90" w:rsidP="00C16C4F">
      <w:r w:rsidRPr="00930E5E">
        <w:rPr>
          <w:i/>
          <w:iCs/>
        </w:rPr>
        <w:lastRenderedPageBreak/>
        <w:t>g)</w:t>
      </w:r>
      <w:r w:rsidRPr="00930E5E">
        <w:tab/>
      </w:r>
      <w:r w:rsidR="00317C78" w:rsidRPr="00930E5E">
        <w:t>qu'une nouvelle identification pour les applications du service de radiolocalisation dans la gamme de fréquences</w:t>
      </w:r>
      <w:r w:rsidR="001820CE" w:rsidRPr="00930E5E">
        <w:t> </w:t>
      </w:r>
      <w:r w:rsidR="00317C78" w:rsidRPr="00930E5E">
        <w:t>275</w:t>
      </w:r>
      <w:r w:rsidR="001820CE" w:rsidRPr="00930E5E">
        <w:noBreakHyphen/>
      </w:r>
      <w:r w:rsidR="00317C78" w:rsidRPr="00930E5E">
        <w:t>700</w:t>
      </w:r>
      <w:r w:rsidR="007D4CD0" w:rsidRPr="00930E5E">
        <w:t> </w:t>
      </w:r>
      <w:r w:rsidR="00317C78" w:rsidRPr="00930E5E">
        <w:t xml:space="preserve">GHz </w:t>
      </w:r>
      <w:r w:rsidR="00CD0D40" w:rsidRPr="00930E5E">
        <w:t>sera peut-</w:t>
      </w:r>
      <w:r w:rsidR="00317C78" w:rsidRPr="00930E5E">
        <w:t>être examinée au titre d'un point de l'ordre du jour de la</w:t>
      </w:r>
      <w:r w:rsidR="001820CE" w:rsidRPr="00930E5E">
        <w:t> </w:t>
      </w:r>
      <w:r w:rsidR="00317C78" w:rsidRPr="00930E5E">
        <w:t>CMR</w:t>
      </w:r>
      <w:r w:rsidR="001820CE" w:rsidRPr="00930E5E">
        <w:noBreakHyphen/>
      </w:r>
      <w:r w:rsidR="00317C78" w:rsidRPr="00930E5E">
        <w:t>27,</w:t>
      </w:r>
    </w:p>
    <w:p w14:paraId="5711206D" w14:textId="29E8EF95" w:rsidR="00E35E90" w:rsidRPr="00930E5E" w:rsidRDefault="00E35E90" w:rsidP="00997036">
      <w:pPr>
        <w:pStyle w:val="Call"/>
      </w:pPr>
      <w:r w:rsidRPr="00930E5E">
        <w:t>notant</w:t>
      </w:r>
    </w:p>
    <w:p w14:paraId="7F2427F8" w14:textId="45172E8F" w:rsidR="005A4E96" w:rsidRPr="00930E5E" w:rsidRDefault="00E35E90" w:rsidP="00997036">
      <w:r w:rsidRPr="00930E5E">
        <w:rPr>
          <w:i/>
          <w:iCs/>
        </w:rPr>
        <w:t>a)</w:t>
      </w:r>
      <w:r w:rsidRPr="00930E5E">
        <w:tab/>
      </w:r>
      <w:r w:rsidR="00317C78" w:rsidRPr="00930E5E">
        <w:t>que les Rapports</w:t>
      </w:r>
      <w:r w:rsidR="001820CE" w:rsidRPr="00930E5E">
        <w:t> </w:t>
      </w:r>
      <w:r w:rsidR="00317C78" w:rsidRPr="00930E5E">
        <w:t>UIT</w:t>
      </w:r>
      <w:r w:rsidR="001820CE" w:rsidRPr="00930E5E">
        <w:noBreakHyphen/>
      </w:r>
      <w:r w:rsidR="00317C78" w:rsidRPr="00930E5E">
        <w:t>R</w:t>
      </w:r>
      <w:r w:rsidR="001820CE" w:rsidRPr="00930E5E">
        <w:t> </w:t>
      </w:r>
      <w:r w:rsidR="00317C78" w:rsidRPr="00930E5E">
        <w:t>F.2416, M.2417 et</w:t>
      </w:r>
      <w:r w:rsidR="001820CE" w:rsidRPr="00930E5E">
        <w:t> </w:t>
      </w:r>
      <w:r w:rsidR="00317C78" w:rsidRPr="00930E5E">
        <w:t>RS.2431 fournissent les caractéristiques techniques et opérationnelles des applications du</w:t>
      </w:r>
      <w:r w:rsidR="00BB68E5" w:rsidRPr="00930E5E">
        <w:t> </w:t>
      </w:r>
      <w:r w:rsidR="00317C78" w:rsidRPr="00930E5E">
        <w:t>SF, du</w:t>
      </w:r>
      <w:r w:rsidR="00BB68E5" w:rsidRPr="00930E5E">
        <w:t> </w:t>
      </w:r>
      <w:r w:rsidR="00317C78" w:rsidRPr="00930E5E">
        <w:t>SMT et du</w:t>
      </w:r>
      <w:r w:rsidR="00BB68E5" w:rsidRPr="00930E5E">
        <w:t> </w:t>
      </w:r>
      <w:r w:rsidR="00317C78" w:rsidRPr="00930E5E">
        <w:t>SETS (passive) dans la gamme de fréquences</w:t>
      </w:r>
      <w:r w:rsidR="00BB68E5" w:rsidRPr="00930E5E">
        <w:t> </w:t>
      </w:r>
      <w:r w:rsidR="00317C78" w:rsidRPr="00930E5E">
        <w:t>275</w:t>
      </w:r>
      <w:r w:rsidR="00BB68E5" w:rsidRPr="00930E5E">
        <w:noBreakHyphen/>
      </w:r>
      <w:r w:rsidR="00317C78" w:rsidRPr="00930E5E">
        <w:t>450</w:t>
      </w:r>
      <w:r w:rsidR="007D4CD0" w:rsidRPr="00930E5E">
        <w:t> </w:t>
      </w:r>
      <w:r w:rsidR="00317C78" w:rsidRPr="00930E5E">
        <w:t>GHz, respectivement;</w:t>
      </w:r>
    </w:p>
    <w:p w14:paraId="7C00F6A2" w14:textId="4B9E3B65" w:rsidR="00E35E90" w:rsidRPr="00930E5E" w:rsidRDefault="00E35E90" w:rsidP="00C16C4F">
      <w:r w:rsidRPr="00930E5E">
        <w:rPr>
          <w:i/>
          <w:iCs/>
        </w:rPr>
        <w:t>b)</w:t>
      </w:r>
      <w:r w:rsidRPr="00930E5E">
        <w:tab/>
      </w:r>
      <w:r w:rsidR="00945954" w:rsidRPr="00930E5E">
        <w:t>que le Rapport</w:t>
      </w:r>
      <w:r w:rsidR="00BB68E5" w:rsidRPr="00930E5E">
        <w:t> </w:t>
      </w:r>
      <w:r w:rsidR="00945954" w:rsidRPr="00930E5E">
        <w:t>UIT</w:t>
      </w:r>
      <w:r w:rsidR="00BB68E5" w:rsidRPr="00930E5E">
        <w:noBreakHyphen/>
      </w:r>
      <w:r w:rsidR="00945954" w:rsidRPr="00930E5E">
        <w:t>R</w:t>
      </w:r>
      <w:r w:rsidR="00BB68E5" w:rsidRPr="00930E5E">
        <w:t> </w:t>
      </w:r>
      <w:r w:rsidR="00945954" w:rsidRPr="00930E5E">
        <w:t>SM.2352 donne les lignes d'évolution technologique des services actifs exploités dans la gamme de fréquences</w:t>
      </w:r>
      <w:r w:rsidR="00BB68E5" w:rsidRPr="00930E5E">
        <w:t> </w:t>
      </w:r>
      <w:r w:rsidR="00945954" w:rsidRPr="00930E5E">
        <w:t>275</w:t>
      </w:r>
      <w:r w:rsidR="00BB68E5" w:rsidRPr="00930E5E">
        <w:noBreakHyphen/>
      </w:r>
      <w:r w:rsidR="00945954" w:rsidRPr="00930E5E">
        <w:t>3</w:t>
      </w:r>
      <w:r w:rsidR="00BB68E5" w:rsidRPr="00930E5E">
        <w:t> </w:t>
      </w:r>
      <w:r w:rsidR="00945954" w:rsidRPr="00930E5E">
        <w:t>000</w:t>
      </w:r>
      <w:r w:rsidR="00BB68E5" w:rsidRPr="00930E5E">
        <w:t> </w:t>
      </w:r>
      <w:r w:rsidR="00945954" w:rsidRPr="00930E5E">
        <w:t>GHz;</w:t>
      </w:r>
    </w:p>
    <w:p w14:paraId="532553A1" w14:textId="317611D2" w:rsidR="00E35E90" w:rsidRPr="00930E5E" w:rsidRDefault="00E35E90" w:rsidP="00997036">
      <w:r w:rsidRPr="00930E5E">
        <w:rPr>
          <w:i/>
          <w:iCs/>
        </w:rPr>
        <w:t>c)</w:t>
      </w:r>
      <w:r w:rsidRPr="00930E5E">
        <w:tab/>
      </w:r>
      <w:r w:rsidR="00317C78" w:rsidRPr="00930E5E">
        <w:t>que le Rapport</w:t>
      </w:r>
      <w:r w:rsidR="00BB68E5" w:rsidRPr="00930E5E">
        <w:t> </w:t>
      </w:r>
      <w:r w:rsidR="00317C78" w:rsidRPr="00930E5E">
        <w:t>UIT</w:t>
      </w:r>
      <w:r w:rsidR="00BB68E5" w:rsidRPr="00930E5E">
        <w:noBreakHyphen/>
      </w:r>
      <w:r w:rsidR="00317C78" w:rsidRPr="00930E5E">
        <w:t>R</w:t>
      </w:r>
      <w:r w:rsidR="00BB68E5" w:rsidRPr="00930E5E">
        <w:t> </w:t>
      </w:r>
      <w:r w:rsidR="00317C78" w:rsidRPr="00930E5E">
        <w:t xml:space="preserve">SM.2540 contient les résultats des études de partage et de compatibilité entre </w:t>
      </w:r>
      <w:r w:rsidR="00F40FC1" w:rsidRPr="00930E5E">
        <w:t>le service mobile terrestre, le service fixe et les services passifs dans la gamme de fréquences</w:t>
      </w:r>
      <w:r w:rsidR="00BB68E5" w:rsidRPr="00930E5E">
        <w:t> </w:t>
      </w:r>
      <w:r w:rsidR="00317C78" w:rsidRPr="00930E5E">
        <w:t>275</w:t>
      </w:r>
      <w:r w:rsidR="00BB68E5" w:rsidRPr="00930E5E">
        <w:noBreakHyphen/>
      </w:r>
      <w:r w:rsidR="00317C78" w:rsidRPr="00930E5E">
        <w:t>450</w:t>
      </w:r>
      <w:r w:rsidR="007D4CD0" w:rsidRPr="00930E5E">
        <w:t> </w:t>
      </w:r>
      <w:r w:rsidR="00317C78" w:rsidRPr="00930E5E">
        <w:t>GHz;</w:t>
      </w:r>
    </w:p>
    <w:p w14:paraId="30A3FFDD" w14:textId="0F8B1F42" w:rsidR="00E35E90" w:rsidRPr="00930E5E" w:rsidRDefault="00E35E90" w:rsidP="00997036">
      <w:r w:rsidRPr="00930E5E">
        <w:rPr>
          <w:i/>
          <w:iCs/>
        </w:rPr>
        <w:t>d)</w:t>
      </w:r>
      <w:r w:rsidRPr="00930E5E">
        <w:tab/>
      </w:r>
      <w:r w:rsidR="00F40FC1" w:rsidRPr="00930E5E">
        <w:rPr>
          <w:rFonts w:eastAsia="MS Mincho"/>
          <w:lang w:eastAsia="ja-JP"/>
        </w:rPr>
        <w:t>que le Rapport</w:t>
      </w:r>
      <w:r w:rsidR="00BB68E5" w:rsidRPr="00930E5E">
        <w:rPr>
          <w:rFonts w:eastAsia="MS Mincho"/>
          <w:lang w:eastAsia="ja-JP"/>
        </w:rPr>
        <w:t> </w:t>
      </w:r>
      <w:r w:rsidR="00F40FC1" w:rsidRPr="00930E5E">
        <w:rPr>
          <w:rFonts w:eastAsia="MS Mincho"/>
          <w:lang w:eastAsia="ja-JP"/>
        </w:rPr>
        <w:t>UIT</w:t>
      </w:r>
      <w:r w:rsidR="00BB68E5" w:rsidRPr="00930E5E">
        <w:rPr>
          <w:rFonts w:eastAsia="MS Mincho"/>
          <w:lang w:eastAsia="ja-JP"/>
        </w:rPr>
        <w:noBreakHyphen/>
      </w:r>
      <w:r w:rsidR="00F40FC1" w:rsidRPr="00930E5E">
        <w:rPr>
          <w:rFonts w:eastAsia="MS Mincho"/>
          <w:lang w:eastAsia="ja-JP"/>
        </w:rPr>
        <w:t>R</w:t>
      </w:r>
      <w:r w:rsidR="00BB68E5" w:rsidRPr="00930E5E">
        <w:rPr>
          <w:rFonts w:eastAsia="MS Mincho"/>
          <w:lang w:eastAsia="ja-JP"/>
        </w:rPr>
        <w:t> </w:t>
      </w:r>
      <w:r w:rsidR="00F40FC1" w:rsidRPr="00930E5E">
        <w:rPr>
          <w:rFonts w:eastAsia="MS Mincho"/>
          <w:lang w:eastAsia="ja-JP"/>
        </w:rPr>
        <w:t>RS.2194 contient les bandes passives présentant un intérêt scientifique pour le</w:t>
      </w:r>
      <w:r w:rsidR="00BB68E5" w:rsidRPr="00930E5E">
        <w:rPr>
          <w:rFonts w:eastAsia="MS Mincho"/>
          <w:lang w:eastAsia="ja-JP"/>
        </w:rPr>
        <w:t> </w:t>
      </w:r>
      <w:r w:rsidR="00F40FC1" w:rsidRPr="00930E5E">
        <w:rPr>
          <w:rFonts w:eastAsia="MS Mincho"/>
          <w:lang w:eastAsia="ja-JP"/>
        </w:rPr>
        <w:t>SETS et le service de recherche spatiale entre</w:t>
      </w:r>
      <w:r w:rsidR="00BB68E5" w:rsidRPr="00930E5E">
        <w:rPr>
          <w:rFonts w:eastAsia="MS Mincho"/>
          <w:lang w:eastAsia="ja-JP"/>
        </w:rPr>
        <w:t> </w:t>
      </w:r>
      <w:r w:rsidR="00F40FC1" w:rsidRPr="00930E5E">
        <w:rPr>
          <w:rFonts w:eastAsia="MS Mincho"/>
          <w:lang w:eastAsia="ja-JP"/>
        </w:rPr>
        <w:t>275 et</w:t>
      </w:r>
      <w:r w:rsidR="00BB68E5" w:rsidRPr="00930E5E">
        <w:rPr>
          <w:rFonts w:eastAsia="MS Mincho"/>
          <w:lang w:eastAsia="ja-JP"/>
        </w:rPr>
        <w:t> </w:t>
      </w:r>
      <w:r w:rsidR="00F40FC1" w:rsidRPr="00930E5E">
        <w:rPr>
          <w:rFonts w:eastAsia="MS Mincho"/>
          <w:lang w:eastAsia="ja-JP"/>
        </w:rPr>
        <w:t>3</w:t>
      </w:r>
      <w:r w:rsidR="007D4CD0" w:rsidRPr="00930E5E">
        <w:rPr>
          <w:rFonts w:eastAsia="MS Mincho"/>
          <w:lang w:eastAsia="ja-JP"/>
        </w:rPr>
        <w:t> </w:t>
      </w:r>
      <w:r w:rsidR="00F40FC1" w:rsidRPr="00930E5E">
        <w:rPr>
          <w:rFonts w:eastAsia="MS Mincho"/>
          <w:lang w:eastAsia="ja-JP"/>
        </w:rPr>
        <w:t>000</w:t>
      </w:r>
      <w:r w:rsidR="007D4CD0" w:rsidRPr="00930E5E">
        <w:rPr>
          <w:rFonts w:eastAsia="MS Mincho"/>
          <w:lang w:eastAsia="ja-JP"/>
        </w:rPr>
        <w:t> </w:t>
      </w:r>
      <w:r w:rsidR="00F40FC1" w:rsidRPr="00930E5E">
        <w:rPr>
          <w:rFonts w:eastAsia="MS Mincho"/>
          <w:lang w:eastAsia="ja-JP"/>
        </w:rPr>
        <w:t>GHz,</w:t>
      </w:r>
    </w:p>
    <w:p w14:paraId="3ACD2133" w14:textId="0D2B44B5" w:rsidR="00E35E90" w:rsidRPr="00930E5E" w:rsidRDefault="003F4FEF" w:rsidP="00997036">
      <w:pPr>
        <w:pStyle w:val="Call"/>
      </w:pPr>
      <w:r w:rsidRPr="00930E5E">
        <w:t>décide</w:t>
      </w:r>
      <w:r w:rsidR="00F40FC1" w:rsidRPr="00930E5E">
        <w:t xml:space="preserve"> d'inviter le Secteur des radiocommunications de l'UIT</w:t>
      </w:r>
    </w:p>
    <w:p w14:paraId="3FFE168C" w14:textId="68729832" w:rsidR="00E35E90" w:rsidRPr="00930E5E" w:rsidRDefault="00E35E90" w:rsidP="00997036">
      <w:r w:rsidRPr="00930E5E">
        <w:t>1</w:t>
      </w:r>
      <w:r w:rsidRPr="00930E5E">
        <w:tab/>
      </w:r>
      <w:r w:rsidR="00F40FC1" w:rsidRPr="00930E5E">
        <w:t>à étudier les caractéristiques techniques et opérationnelles des systèmes du</w:t>
      </w:r>
      <w:r w:rsidR="00BB68E5" w:rsidRPr="00930E5E">
        <w:t> </w:t>
      </w:r>
      <w:r w:rsidR="00F40FC1" w:rsidRPr="00930E5E">
        <w:t>SF, du</w:t>
      </w:r>
      <w:r w:rsidR="00BB68E5" w:rsidRPr="00930E5E">
        <w:t> </w:t>
      </w:r>
      <w:r w:rsidR="00F40FC1" w:rsidRPr="00930E5E">
        <w:t>SM, du</w:t>
      </w:r>
      <w:r w:rsidR="00BB68E5" w:rsidRPr="00930E5E">
        <w:t> </w:t>
      </w:r>
      <w:r w:rsidR="00F40FC1" w:rsidRPr="00930E5E">
        <w:t>SRA et du</w:t>
      </w:r>
      <w:r w:rsidR="00BB68E5" w:rsidRPr="00930E5E">
        <w:t> </w:t>
      </w:r>
      <w:r w:rsidR="00F40FC1" w:rsidRPr="00930E5E">
        <w:t>SETS (passive) fonctionnant dans la gamme de fréquences</w:t>
      </w:r>
      <w:r w:rsidR="00BB68E5" w:rsidRPr="00930E5E">
        <w:t> </w:t>
      </w:r>
      <w:r w:rsidR="00F40FC1" w:rsidRPr="00930E5E">
        <w:t>275</w:t>
      </w:r>
      <w:r w:rsidR="00BB68E5" w:rsidRPr="00930E5E">
        <w:noBreakHyphen/>
      </w:r>
      <w:r w:rsidR="00F40FC1" w:rsidRPr="00930E5E">
        <w:t>325</w:t>
      </w:r>
      <w:r w:rsidR="007D4CD0" w:rsidRPr="00930E5E">
        <w:t> </w:t>
      </w:r>
      <w:r w:rsidR="00F40FC1" w:rsidRPr="00930E5E">
        <w:t>GHz;</w:t>
      </w:r>
    </w:p>
    <w:p w14:paraId="69ADAC3A" w14:textId="0733C236" w:rsidR="00E35E90" w:rsidRPr="00930E5E" w:rsidRDefault="00E35E90" w:rsidP="00997036">
      <w:r w:rsidRPr="00930E5E">
        <w:t>2</w:t>
      </w:r>
      <w:r w:rsidRPr="00930E5E">
        <w:tab/>
      </w:r>
      <w:r w:rsidR="00F40FC1" w:rsidRPr="00930E5E">
        <w:t xml:space="preserve">à conduire des études de partage </w:t>
      </w:r>
      <w:r w:rsidR="008E3D22" w:rsidRPr="00930E5E">
        <w:t xml:space="preserve">et de compatibilité </w:t>
      </w:r>
      <w:r w:rsidR="00F40FC1" w:rsidRPr="00930E5E">
        <w:t>entre le</w:t>
      </w:r>
      <w:r w:rsidR="00BB68E5" w:rsidRPr="00930E5E">
        <w:t> </w:t>
      </w:r>
      <w:r w:rsidR="00F40FC1" w:rsidRPr="00930E5E">
        <w:t>SF/SM et le</w:t>
      </w:r>
      <w:r w:rsidR="00BB68E5" w:rsidRPr="00930E5E">
        <w:t> </w:t>
      </w:r>
      <w:r w:rsidR="00F40FC1" w:rsidRPr="00930E5E">
        <w:t>SRA/SETS (passive) dans la gamme de fréquences</w:t>
      </w:r>
      <w:r w:rsidR="00BB68E5" w:rsidRPr="00930E5E">
        <w:t> </w:t>
      </w:r>
      <w:r w:rsidR="00F40FC1" w:rsidRPr="00930E5E">
        <w:rPr>
          <w:rFonts w:eastAsiaTheme="minorEastAsia"/>
          <w:lang w:eastAsia="ja-JP"/>
        </w:rPr>
        <w:t>275</w:t>
      </w:r>
      <w:r w:rsidR="00BB68E5" w:rsidRPr="00930E5E">
        <w:rPr>
          <w:rFonts w:eastAsiaTheme="minorEastAsia"/>
          <w:lang w:eastAsia="ja-JP"/>
        </w:rPr>
        <w:noBreakHyphen/>
      </w:r>
      <w:r w:rsidR="00F40FC1" w:rsidRPr="00930E5E">
        <w:rPr>
          <w:rFonts w:eastAsiaTheme="minorEastAsia"/>
          <w:lang w:eastAsia="ja-JP"/>
        </w:rPr>
        <w:t>325</w:t>
      </w:r>
      <w:r w:rsidR="007D4CD0" w:rsidRPr="00930E5E">
        <w:rPr>
          <w:rFonts w:eastAsiaTheme="minorEastAsia"/>
          <w:lang w:eastAsia="ja-JP"/>
        </w:rPr>
        <w:t> </w:t>
      </w:r>
      <w:r w:rsidR="00F40FC1" w:rsidRPr="00930E5E">
        <w:rPr>
          <w:rFonts w:eastAsiaTheme="minorEastAsia"/>
          <w:lang w:eastAsia="ja-JP"/>
        </w:rPr>
        <w:t>GHz;</w:t>
      </w:r>
    </w:p>
    <w:p w14:paraId="46BD7CEF" w14:textId="4E452C44" w:rsidR="00E35E90" w:rsidRPr="00930E5E" w:rsidRDefault="00E35E90" w:rsidP="00997036">
      <w:r w:rsidRPr="00930E5E">
        <w:t>3</w:t>
      </w:r>
      <w:r w:rsidRPr="00930E5E">
        <w:tab/>
      </w:r>
      <w:r w:rsidR="00F40FC1" w:rsidRPr="00930E5E">
        <w:t xml:space="preserve">à étudier </w:t>
      </w:r>
      <w:r w:rsidR="008E3D22" w:rsidRPr="00930E5E">
        <w:t xml:space="preserve">les </w:t>
      </w:r>
      <w:r w:rsidR="00F40FC1" w:rsidRPr="00930E5E">
        <w:t xml:space="preserve">nouvelles attributions </w:t>
      </w:r>
      <w:r w:rsidR="008E3D22" w:rsidRPr="00930E5E">
        <w:t xml:space="preserve">qu'il serait possible de faire </w:t>
      </w:r>
      <w:r w:rsidR="00F40FC1" w:rsidRPr="00930E5E">
        <w:t>au</w:t>
      </w:r>
      <w:r w:rsidR="00BB68E5" w:rsidRPr="00930E5E">
        <w:t> </w:t>
      </w:r>
      <w:r w:rsidR="00F40FC1" w:rsidRPr="00930E5E">
        <w:rPr>
          <w:rFonts w:eastAsiaTheme="minorEastAsia"/>
          <w:lang w:eastAsia="ja-JP"/>
        </w:rPr>
        <w:t>SF, au</w:t>
      </w:r>
      <w:r w:rsidR="00BB68E5" w:rsidRPr="00930E5E">
        <w:rPr>
          <w:rFonts w:eastAsiaTheme="minorEastAsia"/>
          <w:lang w:eastAsia="ja-JP"/>
        </w:rPr>
        <w:t> </w:t>
      </w:r>
      <w:r w:rsidR="00F40FC1" w:rsidRPr="00930E5E">
        <w:rPr>
          <w:rFonts w:eastAsiaTheme="minorEastAsia"/>
          <w:lang w:eastAsia="ja-JP"/>
        </w:rPr>
        <w:t>SM, au</w:t>
      </w:r>
      <w:r w:rsidR="00BB68E5" w:rsidRPr="00930E5E">
        <w:rPr>
          <w:rFonts w:eastAsiaTheme="minorEastAsia"/>
          <w:lang w:eastAsia="ja-JP"/>
        </w:rPr>
        <w:t> </w:t>
      </w:r>
      <w:r w:rsidR="00F40FC1" w:rsidRPr="00930E5E">
        <w:rPr>
          <w:rFonts w:eastAsiaTheme="minorEastAsia"/>
          <w:lang w:eastAsia="ja-JP"/>
        </w:rPr>
        <w:t>SRA et au</w:t>
      </w:r>
      <w:r w:rsidR="00BB68E5" w:rsidRPr="00930E5E">
        <w:rPr>
          <w:rFonts w:eastAsiaTheme="minorEastAsia"/>
          <w:lang w:eastAsia="ja-JP"/>
        </w:rPr>
        <w:t> </w:t>
      </w:r>
      <w:r w:rsidR="00F40FC1" w:rsidRPr="00930E5E">
        <w:rPr>
          <w:rFonts w:eastAsiaTheme="minorEastAsia"/>
          <w:lang w:eastAsia="ja-JP"/>
        </w:rPr>
        <w:t>SETS (passive) à titre primaire avec égalité de</w:t>
      </w:r>
      <w:r w:rsidR="007D4CD0" w:rsidRPr="00930E5E">
        <w:rPr>
          <w:rFonts w:eastAsiaTheme="minorEastAsia"/>
          <w:lang w:eastAsia="ja-JP"/>
        </w:rPr>
        <w:t>s</w:t>
      </w:r>
      <w:r w:rsidR="00F40FC1" w:rsidRPr="00930E5E">
        <w:rPr>
          <w:rFonts w:eastAsiaTheme="minorEastAsia"/>
          <w:lang w:eastAsia="ja-JP"/>
        </w:rPr>
        <w:t xml:space="preserve"> droits dans la gamme de fréquences</w:t>
      </w:r>
      <w:r w:rsidR="00BB68E5" w:rsidRPr="00930E5E">
        <w:rPr>
          <w:rFonts w:eastAsiaTheme="minorEastAsia"/>
          <w:lang w:eastAsia="ja-JP"/>
        </w:rPr>
        <w:t> </w:t>
      </w:r>
      <w:r w:rsidR="00F40FC1" w:rsidRPr="00930E5E">
        <w:rPr>
          <w:rFonts w:eastAsiaTheme="minorEastAsia"/>
          <w:szCs w:val="24"/>
          <w:lang w:eastAsia="ja-JP"/>
        </w:rPr>
        <w:t>275</w:t>
      </w:r>
      <w:r w:rsidR="00BB68E5" w:rsidRPr="00930E5E">
        <w:rPr>
          <w:rFonts w:eastAsiaTheme="minorEastAsia"/>
          <w:szCs w:val="24"/>
          <w:lang w:eastAsia="ja-JP"/>
        </w:rPr>
        <w:noBreakHyphen/>
      </w:r>
      <w:r w:rsidR="00F40FC1" w:rsidRPr="00930E5E">
        <w:rPr>
          <w:rFonts w:eastAsiaTheme="minorEastAsia"/>
          <w:szCs w:val="24"/>
          <w:lang w:eastAsia="ja-JP"/>
        </w:rPr>
        <w:t>325</w:t>
      </w:r>
      <w:r w:rsidR="007D4CD0" w:rsidRPr="00930E5E">
        <w:rPr>
          <w:rFonts w:eastAsiaTheme="minorEastAsia"/>
          <w:szCs w:val="24"/>
          <w:lang w:eastAsia="ja-JP"/>
        </w:rPr>
        <w:t> </w:t>
      </w:r>
      <w:r w:rsidR="00F40FC1" w:rsidRPr="00930E5E">
        <w:rPr>
          <w:rFonts w:eastAsiaTheme="minorEastAsia"/>
          <w:szCs w:val="24"/>
          <w:lang w:eastAsia="ja-JP"/>
        </w:rPr>
        <w:t>GHz, tout en assurant la protection des services existants dans les bandes de fréquences adjacentes, compte tenu des résultats des études menées au titre des points</w:t>
      </w:r>
      <w:r w:rsidR="00BB68E5" w:rsidRPr="00930E5E">
        <w:rPr>
          <w:rFonts w:eastAsiaTheme="minorEastAsia"/>
          <w:szCs w:val="24"/>
          <w:lang w:eastAsia="ja-JP"/>
        </w:rPr>
        <w:t> </w:t>
      </w:r>
      <w:r w:rsidR="00F40FC1" w:rsidRPr="00930E5E">
        <w:rPr>
          <w:rFonts w:eastAsiaTheme="minorEastAsia"/>
          <w:szCs w:val="24"/>
          <w:lang w:eastAsia="ja-JP"/>
        </w:rPr>
        <w:t>1 et</w:t>
      </w:r>
      <w:r w:rsidR="00BB68E5" w:rsidRPr="00930E5E">
        <w:rPr>
          <w:rFonts w:eastAsiaTheme="minorEastAsia"/>
          <w:szCs w:val="24"/>
          <w:lang w:eastAsia="ja-JP"/>
        </w:rPr>
        <w:t> </w:t>
      </w:r>
      <w:r w:rsidR="00F40FC1" w:rsidRPr="00930E5E">
        <w:rPr>
          <w:rFonts w:eastAsiaTheme="minorEastAsia"/>
          <w:szCs w:val="24"/>
          <w:lang w:eastAsia="ja-JP"/>
        </w:rPr>
        <w:t xml:space="preserve">2 du </w:t>
      </w:r>
      <w:r w:rsidR="00F40FC1" w:rsidRPr="00930E5E">
        <w:rPr>
          <w:i/>
          <w:iCs/>
          <w:szCs w:val="24"/>
        </w:rPr>
        <w:t>décide d'</w:t>
      </w:r>
      <w:r w:rsidR="007D4CD0" w:rsidRPr="00930E5E">
        <w:rPr>
          <w:i/>
          <w:iCs/>
          <w:szCs w:val="24"/>
        </w:rPr>
        <w:t>i</w:t>
      </w:r>
      <w:r w:rsidR="00F40FC1" w:rsidRPr="00930E5E">
        <w:rPr>
          <w:i/>
          <w:iCs/>
          <w:szCs w:val="24"/>
        </w:rPr>
        <w:t>nviter le Secteur des radiocommunications de l'UIT</w:t>
      </w:r>
      <w:r w:rsidR="00F40FC1" w:rsidRPr="00930E5E">
        <w:rPr>
          <w:rFonts w:eastAsiaTheme="minorEastAsia"/>
          <w:szCs w:val="24"/>
          <w:lang w:eastAsia="ja-JP"/>
        </w:rPr>
        <w:t>;</w:t>
      </w:r>
    </w:p>
    <w:p w14:paraId="4DF707A1" w14:textId="0EFE490B" w:rsidR="00E35E90" w:rsidRPr="00930E5E" w:rsidRDefault="00E35E90" w:rsidP="00997036">
      <w:r w:rsidRPr="00930E5E">
        <w:t>4</w:t>
      </w:r>
      <w:r w:rsidRPr="00930E5E">
        <w:tab/>
      </w:r>
      <w:r w:rsidR="00F40FC1" w:rsidRPr="00930E5E">
        <w:t>à mettre à jour les numéros</w:t>
      </w:r>
      <w:r w:rsidR="00BB68E5" w:rsidRPr="00930E5E">
        <w:rPr>
          <w:rFonts w:eastAsiaTheme="minorEastAsia"/>
          <w:lang w:eastAsia="ja-JP"/>
        </w:rPr>
        <w:t> </w:t>
      </w:r>
      <w:r w:rsidR="00F40FC1" w:rsidRPr="00930E5E">
        <w:rPr>
          <w:rFonts w:eastAsia="MS Mincho"/>
          <w:b/>
          <w:bCs/>
          <w:szCs w:val="24"/>
          <w:lang w:eastAsia="ja-JP"/>
        </w:rPr>
        <w:t xml:space="preserve">5.138, 5.149, 5.340, 5.564A </w:t>
      </w:r>
      <w:r w:rsidR="00F40FC1" w:rsidRPr="00930E5E">
        <w:rPr>
          <w:rFonts w:eastAsia="MS Mincho"/>
          <w:szCs w:val="24"/>
          <w:lang w:eastAsia="ja-JP"/>
        </w:rPr>
        <w:t>et</w:t>
      </w:r>
      <w:r w:rsidR="00BB68E5" w:rsidRPr="00930E5E">
        <w:rPr>
          <w:rFonts w:eastAsia="MS Mincho"/>
          <w:szCs w:val="24"/>
          <w:lang w:eastAsia="ja-JP"/>
        </w:rPr>
        <w:t> </w:t>
      </w:r>
      <w:r w:rsidR="00F40FC1" w:rsidRPr="00930E5E">
        <w:rPr>
          <w:rFonts w:eastAsia="MS Mincho"/>
          <w:b/>
          <w:bCs/>
          <w:szCs w:val="24"/>
          <w:lang w:eastAsia="ja-JP"/>
        </w:rPr>
        <w:t>5.565</w:t>
      </w:r>
      <w:r w:rsidR="00F40FC1" w:rsidRPr="00930E5E">
        <w:rPr>
          <w:rFonts w:eastAsiaTheme="minorEastAsia"/>
          <w:szCs w:val="24"/>
          <w:lang w:eastAsia="ja-JP"/>
        </w:rPr>
        <w:t>, selon qu'il convient, compte tenu des résultats des études menées au titre du point</w:t>
      </w:r>
      <w:r w:rsidR="00BB68E5" w:rsidRPr="00930E5E">
        <w:rPr>
          <w:rFonts w:eastAsiaTheme="minorEastAsia"/>
          <w:szCs w:val="24"/>
          <w:lang w:eastAsia="ja-JP"/>
        </w:rPr>
        <w:t> </w:t>
      </w:r>
      <w:r w:rsidR="00F40FC1" w:rsidRPr="00930E5E">
        <w:rPr>
          <w:rFonts w:eastAsiaTheme="minorEastAsia"/>
          <w:szCs w:val="24"/>
          <w:lang w:eastAsia="ja-JP"/>
        </w:rPr>
        <w:t xml:space="preserve">3 du </w:t>
      </w:r>
      <w:r w:rsidR="00F40FC1" w:rsidRPr="00930E5E">
        <w:rPr>
          <w:i/>
          <w:iCs/>
          <w:szCs w:val="24"/>
        </w:rPr>
        <w:t>décide d'inviter le Secteur des radiocommunications de l'UIT</w:t>
      </w:r>
      <w:r w:rsidR="00F40FC1" w:rsidRPr="00930E5E">
        <w:rPr>
          <w:szCs w:val="24"/>
        </w:rPr>
        <w:t>,</w:t>
      </w:r>
    </w:p>
    <w:p w14:paraId="6F043811" w14:textId="4FF7940B" w:rsidR="00E35E90" w:rsidRPr="00930E5E" w:rsidRDefault="003F4FEF" w:rsidP="00997036">
      <w:pPr>
        <w:pStyle w:val="Call"/>
      </w:pPr>
      <w:r w:rsidRPr="00930E5E">
        <w:t xml:space="preserve">invite </w:t>
      </w:r>
      <w:r w:rsidR="00F40FC1" w:rsidRPr="00930E5E">
        <w:t>la Conférence mondiale des radiocommunications de 2031</w:t>
      </w:r>
    </w:p>
    <w:p w14:paraId="5F85534C" w14:textId="5268D05B" w:rsidR="00E35E90" w:rsidRPr="00930E5E" w:rsidRDefault="00F40FC1" w:rsidP="00997036">
      <w:r w:rsidRPr="00930E5E">
        <w:rPr>
          <w:rFonts w:eastAsia="MS Mincho"/>
        </w:rPr>
        <w:t xml:space="preserve">à examiner les résultats de ces études et à établir le Tableau d'attribution des bandes de fréquences </w:t>
      </w:r>
      <w:r w:rsidR="007D0C5D" w:rsidRPr="00930E5E">
        <w:rPr>
          <w:rFonts w:eastAsia="MS Mincho"/>
        </w:rPr>
        <w:t>pour</w:t>
      </w:r>
      <w:r w:rsidRPr="00930E5E">
        <w:rPr>
          <w:rFonts w:eastAsia="MS Mincho"/>
        </w:rPr>
        <w:t xml:space="preserve"> la gamme de fréquences</w:t>
      </w:r>
      <w:r w:rsidR="00BB68E5" w:rsidRPr="00930E5E">
        <w:rPr>
          <w:rFonts w:eastAsia="MS Mincho"/>
        </w:rPr>
        <w:t> </w:t>
      </w:r>
      <w:r w:rsidRPr="00930E5E">
        <w:rPr>
          <w:rFonts w:eastAsia="MS Mincho"/>
        </w:rPr>
        <w:t>275</w:t>
      </w:r>
      <w:r w:rsidR="00BB68E5" w:rsidRPr="00930E5E">
        <w:rPr>
          <w:rFonts w:eastAsia="MS Mincho"/>
        </w:rPr>
        <w:noBreakHyphen/>
      </w:r>
      <w:r w:rsidRPr="00930E5E">
        <w:rPr>
          <w:rFonts w:eastAsia="MS Mincho"/>
        </w:rPr>
        <w:t>325</w:t>
      </w:r>
      <w:r w:rsidR="007D4CD0" w:rsidRPr="00930E5E">
        <w:rPr>
          <w:rFonts w:eastAsia="MS Mincho"/>
        </w:rPr>
        <w:t> </w:t>
      </w:r>
      <w:r w:rsidRPr="00930E5E">
        <w:rPr>
          <w:rFonts w:eastAsia="MS Mincho"/>
        </w:rPr>
        <w:t xml:space="preserve">GHz </w:t>
      </w:r>
      <w:r w:rsidR="008E3D22" w:rsidRPr="00930E5E">
        <w:rPr>
          <w:rFonts w:eastAsia="MS Mincho"/>
        </w:rPr>
        <w:t>pour faire d</w:t>
      </w:r>
      <w:r w:rsidR="007D0C5D" w:rsidRPr="00930E5E">
        <w:rPr>
          <w:rFonts w:eastAsia="MS Mincho"/>
        </w:rPr>
        <w:t xml:space="preserve">es attributions </w:t>
      </w:r>
      <w:r w:rsidR="00681F33" w:rsidRPr="00930E5E">
        <w:rPr>
          <w:rFonts w:eastAsia="MS Mincho"/>
        </w:rPr>
        <w:t>au</w:t>
      </w:r>
      <w:r w:rsidR="00BB68E5" w:rsidRPr="00930E5E">
        <w:rPr>
          <w:rFonts w:eastAsia="MS Mincho"/>
        </w:rPr>
        <w:t> </w:t>
      </w:r>
      <w:r w:rsidR="00681F33" w:rsidRPr="00930E5E">
        <w:rPr>
          <w:rFonts w:eastAsia="MS Mincho"/>
        </w:rPr>
        <w:t>SF, au</w:t>
      </w:r>
      <w:r w:rsidR="00BB68E5" w:rsidRPr="00930E5E">
        <w:rPr>
          <w:rFonts w:eastAsia="MS Mincho"/>
        </w:rPr>
        <w:t> </w:t>
      </w:r>
      <w:r w:rsidR="00681F33" w:rsidRPr="00930E5E">
        <w:rPr>
          <w:rFonts w:eastAsia="MS Mincho"/>
        </w:rPr>
        <w:t>SM, au</w:t>
      </w:r>
      <w:r w:rsidR="00BB68E5" w:rsidRPr="00930E5E">
        <w:rPr>
          <w:rFonts w:eastAsia="MS Mincho"/>
        </w:rPr>
        <w:t> </w:t>
      </w:r>
      <w:r w:rsidR="00681F33" w:rsidRPr="00930E5E">
        <w:rPr>
          <w:rFonts w:eastAsia="MS Mincho"/>
        </w:rPr>
        <w:t>SRA et au</w:t>
      </w:r>
      <w:r w:rsidR="00BB68E5" w:rsidRPr="00930E5E">
        <w:rPr>
          <w:rFonts w:eastAsia="MS Mincho"/>
        </w:rPr>
        <w:t> </w:t>
      </w:r>
      <w:r w:rsidR="00681F33" w:rsidRPr="00930E5E">
        <w:rPr>
          <w:rFonts w:eastAsia="MS Mincho"/>
        </w:rPr>
        <w:t xml:space="preserve">SETS </w:t>
      </w:r>
      <w:r w:rsidRPr="00930E5E">
        <w:rPr>
          <w:rFonts w:eastAsia="MS Mincho"/>
        </w:rPr>
        <w:t xml:space="preserve">(passive) </w:t>
      </w:r>
      <w:r w:rsidR="00681F33" w:rsidRPr="00930E5E">
        <w:rPr>
          <w:rFonts w:eastAsia="MS Mincho"/>
        </w:rPr>
        <w:t>à titre primaire avec égalité de</w:t>
      </w:r>
      <w:r w:rsidR="007D4CD0" w:rsidRPr="00930E5E">
        <w:rPr>
          <w:rFonts w:eastAsia="MS Mincho"/>
        </w:rPr>
        <w:t>s</w:t>
      </w:r>
      <w:r w:rsidR="00681F33" w:rsidRPr="00930E5E">
        <w:rPr>
          <w:rFonts w:eastAsia="MS Mincho"/>
        </w:rPr>
        <w:t xml:space="preserve"> droits</w:t>
      </w:r>
      <w:r w:rsidR="008E3D22" w:rsidRPr="00930E5E">
        <w:rPr>
          <w:rFonts w:eastAsia="MS Mincho"/>
        </w:rPr>
        <w:t>,</w:t>
      </w:r>
      <w:r w:rsidR="00681F33" w:rsidRPr="00930E5E">
        <w:rPr>
          <w:rFonts w:eastAsia="MS Mincho"/>
        </w:rPr>
        <w:t xml:space="preserve"> et à mettre à jour les numéros</w:t>
      </w:r>
      <w:r w:rsidR="00BB68E5" w:rsidRPr="00930E5E">
        <w:rPr>
          <w:rFonts w:eastAsia="MS Mincho"/>
        </w:rPr>
        <w:t> </w:t>
      </w:r>
      <w:r w:rsidRPr="00930E5E">
        <w:rPr>
          <w:rFonts w:eastAsia="MS Mincho"/>
          <w:b/>
          <w:bCs/>
          <w:lang w:eastAsia="ja-JP"/>
        </w:rPr>
        <w:t xml:space="preserve">5.138, 5.149, 5.340, 5.564A </w:t>
      </w:r>
      <w:r w:rsidR="00681F33" w:rsidRPr="00930E5E">
        <w:rPr>
          <w:rFonts w:eastAsia="MS Mincho"/>
          <w:lang w:eastAsia="ja-JP"/>
        </w:rPr>
        <w:t>et</w:t>
      </w:r>
      <w:r w:rsidR="00BB68E5" w:rsidRPr="00930E5E">
        <w:rPr>
          <w:rFonts w:eastAsia="MS Mincho"/>
          <w:lang w:eastAsia="ja-JP"/>
        </w:rPr>
        <w:t> </w:t>
      </w:r>
      <w:r w:rsidRPr="00930E5E">
        <w:rPr>
          <w:rFonts w:eastAsia="MS Mincho"/>
          <w:b/>
          <w:bCs/>
          <w:lang w:eastAsia="ja-JP"/>
        </w:rPr>
        <w:t>5.565</w:t>
      </w:r>
      <w:r w:rsidRPr="00930E5E">
        <w:rPr>
          <w:rFonts w:eastAsia="MS Mincho"/>
        </w:rPr>
        <w:t xml:space="preserve">, </w:t>
      </w:r>
      <w:r w:rsidR="00681F33" w:rsidRPr="00930E5E">
        <w:rPr>
          <w:rFonts w:eastAsia="MS Mincho"/>
        </w:rPr>
        <w:t>selon qu'il convient</w:t>
      </w:r>
      <w:r w:rsidRPr="00930E5E">
        <w:rPr>
          <w:rFonts w:eastAsia="MS Mincho"/>
        </w:rPr>
        <w:t>,</w:t>
      </w:r>
    </w:p>
    <w:p w14:paraId="674B5D4F" w14:textId="5F973EA6" w:rsidR="00E35E90" w:rsidRPr="00930E5E" w:rsidRDefault="003F4FEF" w:rsidP="00997036">
      <w:pPr>
        <w:pStyle w:val="Call"/>
      </w:pPr>
      <w:r w:rsidRPr="00930E5E">
        <w:t>encourage les administrations</w:t>
      </w:r>
    </w:p>
    <w:p w14:paraId="46B222F1" w14:textId="3BBC74FC" w:rsidR="00E35E90" w:rsidRPr="00930E5E" w:rsidRDefault="00945954" w:rsidP="00C16C4F">
      <w:r w:rsidRPr="00930E5E">
        <w:t>à participer activement à ces études en soumettant des contributions au Secteur des radiocommunications de l'UIT</w:t>
      </w:r>
      <w:r w:rsidR="00F05920" w:rsidRPr="00930E5E">
        <w:t>,</w:t>
      </w:r>
    </w:p>
    <w:p w14:paraId="2677591E" w14:textId="2C49B85B" w:rsidR="00E35E90" w:rsidRPr="00930E5E" w:rsidRDefault="00681F33" w:rsidP="00997036">
      <w:pPr>
        <w:pStyle w:val="Call"/>
      </w:pPr>
      <w:r w:rsidRPr="00930E5E">
        <w:t>charge le Secrétaire général</w:t>
      </w:r>
    </w:p>
    <w:p w14:paraId="003A8562" w14:textId="4D313F3C" w:rsidR="00E35E90" w:rsidRPr="00930E5E" w:rsidRDefault="00681F33" w:rsidP="00997036">
      <w:r w:rsidRPr="00930E5E">
        <w:t>de porter la présente Résolution à l'attention des organisations internationales et régionales concernées.</w:t>
      </w:r>
    </w:p>
    <w:p w14:paraId="63C7D256" w14:textId="12295F5B" w:rsidR="00594B92" w:rsidRPr="00930E5E" w:rsidRDefault="00F469FB" w:rsidP="00997036">
      <w:pPr>
        <w:pStyle w:val="Reasons"/>
      </w:pPr>
      <w:r w:rsidRPr="00930E5E">
        <w:rPr>
          <w:b/>
        </w:rPr>
        <w:t>Motifs:</w:t>
      </w:r>
      <w:r w:rsidRPr="00930E5E">
        <w:tab/>
      </w:r>
      <w:r w:rsidR="00681F33" w:rsidRPr="00930E5E">
        <w:t xml:space="preserve">Proposition concernant un point </w:t>
      </w:r>
      <w:r w:rsidR="008E3D22" w:rsidRPr="00930E5E">
        <w:t xml:space="preserve">à inscrire à </w:t>
      </w:r>
      <w:r w:rsidR="00681F33" w:rsidRPr="00930E5E">
        <w:t>l'ordre du jour préliminaire de la</w:t>
      </w:r>
      <w:r w:rsidR="00EF7B62" w:rsidRPr="00930E5E">
        <w:t> </w:t>
      </w:r>
      <w:r w:rsidR="00681F33" w:rsidRPr="00930E5E">
        <w:t>CMR</w:t>
      </w:r>
      <w:r w:rsidR="00EF7B62" w:rsidRPr="00930E5E">
        <w:noBreakHyphen/>
      </w:r>
      <w:r w:rsidR="00681F33" w:rsidRPr="00930E5E">
        <w:t>31</w:t>
      </w:r>
      <w:r w:rsidR="008E3D22" w:rsidRPr="00930E5E">
        <w:t>,</w:t>
      </w:r>
      <w:r w:rsidR="00681F33" w:rsidRPr="00930E5E">
        <w:t xml:space="preserve"> </w:t>
      </w:r>
      <w:r w:rsidR="008E3D22" w:rsidRPr="00930E5E">
        <w:t>afin</w:t>
      </w:r>
      <w:r w:rsidR="00681F33" w:rsidRPr="00930E5E">
        <w:t xml:space="preserve"> </w:t>
      </w:r>
      <w:r w:rsidR="008E3D22" w:rsidRPr="00930E5E">
        <w:t>d'</w:t>
      </w:r>
      <w:r w:rsidR="00681F33" w:rsidRPr="00930E5E">
        <w:t>envisag</w:t>
      </w:r>
      <w:r w:rsidR="008E3D22" w:rsidRPr="00930E5E">
        <w:t>er</w:t>
      </w:r>
      <w:r w:rsidR="00681F33" w:rsidRPr="00930E5E">
        <w:t xml:space="preserve"> de </w:t>
      </w:r>
      <w:r w:rsidR="007D0C5D" w:rsidRPr="00930E5E">
        <w:t xml:space="preserve">de </w:t>
      </w:r>
      <w:r w:rsidR="00681F33" w:rsidRPr="00930E5E">
        <w:t>nouvelles attributions aux services fixe et mobile, au service de radioastronomie et au service d'exploration de la Terre par satellite (passive) dans la gamme de fréquences</w:t>
      </w:r>
      <w:r w:rsidR="00EF7B62" w:rsidRPr="00930E5E">
        <w:t> </w:t>
      </w:r>
      <w:r w:rsidR="00681F33" w:rsidRPr="00930E5E">
        <w:t>275</w:t>
      </w:r>
      <w:r w:rsidR="00EF7B62" w:rsidRPr="00930E5E">
        <w:noBreakHyphen/>
      </w:r>
      <w:r w:rsidR="00681F33" w:rsidRPr="00930E5E">
        <w:t>325</w:t>
      </w:r>
      <w:r w:rsidR="007D0C5D" w:rsidRPr="00930E5E">
        <w:t> </w:t>
      </w:r>
      <w:r w:rsidR="00681F33" w:rsidRPr="00930E5E">
        <w:t>GHz.</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4"/>
        <w:gridCol w:w="4815"/>
      </w:tblGrid>
      <w:tr w:rsidR="00945954" w:rsidRPr="00930E5E" w14:paraId="02B6A7A8" w14:textId="77777777" w:rsidTr="00D760C7">
        <w:tc>
          <w:tcPr>
            <w:tcW w:w="9629" w:type="dxa"/>
            <w:gridSpan w:val="2"/>
            <w:tcBorders>
              <w:top w:val="nil"/>
              <w:bottom w:val="nil"/>
            </w:tcBorders>
          </w:tcPr>
          <w:p w14:paraId="29F04C95" w14:textId="0B37ACE5" w:rsidR="00945954" w:rsidRPr="00930E5E" w:rsidRDefault="00D760C7" w:rsidP="00997036">
            <w:r w:rsidRPr="00930E5E">
              <w:rPr>
                <w:b/>
                <w:bCs/>
                <w:i/>
                <w:iCs/>
              </w:rPr>
              <w:lastRenderedPageBreak/>
              <w:t>Objet</w:t>
            </w:r>
            <w:r w:rsidRPr="00930E5E">
              <w:rPr>
                <w:b/>
                <w:bCs/>
              </w:rPr>
              <w:t>:</w:t>
            </w:r>
            <w:r w:rsidR="00681F33" w:rsidRPr="00930E5E">
              <w:rPr>
                <w:b/>
                <w:bCs/>
              </w:rPr>
              <w:t xml:space="preserve"> Proposition</w:t>
            </w:r>
            <w:r w:rsidR="00557C7D" w:rsidRPr="00930E5E">
              <w:rPr>
                <w:b/>
                <w:bCs/>
              </w:rPr>
              <w:t xml:space="preserve"> de point </w:t>
            </w:r>
            <w:r w:rsidR="008E3D22" w:rsidRPr="00930E5E">
              <w:rPr>
                <w:b/>
                <w:bCs/>
              </w:rPr>
              <w:t xml:space="preserve">à inscrire à </w:t>
            </w:r>
            <w:r w:rsidR="00557C7D" w:rsidRPr="00930E5E">
              <w:rPr>
                <w:b/>
                <w:bCs/>
              </w:rPr>
              <w:t>l'ordre du jour de la CMR</w:t>
            </w:r>
            <w:r w:rsidR="00EF7B62" w:rsidRPr="00930E5E">
              <w:rPr>
                <w:b/>
                <w:bCs/>
              </w:rPr>
              <w:noBreakHyphen/>
            </w:r>
            <w:r w:rsidR="00557C7D" w:rsidRPr="00930E5E">
              <w:rPr>
                <w:b/>
                <w:bCs/>
              </w:rPr>
              <w:t>27</w:t>
            </w:r>
          </w:p>
        </w:tc>
      </w:tr>
      <w:tr w:rsidR="00945954" w:rsidRPr="00930E5E" w14:paraId="62698794" w14:textId="77777777" w:rsidTr="00D760C7">
        <w:tc>
          <w:tcPr>
            <w:tcW w:w="9629" w:type="dxa"/>
            <w:gridSpan w:val="2"/>
            <w:tcBorders>
              <w:top w:val="nil"/>
              <w:bottom w:val="single" w:sz="4" w:space="0" w:color="auto"/>
            </w:tcBorders>
          </w:tcPr>
          <w:p w14:paraId="2883C6AC" w14:textId="0954EE76" w:rsidR="00945954" w:rsidRPr="00930E5E" w:rsidRDefault="00D760C7" w:rsidP="00997036">
            <w:r w:rsidRPr="00930E5E">
              <w:rPr>
                <w:b/>
                <w:bCs/>
                <w:i/>
                <w:iCs/>
              </w:rPr>
              <w:t>Origine</w:t>
            </w:r>
            <w:r w:rsidRPr="00930E5E">
              <w:rPr>
                <w:b/>
                <w:bCs/>
              </w:rPr>
              <w:t>:</w:t>
            </w:r>
            <w:r w:rsidR="00557C7D" w:rsidRPr="00930E5E">
              <w:rPr>
                <w:b/>
                <w:bCs/>
              </w:rPr>
              <w:t xml:space="preserve"> APT</w:t>
            </w:r>
          </w:p>
        </w:tc>
      </w:tr>
      <w:tr w:rsidR="00945954" w:rsidRPr="00930E5E" w14:paraId="4302A8F9" w14:textId="77777777" w:rsidTr="00D760C7">
        <w:tc>
          <w:tcPr>
            <w:tcW w:w="9629" w:type="dxa"/>
            <w:gridSpan w:val="2"/>
            <w:tcBorders>
              <w:top w:val="single" w:sz="4" w:space="0" w:color="auto"/>
            </w:tcBorders>
          </w:tcPr>
          <w:p w14:paraId="45066C6C" w14:textId="1057F341" w:rsidR="00D760C7" w:rsidRPr="00930E5E" w:rsidRDefault="00D760C7" w:rsidP="00C16C4F">
            <w:r w:rsidRPr="00930E5E">
              <w:rPr>
                <w:b/>
                <w:bCs/>
                <w:i/>
                <w:iCs/>
              </w:rPr>
              <w:t>Proposition</w:t>
            </w:r>
            <w:r w:rsidRPr="00930E5E">
              <w:rPr>
                <w:b/>
                <w:bCs/>
              </w:rPr>
              <w:t>:</w:t>
            </w:r>
          </w:p>
          <w:p w14:paraId="12F458E3" w14:textId="72A26C18" w:rsidR="00945954" w:rsidRPr="00930E5E" w:rsidRDefault="008E3D22" w:rsidP="00C16C4F">
            <w:pPr>
              <w:rPr>
                <w:i/>
                <w:iCs/>
              </w:rPr>
            </w:pPr>
            <w:r w:rsidRPr="00930E5E">
              <w:rPr>
                <w:i/>
                <w:iCs/>
              </w:rPr>
              <w:t>E</w:t>
            </w:r>
            <w:r w:rsidR="007D0C5D" w:rsidRPr="00930E5E">
              <w:rPr>
                <w:i/>
                <w:iCs/>
              </w:rPr>
              <w:t>nvisag</w:t>
            </w:r>
            <w:r w:rsidRPr="00930E5E">
              <w:rPr>
                <w:i/>
                <w:iCs/>
              </w:rPr>
              <w:t>er</w:t>
            </w:r>
            <w:r w:rsidR="007D0C5D" w:rsidRPr="00930E5E">
              <w:rPr>
                <w:i/>
                <w:iCs/>
              </w:rPr>
              <w:t xml:space="preserve"> de </w:t>
            </w:r>
            <w:r w:rsidR="00944205" w:rsidRPr="00930E5E">
              <w:rPr>
                <w:i/>
                <w:iCs/>
              </w:rPr>
              <w:t>nouvelles attributions aux services fixe et mobile, au service de radioastronomie et au service d'exploration de la Terre par satellite (passive) à titre primaire avec égalité des droits dans la gamme de fréquences</w:t>
            </w:r>
            <w:r w:rsidR="00EF7B62" w:rsidRPr="00930E5E">
              <w:rPr>
                <w:i/>
                <w:iCs/>
              </w:rPr>
              <w:t> </w:t>
            </w:r>
            <w:r w:rsidR="00944205" w:rsidRPr="00930E5E">
              <w:rPr>
                <w:i/>
                <w:iCs/>
              </w:rPr>
              <w:t>275</w:t>
            </w:r>
            <w:r w:rsidR="00EF7B62" w:rsidRPr="00930E5E">
              <w:rPr>
                <w:i/>
                <w:iCs/>
              </w:rPr>
              <w:noBreakHyphen/>
            </w:r>
            <w:r w:rsidR="00944205" w:rsidRPr="00930E5E">
              <w:rPr>
                <w:i/>
                <w:iCs/>
              </w:rPr>
              <w:t>325</w:t>
            </w:r>
            <w:r w:rsidR="00EF7B62" w:rsidRPr="00930E5E">
              <w:rPr>
                <w:i/>
                <w:iCs/>
              </w:rPr>
              <w:t> </w:t>
            </w:r>
            <w:r w:rsidR="00944205" w:rsidRPr="00930E5E">
              <w:rPr>
                <w:i/>
                <w:iCs/>
              </w:rPr>
              <w:t>GHz dans le Tableau d'attribution des bande</w:t>
            </w:r>
            <w:r w:rsidR="00F37BD1" w:rsidRPr="00930E5E">
              <w:rPr>
                <w:i/>
                <w:iCs/>
              </w:rPr>
              <w:t>s</w:t>
            </w:r>
            <w:r w:rsidR="00944205" w:rsidRPr="00930E5E">
              <w:rPr>
                <w:i/>
                <w:iCs/>
              </w:rPr>
              <w:t xml:space="preserve"> de fréquences du</w:t>
            </w:r>
            <w:r w:rsidR="00EF7B62" w:rsidRPr="00930E5E">
              <w:rPr>
                <w:i/>
                <w:iCs/>
              </w:rPr>
              <w:t> </w:t>
            </w:r>
            <w:r w:rsidR="00944205" w:rsidRPr="00930E5E">
              <w:rPr>
                <w:i/>
                <w:iCs/>
              </w:rPr>
              <w:t>RR, avec la mise à jour en conséquence des numéros </w:t>
            </w:r>
            <w:r w:rsidR="00944205" w:rsidRPr="00930E5E">
              <w:rPr>
                <w:b/>
                <w:bCs/>
                <w:i/>
                <w:iCs/>
              </w:rPr>
              <w:t>5.138</w:t>
            </w:r>
            <w:r w:rsidR="00944205" w:rsidRPr="00930E5E">
              <w:rPr>
                <w:i/>
                <w:iCs/>
              </w:rPr>
              <w:t xml:space="preserve">, </w:t>
            </w:r>
            <w:r w:rsidR="00944205" w:rsidRPr="00930E5E">
              <w:rPr>
                <w:b/>
                <w:bCs/>
                <w:i/>
                <w:iCs/>
              </w:rPr>
              <w:t>5.149</w:t>
            </w:r>
            <w:r w:rsidR="00944205" w:rsidRPr="00930E5E">
              <w:rPr>
                <w:i/>
                <w:iCs/>
              </w:rPr>
              <w:t xml:space="preserve">, </w:t>
            </w:r>
            <w:r w:rsidR="00944205" w:rsidRPr="00930E5E">
              <w:rPr>
                <w:b/>
                <w:bCs/>
                <w:i/>
                <w:iCs/>
              </w:rPr>
              <w:t>5.340</w:t>
            </w:r>
            <w:r w:rsidR="00944205" w:rsidRPr="00930E5E">
              <w:rPr>
                <w:i/>
                <w:iCs/>
              </w:rPr>
              <w:t xml:space="preserve">, </w:t>
            </w:r>
            <w:r w:rsidR="00944205" w:rsidRPr="00930E5E">
              <w:rPr>
                <w:b/>
                <w:bCs/>
                <w:i/>
                <w:iCs/>
              </w:rPr>
              <w:t>5.564A</w:t>
            </w:r>
            <w:r w:rsidR="00944205" w:rsidRPr="00930E5E">
              <w:rPr>
                <w:i/>
                <w:iCs/>
              </w:rPr>
              <w:t xml:space="preserve"> et</w:t>
            </w:r>
            <w:r w:rsidR="00EF7B62" w:rsidRPr="00930E5E">
              <w:rPr>
                <w:i/>
                <w:iCs/>
              </w:rPr>
              <w:t> </w:t>
            </w:r>
            <w:r w:rsidR="00944205" w:rsidRPr="00930E5E">
              <w:rPr>
                <w:b/>
                <w:bCs/>
                <w:i/>
                <w:iCs/>
              </w:rPr>
              <w:t>5.565</w:t>
            </w:r>
            <w:r w:rsidR="00557C7D" w:rsidRPr="00930E5E">
              <w:rPr>
                <w:i/>
                <w:iCs/>
              </w:rPr>
              <w:t>, conformément à la Résolution</w:t>
            </w:r>
            <w:r w:rsidR="00EF7B62" w:rsidRPr="00930E5E">
              <w:rPr>
                <w:i/>
                <w:iCs/>
              </w:rPr>
              <w:t> </w:t>
            </w:r>
            <w:r w:rsidR="00557C7D" w:rsidRPr="00930E5E">
              <w:rPr>
                <w:b/>
                <w:bCs/>
              </w:rPr>
              <w:t>[ACP-AI10-4]</w:t>
            </w:r>
            <w:r w:rsidR="00557C7D" w:rsidRPr="00930E5E">
              <w:rPr>
                <w:b/>
                <w:bCs/>
                <w:i/>
                <w:iCs/>
              </w:rPr>
              <w:t xml:space="preserve"> (CMR-23)</w:t>
            </w:r>
            <w:r w:rsidR="00F05920" w:rsidRPr="00930E5E">
              <w:rPr>
                <w:i/>
                <w:iCs/>
              </w:rPr>
              <w:t>.</w:t>
            </w:r>
          </w:p>
        </w:tc>
      </w:tr>
      <w:tr w:rsidR="00945954" w:rsidRPr="00930E5E" w14:paraId="23B5386B" w14:textId="77777777" w:rsidTr="004B7413">
        <w:tc>
          <w:tcPr>
            <w:tcW w:w="9629" w:type="dxa"/>
            <w:gridSpan w:val="2"/>
          </w:tcPr>
          <w:p w14:paraId="186B4D0F" w14:textId="77777777" w:rsidR="00D760C7" w:rsidRPr="00930E5E" w:rsidRDefault="00D760C7" w:rsidP="00C16C4F">
            <w:pPr>
              <w:rPr>
                <w:b/>
                <w:bCs/>
              </w:rPr>
            </w:pPr>
            <w:r w:rsidRPr="00930E5E">
              <w:rPr>
                <w:b/>
                <w:bCs/>
                <w:i/>
                <w:iCs/>
              </w:rPr>
              <w:t>Contexte/motif</w:t>
            </w:r>
            <w:r w:rsidRPr="00930E5E">
              <w:rPr>
                <w:b/>
                <w:bCs/>
              </w:rPr>
              <w:t>:</w:t>
            </w:r>
          </w:p>
          <w:p w14:paraId="054D9E30" w14:textId="003E1B4C" w:rsidR="00B20E78" w:rsidRPr="00930E5E" w:rsidRDefault="00FB301A" w:rsidP="00997036">
            <w:pPr>
              <w:keepNext/>
              <w:spacing w:after="120"/>
              <w:rPr>
                <w:rFonts w:eastAsiaTheme="minorEastAsia"/>
                <w:bCs/>
                <w:iCs/>
                <w:color w:val="000000"/>
                <w:lang w:eastAsia="ja-JP"/>
              </w:rPr>
            </w:pPr>
            <w:r w:rsidRPr="00930E5E">
              <w:rPr>
                <w:rFonts w:eastAsiaTheme="minorEastAsia"/>
                <w:bCs/>
                <w:iCs/>
                <w:color w:val="000000"/>
                <w:lang w:eastAsia="ja-JP"/>
              </w:rPr>
              <w:t>Le Groupe de travail</w:t>
            </w:r>
            <w:r w:rsidR="00EF7B62" w:rsidRPr="00930E5E">
              <w:rPr>
                <w:rFonts w:eastAsiaTheme="minorEastAsia"/>
                <w:bCs/>
                <w:iCs/>
                <w:color w:val="000000"/>
                <w:lang w:eastAsia="ja-JP"/>
              </w:rPr>
              <w:t> </w:t>
            </w:r>
            <w:r w:rsidRPr="00930E5E">
              <w:rPr>
                <w:rFonts w:eastAsiaTheme="minorEastAsia"/>
                <w:bCs/>
                <w:iCs/>
                <w:color w:val="000000"/>
                <w:lang w:eastAsia="ja-JP"/>
              </w:rPr>
              <w:t>5A (GT</w:t>
            </w:r>
            <w:r w:rsidR="007D0C5D" w:rsidRPr="00930E5E">
              <w:rPr>
                <w:rFonts w:eastAsiaTheme="minorEastAsia"/>
                <w:bCs/>
                <w:iCs/>
                <w:color w:val="000000"/>
                <w:lang w:eastAsia="ja-JP"/>
              </w:rPr>
              <w:t> </w:t>
            </w:r>
            <w:r w:rsidRPr="00930E5E">
              <w:rPr>
                <w:rFonts w:eastAsiaTheme="minorEastAsia"/>
                <w:bCs/>
                <w:iCs/>
                <w:color w:val="000000"/>
                <w:lang w:eastAsia="ja-JP"/>
              </w:rPr>
              <w:t xml:space="preserve">5A) de l'UIT-R a élaboré </w:t>
            </w:r>
            <w:r w:rsidR="008E3D22" w:rsidRPr="00930E5E">
              <w:rPr>
                <w:rFonts w:eastAsiaTheme="minorEastAsia"/>
                <w:bCs/>
                <w:iCs/>
                <w:color w:val="000000"/>
                <w:lang w:eastAsia="ja-JP"/>
              </w:rPr>
              <w:t xml:space="preserve">le </w:t>
            </w:r>
            <w:r w:rsidRPr="00930E5E">
              <w:rPr>
                <w:rFonts w:eastAsiaTheme="minorEastAsia"/>
                <w:bCs/>
                <w:iCs/>
                <w:color w:val="000000"/>
                <w:lang w:eastAsia="ja-JP"/>
              </w:rPr>
              <w:t>Rapport</w:t>
            </w:r>
            <w:r w:rsidR="00EF7B62" w:rsidRPr="00930E5E">
              <w:rPr>
                <w:rFonts w:eastAsiaTheme="minorEastAsia"/>
                <w:bCs/>
                <w:iCs/>
                <w:color w:val="000000"/>
                <w:lang w:eastAsia="ja-JP"/>
              </w:rPr>
              <w:t> </w:t>
            </w:r>
            <w:r w:rsidRPr="00930E5E">
              <w:rPr>
                <w:rFonts w:eastAsiaTheme="minorEastAsia"/>
                <w:bCs/>
                <w:iCs/>
                <w:color w:val="000000"/>
                <w:lang w:eastAsia="ja-JP"/>
              </w:rPr>
              <w:t>UIT</w:t>
            </w:r>
            <w:r w:rsidR="00EF7B62" w:rsidRPr="00930E5E">
              <w:rPr>
                <w:rFonts w:eastAsiaTheme="minorEastAsia"/>
                <w:bCs/>
                <w:iCs/>
                <w:color w:val="000000"/>
                <w:lang w:eastAsia="ja-JP"/>
              </w:rPr>
              <w:noBreakHyphen/>
            </w:r>
            <w:r w:rsidRPr="00930E5E">
              <w:rPr>
                <w:rFonts w:eastAsiaTheme="minorEastAsia"/>
                <w:bCs/>
                <w:iCs/>
                <w:color w:val="000000"/>
                <w:lang w:eastAsia="ja-JP"/>
              </w:rPr>
              <w:t>R</w:t>
            </w:r>
            <w:r w:rsidR="00EF7B62" w:rsidRPr="00930E5E">
              <w:rPr>
                <w:rFonts w:eastAsiaTheme="minorEastAsia"/>
                <w:bCs/>
                <w:iCs/>
                <w:color w:val="000000"/>
                <w:lang w:eastAsia="ja-JP"/>
              </w:rPr>
              <w:t> </w:t>
            </w:r>
            <w:r w:rsidR="007D0C5D" w:rsidRPr="00930E5E">
              <w:rPr>
                <w:rFonts w:eastAsiaTheme="minorEastAsia"/>
                <w:bCs/>
                <w:iCs/>
                <w:color w:val="000000"/>
                <w:lang w:eastAsia="ja-JP"/>
              </w:rPr>
              <w:t xml:space="preserve">M.2517 </w:t>
            </w:r>
            <w:r w:rsidRPr="00930E5E">
              <w:rPr>
                <w:rFonts w:eastAsiaTheme="minorEastAsia"/>
                <w:bCs/>
                <w:iCs/>
                <w:color w:val="000000"/>
                <w:lang w:eastAsia="ja-JP"/>
              </w:rPr>
              <w:t xml:space="preserve">relatif à la coexistence entre </w:t>
            </w:r>
            <w:r w:rsidR="008E3D22" w:rsidRPr="00930E5E">
              <w:rPr>
                <w:rFonts w:eastAsiaTheme="minorEastAsia"/>
                <w:bCs/>
                <w:iCs/>
                <w:color w:val="000000"/>
                <w:lang w:eastAsia="ja-JP"/>
              </w:rPr>
              <w:t>l</w:t>
            </w:r>
            <w:r w:rsidRPr="00930E5E">
              <w:rPr>
                <w:rFonts w:eastAsiaTheme="minorEastAsia"/>
                <w:bCs/>
                <w:iCs/>
                <w:color w:val="000000"/>
                <w:lang w:eastAsia="ja-JP"/>
              </w:rPr>
              <w:t>es applications du</w:t>
            </w:r>
            <w:r w:rsidR="00EF7B62" w:rsidRPr="00930E5E">
              <w:rPr>
                <w:rFonts w:eastAsiaTheme="minorEastAsia"/>
                <w:bCs/>
                <w:iCs/>
                <w:color w:val="000000"/>
                <w:lang w:eastAsia="ja-JP"/>
              </w:rPr>
              <w:t> </w:t>
            </w:r>
            <w:r w:rsidRPr="00930E5E">
              <w:rPr>
                <w:rFonts w:eastAsiaTheme="minorEastAsia"/>
                <w:bCs/>
                <w:iCs/>
                <w:color w:val="000000"/>
                <w:lang w:eastAsia="ja-JP"/>
              </w:rPr>
              <w:t>SMT et du</w:t>
            </w:r>
            <w:r w:rsidR="00EF7B62" w:rsidRPr="00930E5E">
              <w:rPr>
                <w:rFonts w:eastAsiaTheme="minorEastAsia"/>
                <w:bCs/>
                <w:iCs/>
                <w:color w:val="000000"/>
                <w:lang w:eastAsia="ja-JP"/>
              </w:rPr>
              <w:t> </w:t>
            </w:r>
            <w:r w:rsidRPr="00930E5E">
              <w:rPr>
                <w:rFonts w:eastAsiaTheme="minorEastAsia"/>
                <w:bCs/>
                <w:iCs/>
                <w:color w:val="000000"/>
                <w:lang w:eastAsia="ja-JP"/>
              </w:rPr>
              <w:t>SF dans la gamme de fréquences</w:t>
            </w:r>
            <w:r w:rsidR="00EF7B62" w:rsidRPr="00930E5E">
              <w:rPr>
                <w:rFonts w:eastAsiaTheme="minorEastAsia"/>
                <w:bCs/>
                <w:iCs/>
                <w:color w:val="000000"/>
                <w:lang w:eastAsia="ja-JP"/>
              </w:rPr>
              <w:t> </w:t>
            </w:r>
            <w:r w:rsidRPr="00930E5E">
              <w:rPr>
                <w:rFonts w:eastAsiaTheme="minorEastAsia"/>
                <w:bCs/>
                <w:iCs/>
                <w:color w:val="000000"/>
                <w:lang w:eastAsia="ja-JP"/>
              </w:rPr>
              <w:t>252</w:t>
            </w:r>
            <w:r w:rsidR="00EF7B62" w:rsidRPr="00930E5E">
              <w:rPr>
                <w:rFonts w:eastAsiaTheme="minorEastAsia"/>
                <w:bCs/>
                <w:iCs/>
                <w:color w:val="000000"/>
                <w:lang w:eastAsia="ja-JP"/>
              </w:rPr>
              <w:noBreakHyphen/>
            </w:r>
            <w:r w:rsidRPr="00930E5E">
              <w:rPr>
                <w:rFonts w:eastAsiaTheme="minorEastAsia"/>
                <w:bCs/>
                <w:iCs/>
                <w:color w:val="000000"/>
                <w:lang w:eastAsia="ja-JP"/>
              </w:rPr>
              <w:t>296</w:t>
            </w:r>
            <w:r w:rsidR="007D0C5D" w:rsidRPr="00930E5E">
              <w:rPr>
                <w:rFonts w:eastAsiaTheme="minorEastAsia"/>
                <w:bCs/>
                <w:iCs/>
                <w:color w:val="000000"/>
                <w:lang w:eastAsia="ja-JP"/>
              </w:rPr>
              <w:t> </w:t>
            </w:r>
            <w:r w:rsidRPr="00930E5E">
              <w:rPr>
                <w:rFonts w:eastAsiaTheme="minorEastAsia"/>
                <w:bCs/>
                <w:iCs/>
                <w:color w:val="000000"/>
                <w:lang w:eastAsia="ja-JP"/>
              </w:rPr>
              <w:t xml:space="preserve">GHz et </w:t>
            </w:r>
            <w:r w:rsidR="007D0C5D" w:rsidRPr="00930E5E">
              <w:rPr>
                <w:rFonts w:eastAsiaTheme="minorEastAsia"/>
                <w:bCs/>
                <w:iCs/>
                <w:color w:val="000000"/>
                <w:lang w:eastAsia="ja-JP"/>
              </w:rPr>
              <w:t xml:space="preserve">a </w:t>
            </w:r>
            <w:r w:rsidRPr="00930E5E">
              <w:rPr>
                <w:rFonts w:eastAsiaTheme="minorEastAsia"/>
                <w:bCs/>
                <w:iCs/>
                <w:color w:val="000000"/>
                <w:lang w:eastAsia="ja-JP"/>
              </w:rPr>
              <w:t>révisé le Rapport</w:t>
            </w:r>
            <w:r w:rsidR="00EF7B62" w:rsidRPr="00930E5E">
              <w:rPr>
                <w:rFonts w:eastAsiaTheme="minorEastAsia"/>
                <w:bCs/>
                <w:iCs/>
                <w:color w:val="000000"/>
                <w:lang w:eastAsia="ja-JP"/>
              </w:rPr>
              <w:t> </w:t>
            </w:r>
            <w:r w:rsidRPr="00930E5E">
              <w:rPr>
                <w:rFonts w:eastAsiaTheme="minorEastAsia"/>
                <w:bCs/>
                <w:iCs/>
                <w:color w:val="000000"/>
                <w:lang w:eastAsia="ja-JP"/>
              </w:rPr>
              <w:t>UIT</w:t>
            </w:r>
            <w:r w:rsidR="00EF7B62" w:rsidRPr="00930E5E">
              <w:rPr>
                <w:rFonts w:eastAsiaTheme="minorEastAsia"/>
                <w:bCs/>
                <w:iCs/>
                <w:color w:val="000000"/>
                <w:lang w:eastAsia="ja-JP"/>
              </w:rPr>
              <w:noBreakHyphen/>
            </w:r>
            <w:r w:rsidRPr="00930E5E">
              <w:rPr>
                <w:rFonts w:eastAsiaTheme="minorEastAsia"/>
                <w:bCs/>
                <w:iCs/>
                <w:color w:val="000000"/>
                <w:lang w:eastAsia="ja-JP"/>
              </w:rPr>
              <w:t>R</w:t>
            </w:r>
            <w:r w:rsidR="00EF7B62" w:rsidRPr="00930E5E">
              <w:rPr>
                <w:rFonts w:eastAsiaTheme="minorEastAsia"/>
                <w:bCs/>
                <w:iCs/>
                <w:color w:val="000000"/>
                <w:lang w:eastAsia="ja-JP"/>
              </w:rPr>
              <w:t> </w:t>
            </w:r>
            <w:r w:rsidRPr="00930E5E">
              <w:rPr>
                <w:rFonts w:eastAsiaTheme="minorEastAsia"/>
                <w:bCs/>
                <w:iCs/>
                <w:color w:val="000000"/>
                <w:lang w:eastAsia="ja-JP"/>
              </w:rPr>
              <w:t>M.2417 relatif aux caractéristiques techniques et opérationnelles des applications du</w:t>
            </w:r>
            <w:r w:rsidR="00EF7B62" w:rsidRPr="00930E5E">
              <w:rPr>
                <w:rFonts w:eastAsiaTheme="minorEastAsia"/>
                <w:bCs/>
                <w:iCs/>
                <w:color w:val="000000"/>
                <w:lang w:eastAsia="ja-JP"/>
              </w:rPr>
              <w:t> </w:t>
            </w:r>
            <w:r w:rsidRPr="00930E5E">
              <w:rPr>
                <w:rFonts w:eastAsiaTheme="minorEastAsia"/>
                <w:bCs/>
                <w:iCs/>
                <w:color w:val="000000"/>
                <w:lang w:eastAsia="ja-JP"/>
              </w:rPr>
              <w:t>SMT dans la gamme de fréquences</w:t>
            </w:r>
            <w:r w:rsidR="00EF7B62" w:rsidRPr="00930E5E">
              <w:rPr>
                <w:rFonts w:eastAsiaTheme="minorEastAsia"/>
                <w:bCs/>
                <w:iCs/>
                <w:color w:val="000000"/>
                <w:lang w:eastAsia="ja-JP"/>
              </w:rPr>
              <w:t> </w:t>
            </w:r>
            <w:r w:rsidRPr="00930E5E">
              <w:rPr>
                <w:rFonts w:eastAsiaTheme="minorEastAsia"/>
                <w:bCs/>
                <w:iCs/>
                <w:color w:val="000000"/>
                <w:lang w:eastAsia="ja-JP"/>
              </w:rPr>
              <w:t>275</w:t>
            </w:r>
            <w:r w:rsidR="00EF7B62" w:rsidRPr="00930E5E">
              <w:rPr>
                <w:rFonts w:eastAsiaTheme="minorEastAsia"/>
                <w:bCs/>
                <w:iCs/>
                <w:color w:val="000000"/>
                <w:lang w:eastAsia="ja-JP"/>
              </w:rPr>
              <w:noBreakHyphen/>
            </w:r>
            <w:r w:rsidRPr="00930E5E">
              <w:rPr>
                <w:rFonts w:eastAsiaTheme="minorEastAsia"/>
                <w:bCs/>
                <w:iCs/>
                <w:color w:val="000000"/>
                <w:lang w:eastAsia="ja-JP"/>
              </w:rPr>
              <w:t>450 GHz. Le GT</w:t>
            </w:r>
            <w:r w:rsidR="007D0C5D" w:rsidRPr="00930E5E">
              <w:rPr>
                <w:rFonts w:eastAsiaTheme="minorEastAsia"/>
                <w:bCs/>
                <w:iCs/>
                <w:color w:val="000000"/>
                <w:lang w:eastAsia="ja-JP"/>
              </w:rPr>
              <w:t> </w:t>
            </w:r>
            <w:r w:rsidRPr="00930E5E">
              <w:rPr>
                <w:rFonts w:eastAsiaTheme="minorEastAsia"/>
                <w:bCs/>
                <w:iCs/>
                <w:color w:val="000000"/>
                <w:lang w:eastAsia="ja-JP"/>
              </w:rPr>
              <w:t>5C procède également à</w:t>
            </w:r>
            <w:r w:rsidR="008D1B3E" w:rsidRPr="00930E5E">
              <w:rPr>
                <w:rFonts w:eastAsiaTheme="minorEastAsia"/>
                <w:bCs/>
                <w:iCs/>
                <w:color w:val="000000"/>
                <w:lang w:eastAsia="ja-JP"/>
              </w:rPr>
              <w:t> </w:t>
            </w:r>
            <w:r w:rsidRPr="00930E5E">
              <w:rPr>
                <w:rFonts w:eastAsiaTheme="minorEastAsia"/>
                <w:bCs/>
                <w:iCs/>
                <w:color w:val="000000"/>
                <w:lang w:eastAsia="ja-JP"/>
              </w:rPr>
              <w:t xml:space="preserve">la </w:t>
            </w:r>
            <w:r w:rsidR="000A637C" w:rsidRPr="00930E5E">
              <w:rPr>
                <w:rFonts w:eastAsiaTheme="minorEastAsia"/>
                <w:bCs/>
                <w:iCs/>
                <w:color w:val="000000"/>
                <w:lang w:eastAsia="ja-JP"/>
              </w:rPr>
              <w:t>révision</w:t>
            </w:r>
            <w:r w:rsidRPr="00930E5E">
              <w:rPr>
                <w:rFonts w:eastAsiaTheme="minorEastAsia"/>
                <w:bCs/>
                <w:iCs/>
                <w:color w:val="000000"/>
                <w:lang w:eastAsia="ja-JP"/>
              </w:rPr>
              <w:t xml:space="preserve"> du Rapport</w:t>
            </w:r>
            <w:r w:rsidR="00EF7B62" w:rsidRPr="00930E5E">
              <w:rPr>
                <w:rFonts w:eastAsiaTheme="minorEastAsia"/>
                <w:bCs/>
                <w:iCs/>
                <w:color w:val="000000"/>
                <w:lang w:eastAsia="ja-JP"/>
              </w:rPr>
              <w:t> </w:t>
            </w:r>
            <w:r w:rsidRPr="00930E5E">
              <w:rPr>
                <w:rFonts w:eastAsiaTheme="minorEastAsia"/>
                <w:bCs/>
                <w:iCs/>
                <w:color w:val="000000"/>
                <w:lang w:eastAsia="ja-JP"/>
              </w:rPr>
              <w:t>UIT</w:t>
            </w:r>
            <w:r w:rsidR="00EF7B62" w:rsidRPr="00930E5E">
              <w:rPr>
                <w:rFonts w:eastAsiaTheme="minorEastAsia"/>
                <w:bCs/>
                <w:iCs/>
                <w:color w:val="000000"/>
                <w:lang w:eastAsia="ja-JP"/>
              </w:rPr>
              <w:noBreakHyphen/>
            </w:r>
            <w:r w:rsidRPr="00930E5E">
              <w:rPr>
                <w:rFonts w:eastAsiaTheme="minorEastAsia"/>
                <w:bCs/>
                <w:iCs/>
                <w:color w:val="000000"/>
                <w:lang w:eastAsia="ja-JP"/>
              </w:rPr>
              <w:t>R</w:t>
            </w:r>
            <w:r w:rsidR="00EF7B62" w:rsidRPr="00930E5E">
              <w:rPr>
                <w:rFonts w:eastAsiaTheme="minorEastAsia"/>
                <w:bCs/>
                <w:iCs/>
                <w:color w:val="000000"/>
                <w:lang w:eastAsia="ja-JP"/>
              </w:rPr>
              <w:t> </w:t>
            </w:r>
            <w:r w:rsidRPr="00930E5E">
              <w:rPr>
                <w:rFonts w:eastAsiaTheme="minorEastAsia"/>
                <w:bCs/>
                <w:iCs/>
                <w:color w:val="000000"/>
                <w:lang w:eastAsia="ja-JP"/>
              </w:rPr>
              <w:t>F.2416 relatif aux caractéristiques techniques et opérationnelles des applications du SF dans la gamme de fréquences</w:t>
            </w:r>
            <w:r w:rsidR="00EF7B62" w:rsidRPr="00930E5E">
              <w:rPr>
                <w:rFonts w:eastAsiaTheme="minorEastAsia"/>
                <w:bCs/>
                <w:iCs/>
                <w:color w:val="000000"/>
                <w:lang w:eastAsia="ja-JP"/>
              </w:rPr>
              <w:t> </w:t>
            </w:r>
            <w:r w:rsidRPr="00930E5E">
              <w:rPr>
                <w:rFonts w:eastAsiaTheme="minorEastAsia"/>
                <w:bCs/>
                <w:iCs/>
                <w:color w:val="000000"/>
                <w:lang w:eastAsia="ja-JP"/>
              </w:rPr>
              <w:t>275</w:t>
            </w:r>
            <w:r w:rsidR="00EF7B62" w:rsidRPr="00930E5E">
              <w:rPr>
                <w:rFonts w:eastAsiaTheme="minorEastAsia"/>
                <w:bCs/>
                <w:iCs/>
                <w:color w:val="000000"/>
                <w:lang w:eastAsia="ja-JP"/>
              </w:rPr>
              <w:noBreakHyphen/>
            </w:r>
            <w:r w:rsidRPr="00930E5E">
              <w:rPr>
                <w:rFonts w:eastAsiaTheme="minorEastAsia"/>
                <w:bCs/>
                <w:iCs/>
                <w:color w:val="000000"/>
                <w:lang w:eastAsia="ja-JP"/>
              </w:rPr>
              <w:t>450</w:t>
            </w:r>
            <w:r w:rsidR="007D0C5D" w:rsidRPr="00930E5E">
              <w:rPr>
                <w:rFonts w:eastAsiaTheme="minorEastAsia"/>
                <w:bCs/>
                <w:iCs/>
                <w:color w:val="000000"/>
                <w:lang w:eastAsia="ja-JP"/>
              </w:rPr>
              <w:t> </w:t>
            </w:r>
            <w:r w:rsidRPr="00930E5E">
              <w:rPr>
                <w:rFonts w:eastAsiaTheme="minorEastAsia"/>
                <w:bCs/>
                <w:iCs/>
                <w:color w:val="000000"/>
                <w:lang w:eastAsia="ja-JP"/>
              </w:rPr>
              <w:t>GHz</w:t>
            </w:r>
            <w:r w:rsidR="007D0C5D" w:rsidRPr="00930E5E">
              <w:rPr>
                <w:rFonts w:eastAsiaTheme="minorEastAsia"/>
                <w:bCs/>
                <w:iCs/>
                <w:color w:val="000000"/>
                <w:lang w:eastAsia="ja-JP"/>
              </w:rPr>
              <w:t>,</w:t>
            </w:r>
            <w:r w:rsidRPr="00930E5E">
              <w:rPr>
                <w:rFonts w:eastAsiaTheme="minorEastAsia"/>
                <w:bCs/>
                <w:iCs/>
                <w:color w:val="000000"/>
                <w:lang w:eastAsia="ja-JP"/>
              </w:rPr>
              <w:t xml:space="preserve"> qui fournit en outre les diagrammes de rayonnement</w:t>
            </w:r>
            <w:r w:rsidR="000A637C" w:rsidRPr="00930E5E">
              <w:rPr>
                <w:rFonts w:eastAsiaTheme="minorEastAsia"/>
                <w:bCs/>
                <w:iCs/>
                <w:color w:val="000000"/>
                <w:lang w:eastAsia="ja-JP"/>
              </w:rPr>
              <w:t xml:space="preserve"> mesurés de plusieurs antennes dans la gamme de fréquences</w:t>
            </w:r>
            <w:r w:rsidR="00EF7B62" w:rsidRPr="00930E5E">
              <w:rPr>
                <w:rFonts w:eastAsiaTheme="minorEastAsia"/>
                <w:bCs/>
                <w:iCs/>
                <w:color w:val="000000"/>
                <w:lang w:eastAsia="ja-JP"/>
              </w:rPr>
              <w:t> </w:t>
            </w:r>
            <w:r w:rsidRPr="00930E5E">
              <w:rPr>
                <w:rFonts w:eastAsiaTheme="minorEastAsia"/>
                <w:bCs/>
                <w:iCs/>
                <w:color w:val="000000"/>
                <w:lang w:eastAsia="ja-JP"/>
              </w:rPr>
              <w:t>220</w:t>
            </w:r>
            <w:r w:rsidR="00EF7B62" w:rsidRPr="00930E5E">
              <w:rPr>
                <w:rFonts w:eastAsiaTheme="minorEastAsia"/>
                <w:bCs/>
                <w:iCs/>
                <w:color w:val="000000"/>
                <w:lang w:eastAsia="ja-JP"/>
              </w:rPr>
              <w:noBreakHyphen/>
            </w:r>
            <w:r w:rsidRPr="00930E5E">
              <w:rPr>
                <w:rFonts w:eastAsiaTheme="minorEastAsia"/>
                <w:bCs/>
                <w:iCs/>
                <w:color w:val="000000"/>
                <w:lang w:eastAsia="ja-JP"/>
              </w:rPr>
              <w:t>500</w:t>
            </w:r>
            <w:r w:rsidR="007D0C5D" w:rsidRPr="00930E5E">
              <w:rPr>
                <w:rFonts w:eastAsiaTheme="minorEastAsia"/>
                <w:bCs/>
                <w:iCs/>
                <w:color w:val="000000"/>
                <w:lang w:eastAsia="ja-JP"/>
              </w:rPr>
              <w:t> </w:t>
            </w:r>
            <w:r w:rsidRPr="00930E5E">
              <w:rPr>
                <w:rFonts w:eastAsiaTheme="minorEastAsia"/>
                <w:bCs/>
                <w:iCs/>
                <w:color w:val="000000"/>
                <w:lang w:eastAsia="ja-JP"/>
              </w:rPr>
              <w:t xml:space="preserve">GHz. </w:t>
            </w:r>
            <w:r w:rsidR="000A637C" w:rsidRPr="00930E5E">
              <w:rPr>
                <w:rFonts w:eastAsiaTheme="minorEastAsia"/>
                <w:bCs/>
                <w:iCs/>
                <w:color w:val="000000"/>
                <w:lang w:eastAsia="ja-JP"/>
              </w:rPr>
              <w:t>Le GT</w:t>
            </w:r>
            <w:r w:rsidR="007D0C5D" w:rsidRPr="00930E5E">
              <w:rPr>
                <w:rFonts w:eastAsiaTheme="minorEastAsia"/>
                <w:bCs/>
                <w:iCs/>
                <w:color w:val="000000"/>
                <w:lang w:eastAsia="ja-JP"/>
              </w:rPr>
              <w:t> </w:t>
            </w:r>
            <w:r w:rsidRPr="00930E5E">
              <w:rPr>
                <w:rFonts w:eastAsiaTheme="minorEastAsia"/>
                <w:bCs/>
                <w:iCs/>
                <w:color w:val="000000"/>
                <w:lang w:eastAsia="ja-JP"/>
              </w:rPr>
              <w:t xml:space="preserve">5D </w:t>
            </w:r>
            <w:r w:rsidR="000A637C" w:rsidRPr="00930E5E">
              <w:rPr>
                <w:rFonts w:eastAsiaTheme="minorEastAsia"/>
                <w:bCs/>
                <w:iCs/>
                <w:color w:val="000000"/>
                <w:lang w:eastAsia="ja-JP"/>
              </w:rPr>
              <w:t xml:space="preserve">a élaboré </w:t>
            </w:r>
            <w:r w:rsidR="008E3D22" w:rsidRPr="00930E5E">
              <w:rPr>
                <w:rFonts w:eastAsiaTheme="minorEastAsia"/>
                <w:bCs/>
                <w:iCs/>
                <w:color w:val="000000"/>
                <w:lang w:eastAsia="ja-JP"/>
              </w:rPr>
              <w:t xml:space="preserve">le </w:t>
            </w:r>
            <w:r w:rsidR="000A637C" w:rsidRPr="00930E5E">
              <w:rPr>
                <w:rFonts w:eastAsiaTheme="minorEastAsia"/>
                <w:bCs/>
                <w:iCs/>
                <w:color w:val="000000"/>
                <w:lang w:eastAsia="ja-JP"/>
              </w:rPr>
              <w:t>nouveau Rapport</w:t>
            </w:r>
            <w:r w:rsidR="00EF7B62" w:rsidRPr="00930E5E">
              <w:rPr>
                <w:rFonts w:eastAsiaTheme="minorEastAsia"/>
                <w:bCs/>
                <w:iCs/>
                <w:color w:val="000000"/>
                <w:lang w:eastAsia="ja-JP"/>
              </w:rPr>
              <w:t> </w:t>
            </w:r>
            <w:r w:rsidR="000A637C" w:rsidRPr="00930E5E">
              <w:rPr>
                <w:rFonts w:eastAsiaTheme="minorEastAsia"/>
                <w:bCs/>
                <w:iCs/>
                <w:color w:val="000000"/>
                <w:lang w:eastAsia="ja-JP"/>
              </w:rPr>
              <w:t>UIT</w:t>
            </w:r>
            <w:r w:rsidR="00EF7B62" w:rsidRPr="00930E5E">
              <w:rPr>
                <w:rFonts w:eastAsiaTheme="minorEastAsia"/>
                <w:bCs/>
                <w:iCs/>
                <w:color w:val="000000"/>
                <w:lang w:eastAsia="ja-JP"/>
              </w:rPr>
              <w:noBreakHyphen/>
            </w:r>
            <w:r w:rsidRPr="00930E5E">
              <w:rPr>
                <w:rFonts w:eastAsiaTheme="minorEastAsia"/>
                <w:bCs/>
                <w:iCs/>
                <w:color w:val="000000"/>
                <w:lang w:eastAsia="ja-JP"/>
              </w:rPr>
              <w:t>R</w:t>
            </w:r>
            <w:r w:rsidR="00EF7B62" w:rsidRPr="00930E5E">
              <w:rPr>
                <w:rFonts w:eastAsiaTheme="minorEastAsia"/>
                <w:bCs/>
                <w:iCs/>
                <w:color w:val="000000"/>
                <w:lang w:eastAsia="ja-JP"/>
              </w:rPr>
              <w:t> </w:t>
            </w:r>
            <w:r w:rsidRPr="00930E5E">
              <w:rPr>
                <w:rFonts w:eastAsiaTheme="minorEastAsia"/>
                <w:bCs/>
                <w:iCs/>
                <w:color w:val="000000"/>
                <w:lang w:eastAsia="ja-JP"/>
              </w:rPr>
              <w:t xml:space="preserve">M.2516 </w:t>
            </w:r>
            <w:r w:rsidR="000A637C" w:rsidRPr="00930E5E">
              <w:rPr>
                <w:rFonts w:eastAsiaTheme="minorEastAsia"/>
                <w:bCs/>
                <w:iCs/>
                <w:color w:val="000000"/>
                <w:lang w:eastAsia="ja-JP"/>
              </w:rPr>
              <w:t>relatif à</w:t>
            </w:r>
            <w:r w:rsidR="008D1B3E" w:rsidRPr="00930E5E">
              <w:rPr>
                <w:rFonts w:eastAsiaTheme="minorEastAsia"/>
                <w:bCs/>
                <w:iCs/>
                <w:color w:val="000000"/>
                <w:lang w:eastAsia="ja-JP"/>
              </w:rPr>
              <w:t> </w:t>
            </w:r>
            <w:r w:rsidR="000A637C" w:rsidRPr="00930E5E">
              <w:rPr>
                <w:rFonts w:eastAsiaTheme="minorEastAsia"/>
                <w:bCs/>
                <w:iCs/>
                <w:color w:val="000000"/>
                <w:lang w:eastAsia="ja-JP"/>
              </w:rPr>
              <w:t>l'évolution technologique future des systèmes</w:t>
            </w:r>
            <w:r w:rsidR="00EF7B62" w:rsidRPr="00930E5E">
              <w:rPr>
                <w:rFonts w:eastAsiaTheme="minorEastAsia"/>
                <w:bCs/>
                <w:iCs/>
                <w:color w:val="000000"/>
                <w:lang w:eastAsia="ja-JP"/>
              </w:rPr>
              <w:t> </w:t>
            </w:r>
            <w:r w:rsidR="007D0C5D" w:rsidRPr="00930E5E">
              <w:rPr>
                <w:rFonts w:eastAsiaTheme="minorEastAsia"/>
                <w:bCs/>
                <w:iCs/>
                <w:color w:val="000000"/>
                <w:lang w:eastAsia="ja-JP"/>
              </w:rPr>
              <w:t xml:space="preserve">IMT </w:t>
            </w:r>
            <w:r w:rsidR="000A637C" w:rsidRPr="00930E5E">
              <w:rPr>
                <w:rFonts w:eastAsiaTheme="minorEastAsia"/>
                <w:bCs/>
                <w:iCs/>
                <w:color w:val="000000"/>
                <w:lang w:eastAsia="ja-JP"/>
              </w:rPr>
              <w:t>de Terre à l'horizon</w:t>
            </w:r>
            <w:r w:rsidR="00EF7B62" w:rsidRPr="00930E5E">
              <w:rPr>
                <w:rFonts w:eastAsiaTheme="minorEastAsia"/>
                <w:bCs/>
                <w:iCs/>
                <w:color w:val="000000"/>
                <w:lang w:eastAsia="ja-JP"/>
              </w:rPr>
              <w:t> </w:t>
            </w:r>
            <w:r w:rsidR="000A637C" w:rsidRPr="00930E5E">
              <w:rPr>
                <w:rFonts w:eastAsiaTheme="minorEastAsia"/>
                <w:bCs/>
                <w:iCs/>
                <w:color w:val="000000"/>
                <w:lang w:eastAsia="ja-JP"/>
              </w:rPr>
              <w:t>2030 et au-delà</w:t>
            </w:r>
            <w:r w:rsidR="008E3D22" w:rsidRPr="00930E5E">
              <w:rPr>
                <w:rFonts w:eastAsiaTheme="minorEastAsia"/>
                <w:bCs/>
                <w:iCs/>
                <w:color w:val="000000"/>
                <w:lang w:eastAsia="ja-JP"/>
              </w:rPr>
              <w:t>,</w:t>
            </w:r>
            <w:r w:rsidR="000A637C" w:rsidRPr="00930E5E">
              <w:rPr>
                <w:rFonts w:eastAsiaTheme="minorEastAsia"/>
                <w:bCs/>
                <w:iCs/>
                <w:color w:val="000000"/>
                <w:lang w:eastAsia="ja-JP"/>
              </w:rPr>
              <w:t xml:space="preserve"> dans lequel </w:t>
            </w:r>
            <w:r w:rsidR="008E3D22" w:rsidRPr="00930E5E">
              <w:rPr>
                <w:rFonts w:eastAsiaTheme="minorEastAsia"/>
                <w:bCs/>
                <w:iCs/>
                <w:color w:val="000000"/>
                <w:lang w:eastAsia="ja-JP"/>
              </w:rPr>
              <w:t xml:space="preserve">il est </w:t>
            </w:r>
            <w:r w:rsidR="000A637C" w:rsidRPr="00930E5E">
              <w:rPr>
                <w:rFonts w:eastAsiaTheme="minorEastAsia"/>
                <w:bCs/>
                <w:iCs/>
                <w:color w:val="000000"/>
                <w:lang w:eastAsia="ja-JP"/>
              </w:rPr>
              <w:t>estim</w:t>
            </w:r>
            <w:r w:rsidR="008E3D22" w:rsidRPr="00930E5E">
              <w:rPr>
                <w:rFonts w:eastAsiaTheme="minorEastAsia"/>
                <w:bCs/>
                <w:iCs/>
                <w:color w:val="000000"/>
                <w:lang w:eastAsia="ja-JP"/>
              </w:rPr>
              <w:t>é</w:t>
            </w:r>
            <w:r w:rsidR="000A637C" w:rsidRPr="00930E5E">
              <w:rPr>
                <w:rFonts w:eastAsiaTheme="minorEastAsia"/>
                <w:bCs/>
                <w:iCs/>
                <w:color w:val="000000"/>
                <w:lang w:eastAsia="ja-JP"/>
              </w:rPr>
              <w:t xml:space="preserve"> que les </w:t>
            </w:r>
            <w:r w:rsidRPr="00930E5E">
              <w:rPr>
                <w:rFonts w:eastAsiaTheme="minorEastAsia"/>
                <w:bCs/>
                <w:iCs/>
                <w:color w:val="000000"/>
                <w:lang w:eastAsia="ja-JP"/>
              </w:rPr>
              <w:t>communications</w:t>
            </w:r>
            <w:r w:rsidR="008E3D22" w:rsidRPr="00930E5E">
              <w:rPr>
                <w:rFonts w:eastAsiaTheme="minorEastAsia"/>
                <w:bCs/>
                <w:iCs/>
                <w:color w:val="000000"/>
                <w:lang w:eastAsia="ja-JP"/>
              </w:rPr>
              <w:t xml:space="preserve"> en</w:t>
            </w:r>
            <w:r w:rsidRPr="00930E5E">
              <w:rPr>
                <w:rFonts w:eastAsiaTheme="minorEastAsia"/>
                <w:bCs/>
                <w:iCs/>
                <w:color w:val="000000"/>
                <w:lang w:eastAsia="ja-JP"/>
              </w:rPr>
              <w:t xml:space="preserve"> </w:t>
            </w:r>
            <w:r w:rsidR="000A637C" w:rsidRPr="00930E5E">
              <w:rPr>
                <w:rFonts w:eastAsiaTheme="minorEastAsia"/>
                <w:bCs/>
                <w:iCs/>
                <w:color w:val="000000"/>
                <w:lang w:eastAsia="ja-JP"/>
              </w:rPr>
              <w:t>térahertz comptent parmi les technologies propres à améliorer l'interface radioélectrique des systèmes</w:t>
            </w:r>
            <w:r w:rsidR="00EF7B62" w:rsidRPr="00930E5E">
              <w:rPr>
                <w:rFonts w:eastAsiaTheme="minorEastAsia"/>
                <w:bCs/>
                <w:iCs/>
                <w:color w:val="000000"/>
                <w:lang w:eastAsia="ja-JP"/>
              </w:rPr>
              <w:t> </w:t>
            </w:r>
            <w:r w:rsidR="000A637C" w:rsidRPr="00930E5E">
              <w:rPr>
                <w:rFonts w:eastAsiaTheme="minorEastAsia"/>
                <w:bCs/>
                <w:iCs/>
                <w:color w:val="000000"/>
                <w:lang w:eastAsia="ja-JP"/>
              </w:rPr>
              <w:t>IMT futurs</w:t>
            </w:r>
            <w:r w:rsidRPr="00930E5E">
              <w:rPr>
                <w:rFonts w:eastAsiaTheme="minorEastAsia"/>
                <w:bCs/>
                <w:iCs/>
                <w:color w:val="000000"/>
                <w:lang w:eastAsia="ja-JP"/>
              </w:rPr>
              <w:t xml:space="preserve">. </w:t>
            </w:r>
            <w:r w:rsidR="000A637C" w:rsidRPr="00930E5E">
              <w:rPr>
                <w:rFonts w:eastAsiaTheme="minorEastAsia"/>
                <w:bCs/>
                <w:iCs/>
                <w:color w:val="000000"/>
                <w:lang w:eastAsia="ja-JP"/>
              </w:rPr>
              <w:t>Le GT</w:t>
            </w:r>
            <w:r w:rsidR="007D0C5D" w:rsidRPr="00930E5E">
              <w:rPr>
                <w:rFonts w:eastAsiaTheme="minorEastAsia"/>
                <w:bCs/>
                <w:iCs/>
                <w:color w:val="000000"/>
                <w:lang w:eastAsia="ja-JP"/>
              </w:rPr>
              <w:t> </w:t>
            </w:r>
            <w:r w:rsidRPr="00930E5E">
              <w:rPr>
                <w:rFonts w:eastAsiaTheme="minorEastAsia"/>
                <w:bCs/>
                <w:iCs/>
                <w:color w:val="000000"/>
                <w:lang w:eastAsia="ja-JP"/>
              </w:rPr>
              <w:t xml:space="preserve">1A </w:t>
            </w:r>
            <w:r w:rsidR="000A637C" w:rsidRPr="00930E5E">
              <w:rPr>
                <w:rFonts w:eastAsiaTheme="minorEastAsia"/>
                <w:bCs/>
                <w:iCs/>
                <w:color w:val="000000"/>
                <w:lang w:eastAsia="ja-JP"/>
              </w:rPr>
              <w:t>a actualisé le Rapport</w:t>
            </w:r>
            <w:r w:rsidR="00EF7B62" w:rsidRPr="00930E5E">
              <w:rPr>
                <w:rFonts w:eastAsiaTheme="minorEastAsia"/>
                <w:bCs/>
                <w:iCs/>
                <w:color w:val="000000"/>
                <w:lang w:eastAsia="ja-JP"/>
              </w:rPr>
              <w:t> </w:t>
            </w:r>
            <w:r w:rsidR="000A637C" w:rsidRPr="00930E5E">
              <w:rPr>
                <w:rFonts w:eastAsiaTheme="minorEastAsia"/>
                <w:bCs/>
                <w:iCs/>
                <w:color w:val="000000"/>
                <w:lang w:eastAsia="ja-JP"/>
              </w:rPr>
              <w:t>UIT</w:t>
            </w:r>
            <w:r w:rsidR="00EF7B62" w:rsidRPr="00930E5E">
              <w:rPr>
                <w:rFonts w:eastAsiaTheme="minorEastAsia"/>
                <w:bCs/>
                <w:iCs/>
                <w:color w:val="000000"/>
                <w:lang w:eastAsia="ja-JP"/>
              </w:rPr>
              <w:noBreakHyphen/>
            </w:r>
            <w:r w:rsidRPr="00930E5E">
              <w:rPr>
                <w:rFonts w:eastAsiaTheme="minorEastAsia"/>
                <w:bCs/>
                <w:iCs/>
                <w:color w:val="000000"/>
                <w:lang w:eastAsia="ja-JP"/>
              </w:rPr>
              <w:t>R</w:t>
            </w:r>
            <w:r w:rsidR="00EF7B62" w:rsidRPr="00930E5E">
              <w:rPr>
                <w:rFonts w:eastAsiaTheme="minorEastAsia"/>
                <w:bCs/>
                <w:iCs/>
                <w:color w:val="000000"/>
                <w:lang w:eastAsia="ja-JP"/>
              </w:rPr>
              <w:t> </w:t>
            </w:r>
            <w:r w:rsidRPr="00930E5E">
              <w:rPr>
                <w:rFonts w:eastAsiaTheme="minorEastAsia"/>
                <w:bCs/>
                <w:iCs/>
                <w:color w:val="000000"/>
                <w:lang w:eastAsia="ja-JP"/>
              </w:rPr>
              <w:t xml:space="preserve">SM.2352 </w:t>
            </w:r>
            <w:r w:rsidR="000A637C" w:rsidRPr="00930E5E">
              <w:rPr>
                <w:rFonts w:eastAsiaTheme="minorEastAsia"/>
                <w:bCs/>
                <w:iCs/>
                <w:color w:val="000000"/>
                <w:lang w:eastAsia="ja-JP"/>
              </w:rPr>
              <w:t xml:space="preserve">relatif aux orientations technologiques des </w:t>
            </w:r>
            <w:r w:rsidR="007D0C5D" w:rsidRPr="00930E5E">
              <w:rPr>
                <w:rFonts w:eastAsiaTheme="minorEastAsia"/>
                <w:bCs/>
                <w:iCs/>
                <w:color w:val="000000"/>
                <w:lang w:eastAsia="ja-JP"/>
              </w:rPr>
              <w:t xml:space="preserve">applications des </w:t>
            </w:r>
            <w:r w:rsidR="000A637C" w:rsidRPr="00930E5E">
              <w:rPr>
                <w:rFonts w:eastAsiaTheme="minorEastAsia"/>
                <w:bCs/>
                <w:iCs/>
                <w:color w:val="000000"/>
                <w:lang w:eastAsia="ja-JP"/>
              </w:rPr>
              <w:t>services actifs dans la gamme de fréquences</w:t>
            </w:r>
            <w:r w:rsidR="00EF7B62" w:rsidRPr="00930E5E">
              <w:rPr>
                <w:rFonts w:eastAsiaTheme="minorEastAsia"/>
                <w:bCs/>
                <w:iCs/>
                <w:color w:val="000000"/>
                <w:lang w:eastAsia="ja-JP"/>
              </w:rPr>
              <w:t> </w:t>
            </w:r>
            <w:r w:rsidRPr="00930E5E">
              <w:rPr>
                <w:rFonts w:eastAsiaTheme="minorEastAsia"/>
                <w:bCs/>
                <w:iCs/>
                <w:color w:val="000000"/>
                <w:lang w:eastAsia="ja-JP"/>
              </w:rPr>
              <w:t>275</w:t>
            </w:r>
            <w:r w:rsidR="00EF7B62" w:rsidRPr="00930E5E">
              <w:rPr>
                <w:rFonts w:eastAsiaTheme="minorEastAsia"/>
                <w:bCs/>
                <w:iCs/>
                <w:color w:val="000000"/>
                <w:lang w:eastAsia="ja-JP"/>
              </w:rPr>
              <w:noBreakHyphen/>
            </w:r>
            <w:r w:rsidRPr="00930E5E">
              <w:rPr>
                <w:rFonts w:eastAsiaTheme="minorEastAsia"/>
                <w:bCs/>
                <w:iCs/>
                <w:color w:val="000000"/>
                <w:lang w:eastAsia="ja-JP"/>
              </w:rPr>
              <w:t>3</w:t>
            </w:r>
            <w:r w:rsidR="007D0C5D" w:rsidRPr="00930E5E">
              <w:rPr>
                <w:rFonts w:eastAsiaTheme="minorEastAsia"/>
                <w:bCs/>
                <w:iCs/>
                <w:color w:val="000000"/>
                <w:lang w:eastAsia="ja-JP"/>
              </w:rPr>
              <w:t> </w:t>
            </w:r>
            <w:r w:rsidRPr="00930E5E">
              <w:rPr>
                <w:rFonts w:eastAsiaTheme="minorEastAsia"/>
                <w:bCs/>
                <w:iCs/>
                <w:color w:val="000000"/>
                <w:lang w:eastAsia="ja-JP"/>
              </w:rPr>
              <w:t>000</w:t>
            </w:r>
            <w:r w:rsidR="007D0C5D" w:rsidRPr="00930E5E">
              <w:rPr>
                <w:rFonts w:eastAsiaTheme="minorEastAsia"/>
                <w:bCs/>
                <w:iCs/>
                <w:color w:val="000000"/>
                <w:lang w:eastAsia="ja-JP"/>
              </w:rPr>
              <w:t> </w:t>
            </w:r>
            <w:r w:rsidRPr="00930E5E">
              <w:rPr>
                <w:rFonts w:eastAsiaTheme="minorEastAsia"/>
                <w:bCs/>
                <w:iCs/>
                <w:color w:val="000000"/>
                <w:lang w:eastAsia="ja-JP"/>
              </w:rPr>
              <w:t xml:space="preserve">GHz, </w:t>
            </w:r>
            <w:r w:rsidR="000A637C" w:rsidRPr="00930E5E">
              <w:rPr>
                <w:rFonts w:eastAsiaTheme="minorEastAsia"/>
                <w:bCs/>
                <w:iCs/>
                <w:color w:val="000000"/>
                <w:lang w:eastAsia="ja-JP"/>
              </w:rPr>
              <w:t>et a réalisé des études de partage et de compatibilité entre le</w:t>
            </w:r>
            <w:r w:rsidR="00EF7B62" w:rsidRPr="00930E5E">
              <w:rPr>
                <w:rFonts w:eastAsiaTheme="minorEastAsia"/>
                <w:bCs/>
                <w:iCs/>
                <w:color w:val="000000"/>
                <w:lang w:eastAsia="ja-JP"/>
              </w:rPr>
              <w:t> </w:t>
            </w:r>
            <w:r w:rsidR="000A637C" w:rsidRPr="00930E5E">
              <w:rPr>
                <w:rFonts w:eastAsiaTheme="minorEastAsia"/>
                <w:bCs/>
                <w:iCs/>
                <w:color w:val="000000"/>
                <w:lang w:eastAsia="ja-JP"/>
              </w:rPr>
              <w:t xml:space="preserve">SMT/SF et les applications des services passifs </w:t>
            </w:r>
            <w:r w:rsidR="00B20E78" w:rsidRPr="00930E5E">
              <w:rPr>
                <w:rFonts w:eastAsiaTheme="minorEastAsia"/>
                <w:bCs/>
                <w:iCs/>
                <w:color w:val="000000"/>
                <w:lang w:eastAsia="ja-JP"/>
              </w:rPr>
              <w:t>dans la gamme de fréquences</w:t>
            </w:r>
            <w:r w:rsidR="00EF7B62" w:rsidRPr="00930E5E">
              <w:rPr>
                <w:rFonts w:eastAsiaTheme="minorEastAsia"/>
                <w:bCs/>
                <w:iCs/>
                <w:color w:val="000000"/>
                <w:lang w:eastAsia="ja-JP"/>
              </w:rPr>
              <w:t> </w:t>
            </w:r>
            <w:r w:rsidRPr="00930E5E">
              <w:rPr>
                <w:rFonts w:eastAsiaTheme="minorEastAsia"/>
                <w:bCs/>
                <w:iCs/>
                <w:color w:val="000000"/>
                <w:lang w:eastAsia="ja-JP"/>
              </w:rPr>
              <w:t>275</w:t>
            </w:r>
            <w:r w:rsidR="00EF7B62" w:rsidRPr="00930E5E">
              <w:rPr>
                <w:rFonts w:eastAsiaTheme="minorEastAsia"/>
                <w:bCs/>
                <w:iCs/>
                <w:color w:val="000000"/>
                <w:lang w:eastAsia="ja-JP"/>
              </w:rPr>
              <w:noBreakHyphen/>
            </w:r>
            <w:r w:rsidRPr="00930E5E">
              <w:rPr>
                <w:rFonts w:eastAsiaTheme="minorEastAsia"/>
                <w:bCs/>
                <w:iCs/>
                <w:color w:val="000000"/>
                <w:lang w:eastAsia="ja-JP"/>
              </w:rPr>
              <w:t>450</w:t>
            </w:r>
            <w:r w:rsidR="007D0C5D" w:rsidRPr="00930E5E">
              <w:rPr>
                <w:rFonts w:eastAsiaTheme="minorEastAsia"/>
                <w:bCs/>
                <w:iCs/>
                <w:color w:val="000000"/>
                <w:lang w:eastAsia="ja-JP"/>
              </w:rPr>
              <w:t> </w:t>
            </w:r>
            <w:r w:rsidRPr="00930E5E">
              <w:rPr>
                <w:rFonts w:eastAsiaTheme="minorEastAsia"/>
                <w:bCs/>
                <w:iCs/>
                <w:color w:val="000000"/>
                <w:lang w:eastAsia="ja-JP"/>
              </w:rPr>
              <w:t xml:space="preserve">GHz </w:t>
            </w:r>
            <w:r w:rsidR="00B20E78" w:rsidRPr="00930E5E">
              <w:rPr>
                <w:rFonts w:eastAsiaTheme="minorEastAsia"/>
                <w:bCs/>
                <w:iCs/>
                <w:color w:val="000000"/>
                <w:lang w:eastAsia="ja-JP"/>
              </w:rPr>
              <w:t>au titre du point</w:t>
            </w:r>
            <w:r w:rsidR="00EF7B62" w:rsidRPr="00930E5E">
              <w:rPr>
                <w:rFonts w:eastAsiaTheme="minorEastAsia"/>
                <w:bCs/>
                <w:iCs/>
                <w:color w:val="000000"/>
                <w:lang w:eastAsia="ja-JP"/>
              </w:rPr>
              <w:t> </w:t>
            </w:r>
            <w:r w:rsidR="00B20E78" w:rsidRPr="00930E5E">
              <w:rPr>
                <w:rFonts w:eastAsiaTheme="minorEastAsia"/>
                <w:bCs/>
                <w:iCs/>
                <w:color w:val="000000"/>
                <w:lang w:eastAsia="ja-JP"/>
              </w:rPr>
              <w:t>1.15 de l'ordre du jour de la</w:t>
            </w:r>
            <w:r w:rsidR="00EF7B62" w:rsidRPr="00930E5E">
              <w:rPr>
                <w:rFonts w:eastAsiaTheme="minorEastAsia"/>
                <w:bCs/>
                <w:iCs/>
                <w:color w:val="000000"/>
                <w:lang w:eastAsia="ja-JP"/>
              </w:rPr>
              <w:t> </w:t>
            </w:r>
            <w:r w:rsidR="00B20E78" w:rsidRPr="00930E5E">
              <w:rPr>
                <w:rFonts w:eastAsiaTheme="minorEastAsia"/>
                <w:bCs/>
                <w:iCs/>
                <w:color w:val="000000"/>
                <w:lang w:eastAsia="ja-JP"/>
              </w:rPr>
              <w:t>CMR</w:t>
            </w:r>
            <w:r w:rsidR="00EF7B62" w:rsidRPr="00930E5E">
              <w:rPr>
                <w:rFonts w:eastAsiaTheme="minorEastAsia"/>
                <w:bCs/>
                <w:iCs/>
                <w:color w:val="000000"/>
                <w:lang w:eastAsia="ja-JP"/>
              </w:rPr>
              <w:noBreakHyphen/>
            </w:r>
            <w:r w:rsidRPr="00930E5E">
              <w:rPr>
                <w:rFonts w:eastAsiaTheme="minorEastAsia"/>
                <w:bCs/>
                <w:iCs/>
                <w:color w:val="000000"/>
                <w:lang w:eastAsia="ja-JP"/>
              </w:rPr>
              <w:t xml:space="preserve">19. </w:t>
            </w:r>
            <w:r w:rsidR="00B20E78" w:rsidRPr="00930E5E">
              <w:rPr>
                <w:rFonts w:eastAsiaTheme="minorEastAsia"/>
                <w:bCs/>
                <w:iCs/>
                <w:color w:val="000000"/>
                <w:lang w:eastAsia="ja-JP"/>
              </w:rPr>
              <w:t>Le GT</w:t>
            </w:r>
            <w:r w:rsidR="007D0C5D" w:rsidRPr="00930E5E">
              <w:rPr>
                <w:rFonts w:eastAsiaTheme="minorEastAsia"/>
                <w:bCs/>
                <w:iCs/>
                <w:color w:val="000000"/>
                <w:lang w:eastAsia="ja-JP"/>
              </w:rPr>
              <w:t> </w:t>
            </w:r>
            <w:r w:rsidR="00B20E78" w:rsidRPr="00930E5E">
              <w:rPr>
                <w:rFonts w:eastAsiaTheme="minorEastAsia"/>
                <w:bCs/>
                <w:iCs/>
                <w:color w:val="000000"/>
                <w:lang w:eastAsia="ja-JP"/>
              </w:rPr>
              <w:t xml:space="preserve">7C a élaboré la </w:t>
            </w:r>
            <w:r w:rsidR="00944205" w:rsidRPr="00930E5E">
              <w:t>Recommandation</w:t>
            </w:r>
            <w:r w:rsidR="00EF7B62" w:rsidRPr="00930E5E">
              <w:t> </w:t>
            </w:r>
            <w:r w:rsidR="00944205" w:rsidRPr="00930E5E">
              <w:t>UIT</w:t>
            </w:r>
            <w:r w:rsidR="00EF7B62" w:rsidRPr="00930E5E">
              <w:noBreakHyphen/>
            </w:r>
            <w:r w:rsidR="00944205" w:rsidRPr="00930E5E">
              <w:t>R</w:t>
            </w:r>
            <w:r w:rsidR="00EF7B62" w:rsidRPr="00930E5E">
              <w:t> </w:t>
            </w:r>
            <w:r w:rsidR="00944205" w:rsidRPr="00930E5E">
              <w:t xml:space="preserve">RS.2017 </w:t>
            </w:r>
            <w:r w:rsidR="00B20E78" w:rsidRPr="00930E5E">
              <w:t>relative aux</w:t>
            </w:r>
            <w:r w:rsidR="00944205" w:rsidRPr="00930E5E">
              <w:t xml:space="preserve"> critères de qualité de fonctionnement et de brouillage pour la télédétection passive par satellite</w:t>
            </w:r>
            <w:r w:rsidR="00F05920" w:rsidRPr="00930E5E">
              <w:t>.</w:t>
            </w:r>
            <w:r w:rsidR="00B20E78" w:rsidRPr="00930E5E">
              <w:t xml:space="preserve"> Le GT</w:t>
            </w:r>
            <w:r w:rsidR="007D0C5D" w:rsidRPr="00930E5E">
              <w:rPr>
                <w:rFonts w:eastAsia="MS Mincho"/>
                <w:lang w:eastAsia="ja-JP"/>
              </w:rPr>
              <w:t> </w:t>
            </w:r>
            <w:r w:rsidR="00B20E78" w:rsidRPr="00930E5E">
              <w:rPr>
                <w:rFonts w:eastAsia="MS Mincho"/>
                <w:lang w:eastAsia="ja-JP"/>
              </w:rPr>
              <w:t>7D a élaboré la Recommandation</w:t>
            </w:r>
            <w:r w:rsidR="00EF7B62" w:rsidRPr="00930E5E">
              <w:rPr>
                <w:rFonts w:eastAsia="MS Mincho"/>
                <w:lang w:eastAsia="ja-JP"/>
              </w:rPr>
              <w:t> </w:t>
            </w:r>
            <w:r w:rsidR="00B20E78" w:rsidRPr="00930E5E">
              <w:rPr>
                <w:rFonts w:eastAsia="MS Mincho"/>
                <w:lang w:eastAsia="ja-JP"/>
              </w:rPr>
              <w:t>UIT</w:t>
            </w:r>
            <w:r w:rsidR="00EF7B62" w:rsidRPr="00930E5E">
              <w:rPr>
                <w:rFonts w:eastAsia="MS Mincho"/>
                <w:lang w:eastAsia="ja-JP"/>
              </w:rPr>
              <w:noBreakHyphen/>
            </w:r>
            <w:r w:rsidR="00B20E78" w:rsidRPr="00930E5E">
              <w:rPr>
                <w:rFonts w:eastAsia="MS Mincho"/>
                <w:lang w:eastAsia="ja-JP"/>
              </w:rPr>
              <w:t>R</w:t>
            </w:r>
            <w:r w:rsidR="00EF7B62" w:rsidRPr="00930E5E">
              <w:rPr>
                <w:rFonts w:eastAsia="MS Mincho"/>
                <w:lang w:eastAsia="ja-JP"/>
              </w:rPr>
              <w:t> </w:t>
            </w:r>
            <w:r w:rsidR="00B20E78" w:rsidRPr="00930E5E">
              <w:rPr>
                <w:rFonts w:eastAsia="MS Mincho"/>
                <w:lang w:eastAsia="ja-JP"/>
              </w:rPr>
              <w:t>RA.769 relative aux critères de protection applicables aux mesures en radioastronomie jusqu'à</w:t>
            </w:r>
            <w:r w:rsidR="00EF7B62" w:rsidRPr="00930E5E">
              <w:rPr>
                <w:rFonts w:eastAsia="MS Mincho"/>
                <w:lang w:eastAsia="ja-JP"/>
              </w:rPr>
              <w:t> </w:t>
            </w:r>
            <w:r w:rsidR="00B20E78" w:rsidRPr="00930E5E">
              <w:rPr>
                <w:rFonts w:eastAsia="MS Mincho"/>
                <w:lang w:eastAsia="ja-JP"/>
              </w:rPr>
              <w:t>275</w:t>
            </w:r>
            <w:r w:rsidR="007D0C5D" w:rsidRPr="00930E5E">
              <w:rPr>
                <w:rFonts w:eastAsia="MS Mincho"/>
                <w:lang w:eastAsia="ja-JP"/>
              </w:rPr>
              <w:t> </w:t>
            </w:r>
            <w:r w:rsidR="00B20E78" w:rsidRPr="00930E5E">
              <w:rPr>
                <w:rFonts w:eastAsia="MS Mincho"/>
                <w:lang w:eastAsia="ja-JP"/>
              </w:rPr>
              <w:t>GHz, et les critères applicables dans la gamme de fréquences</w:t>
            </w:r>
            <w:r w:rsidR="00EF7B62" w:rsidRPr="00930E5E">
              <w:rPr>
                <w:rFonts w:eastAsia="MS Mincho"/>
                <w:lang w:eastAsia="ja-JP"/>
              </w:rPr>
              <w:t> </w:t>
            </w:r>
            <w:r w:rsidR="00B20E78" w:rsidRPr="00930E5E">
              <w:rPr>
                <w:rFonts w:eastAsia="MS Mincho"/>
                <w:lang w:eastAsia="ja-JP"/>
              </w:rPr>
              <w:t>275</w:t>
            </w:r>
            <w:r w:rsidR="00EF7B62" w:rsidRPr="00930E5E">
              <w:rPr>
                <w:rFonts w:eastAsia="MS Mincho"/>
                <w:lang w:eastAsia="ja-JP"/>
              </w:rPr>
              <w:noBreakHyphen/>
            </w:r>
            <w:r w:rsidR="00B20E78" w:rsidRPr="00930E5E">
              <w:rPr>
                <w:rFonts w:eastAsia="MS Mincho"/>
                <w:lang w:eastAsia="ja-JP"/>
              </w:rPr>
              <w:t>3</w:t>
            </w:r>
            <w:r w:rsidR="007D0C5D" w:rsidRPr="00930E5E">
              <w:rPr>
                <w:rFonts w:eastAsia="MS Mincho"/>
                <w:lang w:eastAsia="ja-JP"/>
              </w:rPr>
              <w:t> </w:t>
            </w:r>
            <w:r w:rsidR="00B20E78" w:rsidRPr="00930E5E">
              <w:rPr>
                <w:rFonts w:eastAsia="MS Mincho"/>
                <w:lang w:eastAsia="ja-JP"/>
              </w:rPr>
              <w:t>000</w:t>
            </w:r>
            <w:r w:rsidR="007D0C5D" w:rsidRPr="00930E5E">
              <w:rPr>
                <w:rFonts w:eastAsia="MS Mincho"/>
                <w:lang w:eastAsia="ja-JP"/>
              </w:rPr>
              <w:t> </w:t>
            </w:r>
            <w:r w:rsidR="00B20E78" w:rsidRPr="00930E5E">
              <w:rPr>
                <w:rFonts w:eastAsia="MS Mincho"/>
                <w:lang w:eastAsia="ja-JP"/>
              </w:rPr>
              <w:t>GHz sont présentés dans le Rapport</w:t>
            </w:r>
            <w:r w:rsidR="00EF7B62" w:rsidRPr="00930E5E">
              <w:rPr>
                <w:rFonts w:eastAsia="MS Mincho"/>
                <w:lang w:eastAsia="ja-JP"/>
              </w:rPr>
              <w:t> </w:t>
            </w:r>
            <w:r w:rsidR="00B20E78" w:rsidRPr="00930E5E">
              <w:rPr>
                <w:rFonts w:eastAsia="MS Mincho"/>
                <w:lang w:eastAsia="ja-JP"/>
              </w:rPr>
              <w:t>UIT</w:t>
            </w:r>
            <w:r w:rsidR="00EF7B62" w:rsidRPr="00930E5E">
              <w:rPr>
                <w:rFonts w:eastAsia="MS Mincho"/>
                <w:lang w:eastAsia="ja-JP"/>
              </w:rPr>
              <w:noBreakHyphen/>
            </w:r>
            <w:r w:rsidR="00B20E78" w:rsidRPr="00930E5E">
              <w:rPr>
                <w:rFonts w:eastAsia="MS Mincho"/>
                <w:lang w:eastAsia="ja-JP"/>
              </w:rPr>
              <w:t>R</w:t>
            </w:r>
            <w:r w:rsidR="00EF7B62" w:rsidRPr="00930E5E">
              <w:rPr>
                <w:rFonts w:eastAsia="MS Mincho"/>
                <w:lang w:eastAsia="ja-JP"/>
              </w:rPr>
              <w:t> </w:t>
            </w:r>
            <w:r w:rsidR="00B20E78" w:rsidRPr="00930E5E">
              <w:rPr>
                <w:rFonts w:eastAsia="MS Mincho"/>
                <w:lang w:eastAsia="ja-JP"/>
              </w:rPr>
              <w:t>RA.2189. En conséquence</w:t>
            </w:r>
            <w:r w:rsidR="00B20E78" w:rsidRPr="00930E5E">
              <w:rPr>
                <w:rFonts w:eastAsiaTheme="minorEastAsia"/>
                <w:bCs/>
                <w:iCs/>
                <w:color w:val="000000"/>
                <w:lang w:eastAsia="ja-JP"/>
              </w:rPr>
              <w:t xml:space="preserve">, les </w:t>
            </w:r>
            <w:r w:rsidR="007D0C5D" w:rsidRPr="00930E5E">
              <w:rPr>
                <w:rFonts w:eastAsiaTheme="minorEastAsia"/>
                <w:bCs/>
                <w:iCs/>
                <w:color w:val="000000"/>
                <w:lang w:eastAsia="ja-JP"/>
              </w:rPr>
              <w:t>g</w:t>
            </w:r>
            <w:r w:rsidR="00B20E78" w:rsidRPr="00930E5E">
              <w:rPr>
                <w:rFonts w:eastAsiaTheme="minorEastAsia"/>
                <w:bCs/>
                <w:iCs/>
                <w:color w:val="000000"/>
                <w:lang w:eastAsia="ja-JP"/>
              </w:rPr>
              <w:t>roupes de travail de l'UIT-R ont étudié un certain nombre de questions relatives au</w:t>
            </w:r>
            <w:r w:rsidR="007555A7" w:rsidRPr="00930E5E">
              <w:rPr>
                <w:rFonts w:eastAsiaTheme="minorEastAsia"/>
                <w:bCs/>
                <w:iCs/>
                <w:color w:val="000000"/>
                <w:lang w:eastAsia="ja-JP"/>
              </w:rPr>
              <w:t>x fréquences de l'ordre du</w:t>
            </w:r>
            <w:r w:rsidR="00B20E78" w:rsidRPr="00930E5E">
              <w:rPr>
                <w:rFonts w:eastAsiaTheme="minorEastAsia"/>
                <w:bCs/>
                <w:iCs/>
                <w:color w:val="000000"/>
                <w:lang w:eastAsia="ja-JP"/>
              </w:rPr>
              <w:t xml:space="preserve"> </w:t>
            </w:r>
            <w:r w:rsidR="007D0C5D" w:rsidRPr="00930E5E">
              <w:rPr>
                <w:rFonts w:eastAsiaTheme="minorEastAsia"/>
                <w:bCs/>
                <w:iCs/>
                <w:color w:val="000000"/>
                <w:lang w:eastAsia="ja-JP"/>
              </w:rPr>
              <w:t xml:space="preserve">térahertz </w:t>
            </w:r>
            <w:r w:rsidR="00B20E78" w:rsidRPr="00930E5E">
              <w:rPr>
                <w:rFonts w:eastAsiaTheme="minorEastAsia"/>
                <w:bCs/>
                <w:iCs/>
                <w:color w:val="000000"/>
                <w:lang w:eastAsia="ja-JP"/>
              </w:rPr>
              <w:t xml:space="preserve">en ce qui concerne les services actifs et passifs </w:t>
            </w:r>
            <w:r w:rsidR="0011703B" w:rsidRPr="00930E5E">
              <w:rPr>
                <w:rFonts w:eastAsiaTheme="minorEastAsia"/>
                <w:bCs/>
                <w:iCs/>
                <w:color w:val="000000"/>
                <w:lang w:eastAsia="ja-JP"/>
              </w:rPr>
              <w:t>et ont publié de nombreux Rapports</w:t>
            </w:r>
            <w:r w:rsidR="00EF7B62" w:rsidRPr="00930E5E">
              <w:rPr>
                <w:rFonts w:eastAsiaTheme="minorEastAsia"/>
                <w:bCs/>
                <w:iCs/>
                <w:color w:val="000000"/>
                <w:lang w:eastAsia="ja-JP"/>
              </w:rPr>
              <w:t> </w:t>
            </w:r>
            <w:r w:rsidR="0011703B" w:rsidRPr="00930E5E">
              <w:rPr>
                <w:rFonts w:eastAsiaTheme="minorEastAsia"/>
                <w:bCs/>
                <w:iCs/>
                <w:color w:val="000000"/>
                <w:lang w:eastAsia="ja-JP"/>
              </w:rPr>
              <w:t>UIT</w:t>
            </w:r>
            <w:r w:rsidR="00EF7B62" w:rsidRPr="00930E5E">
              <w:rPr>
                <w:rFonts w:eastAsiaTheme="minorEastAsia"/>
                <w:bCs/>
                <w:iCs/>
                <w:color w:val="000000"/>
                <w:lang w:eastAsia="ja-JP"/>
              </w:rPr>
              <w:noBreakHyphen/>
            </w:r>
            <w:r w:rsidR="00B20E78" w:rsidRPr="00930E5E">
              <w:rPr>
                <w:rFonts w:eastAsiaTheme="minorEastAsia"/>
                <w:bCs/>
                <w:iCs/>
                <w:color w:val="000000"/>
                <w:lang w:eastAsia="ja-JP"/>
              </w:rPr>
              <w:t xml:space="preserve">R </w:t>
            </w:r>
            <w:r w:rsidR="0011703B" w:rsidRPr="00930E5E">
              <w:rPr>
                <w:rFonts w:eastAsiaTheme="minorEastAsia"/>
                <w:bCs/>
                <w:iCs/>
                <w:color w:val="000000"/>
                <w:lang w:eastAsia="ja-JP"/>
              </w:rPr>
              <w:t xml:space="preserve">en vue de fournir des informations sur </w:t>
            </w:r>
            <w:r w:rsidR="007555A7" w:rsidRPr="00930E5E">
              <w:rPr>
                <w:rFonts w:eastAsiaTheme="minorEastAsia"/>
                <w:bCs/>
                <w:iCs/>
                <w:color w:val="000000"/>
                <w:lang w:eastAsia="ja-JP"/>
              </w:rPr>
              <w:t xml:space="preserve">ces fréquences </w:t>
            </w:r>
            <w:r w:rsidR="0011703B" w:rsidRPr="00930E5E">
              <w:rPr>
                <w:rFonts w:eastAsiaTheme="minorEastAsia"/>
                <w:bCs/>
                <w:iCs/>
                <w:color w:val="000000"/>
                <w:lang w:eastAsia="ja-JP"/>
              </w:rPr>
              <w:t>pour le point de l'ordre du jour d'une future CMR compétente</w:t>
            </w:r>
            <w:r w:rsidR="00B20E78" w:rsidRPr="00930E5E">
              <w:rPr>
                <w:rFonts w:eastAsiaTheme="minorEastAsia"/>
                <w:bCs/>
                <w:iCs/>
                <w:color w:val="000000"/>
                <w:lang w:eastAsia="ja-JP"/>
              </w:rPr>
              <w:t>.</w:t>
            </w:r>
          </w:p>
          <w:p w14:paraId="0DBA4A9E" w14:textId="3714BE59" w:rsidR="00B20E78" w:rsidRPr="00930E5E" w:rsidRDefault="0011703B" w:rsidP="00997036">
            <w:pPr>
              <w:rPr>
                <w:rFonts w:eastAsia="MS Mincho"/>
                <w:lang w:eastAsia="ja-JP"/>
              </w:rPr>
            </w:pPr>
            <w:r w:rsidRPr="00930E5E">
              <w:rPr>
                <w:rFonts w:eastAsia="MS Mincho"/>
                <w:lang w:eastAsia="ja-JP"/>
              </w:rPr>
              <w:t>La première norme internationale utilisant la gamme de fréquences</w:t>
            </w:r>
            <w:r w:rsidR="00EF7B62" w:rsidRPr="00930E5E">
              <w:rPr>
                <w:rFonts w:eastAsia="MS Mincho"/>
                <w:lang w:eastAsia="ja-JP"/>
              </w:rPr>
              <w:t> </w:t>
            </w:r>
            <w:r w:rsidR="00B20E78" w:rsidRPr="00930E5E">
              <w:rPr>
                <w:rFonts w:eastAsia="MS Mincho"/>
                <w:lang w:eastAsia="ja-JP"/>
              </w:rPr>
              <w:t>252</w:t>
            </w:r>
            <w:r w:rsidR="00EF7B62" w:rsidRPr="00930E5E">
              <w:rPr>
                <w:rFonts w:eastAsia="MS Mincho"/>
                <w:lang w:eastAsia="ja-JP"/>
              </w:rPr>
              <w:noBreakHyphen/>
            </w:r>
            <w:r w:rsidR="00B20E78" w:rsidRPr="00930E5E">
              <w:rPr>
                <w:rFonts w:eastAsia="MS Mincho"/>
                <w:lang w:eastAsia="ja-JP"/>
              </w:rPr>
              <w:t>325</w:t>
            </w:r>
            <w:r w:rsidR="007D0C5D" w:rsidRPr="00930E5E">
              <w:rPr>
                <w:rFonts w:eastAsia="MS Mincho"/>
                <w:lang w:eastAsia="ja-JP"/>
              </w:rPr>
              <w:t> </w:t>
            </w:r>
            <w:r w:rsidR="00B20E78" w:rsidRPr="00930E5E">
              <w:rPr>
                <w:rFonts w:eastAsia="MS Mincho"/>
                <w:lang w:eastAsia="ja-JP"/>
              </w:rPr>
              <w:t xml:space="preserve">GHz </w:t>
            </w:r>
            <w:r w:rsidRPr="00930E5E">
              <w:rPr>
                <w:rFonts w:eastAsia="MS Mincho"/>
                <w:lang w:eastAsia="ja-JP"/>
              </w:rPr>
              <w:t>a été publiée sous la forme d'une norme</w:t>
            </w:r>
            <w:r w:rsidR="00EF7B62" w:rsidRPr="00930E5E">
              <w:rPr>
                <w:rFonts w:eastAsia="MS Mincho"/>
                <w:lang w:eastAsia="ja-JP"/>
              </w:rPr>
              <w:t> </w:t>
            </w:r>
            <w:r w:rsidR="00B20E78" w:rsidRPr="00930E5E">
              <w:rPr>
                <w:rFonts w:eastAsia="MS Mincho"/>
                <w:lang w:eastAsia="ja-JP"/>
              </w:rPr>
              <w:t>IEEE</w:t>
            </w:r>
            <w:r w:rsidR="00EF7B62" w:rsidRPr="00930E5E">
              <w:rPr>
                <w:rFonts w:eastAsia="MS Mincho"/>
                <w:lang w:eastAsia="ja-JP"/>
              </w:rPr>
              <w:t> </w:t>
            </w:r>
            <w:r w:rsidR="00B20E78" w:rsidRPr="00930E5E">
              <w:rPr>
                <w:rFonts w:eastAsia="MS Mincho"/>
                <w:lang w:eastAsia="ja-JP"/>
              </w:rPr>
              <w:t xml:space="preserve">802 </w:t>
            </w:r>
            <w:r w:rsidRPr="00930E5E">
              <w:rPr>
                <w:rFonts w:eastAsia="MS Mincho"/>
                <w:lang w:eastAsia="ja-JP"/>
              </w:rPr>
              <w:t xml:space="preserve">qui </w:t>
            </w:r>
            <w:r w:rsidR="007D0C5D" w:rsidRPr="00930E5E">
              <w:rPr>
                <w:rFonts w:eastAsia="MS Mincho"/>
                <w:lang w:eastAsia="ja-JP"/>
              </w:rPr>
              <w:t xml:space="preserve">prend en charge les </w:t>
            </w:r>
            <w:r w:rsidRPr="00930E5E">
              <w:rPr>
                <w:rFonts w:eastAsia="MS Mincho"/>
                <w:lang w:eastAsia="ja-JP"/>
              </w:rPr>
              <w:t>systèmes dont les largeurs de bande de canal varient entre</w:t>
            </w:r>
            <w:r w:rsidR="00EF7B62" w:rsidRPr="00930E5E">
              <w:rPr>
                <w:rFonts w:eastAsia="MS Mincho"/>
                <w:lang w:eastAsia="ja-JP"/>
              </w:rPr>
              <w:t> </w:t>
            </w:r>
            <w:r w:rsidR="00B20E78" w:rsidRPr="00930E5E">
              <w:rPr>
                <w:rFonts w:eastAsia="MS Mincho"/>
                <w:lang w:eastAsia="ja-JP"/>
              </w:rPr>
              <w:t>2</w:t>
            </w:r>
            <w:r w:rsidRPr="00930E5E">
              <w:rPr>
                <w:rFonts w:eastAsia="MS Mincho"/>
                <w:lang w:eastAsia="ja-JP"/>
              </w:rPr>
              <w:t>,</w:t>
            </w:r>
            <w:r w:rsidR="00B20E78" w:rsidRPr="00930E5E">
              <w:rPr>
                <w:rFonts w:eastAsia="MS Mincho"/>
                <w:lang w:eastAsia="ja-JP"/>
              </w:rPr>
              <w:t xml:space="preserve">16 GHz </w:t>
            </w:r>
            <w:r w:rsidRPr="00930E5E">
              <w:rPr>
                <w:rFonts w:eastAsia="MS Mincho"/>
                <w:lang w:eastAsia="ja-JP"/>
              </w:rPr>
              <w:t>et</w:t>
            </w:r>
            <w:r w:rsidR="00EF7B62" w:rsidRPr="00930E5E">
              <w:rPr>
                <w:rFonts w:eastAsia="MS Mincho"/>
                <w:lang w:eastAsia="ja-JP"/>
              </w:rPr>
              <w:t> </w:t>
            </w:r>
            <w:r w:rsidR="00B20E78" w:rsidRPr="00930E5E">
              <w:rPr>
                <w:rFonts w:eastAsia="MS Mincho"/>
                <w:lang w:eastAsia="ja-JP"/>
              </w:rPr>
              <w:t>69</w:t>
            </w:r>
            <w:r w:rsidRPr="00930E5E">
              <w:rPr>
                <w:rFonts w:eastAsia="MS Mincho"/>
                <w:lang w:eastAsia="ja-JP"/>
              </w:rPr>
              <w:t>,</w:t>
            </w:r>
            <w:r w:rsidR="00B20E78" w:rsidRPr="00930E5E">
              <w:rPr>
                <w:rFonts w:eastAsia="MS Mincho"/>
                <w:lang w:eastAsia="ja-JP"/>
              </w:rPr>
              <w:t>12</w:t>
            </w:r>
            <w:r w:rsidR="007D0C5D" w:rsidRPr="00930E5E">
              <w:rPr>
                <w:rFonts w:eastAsia="MS Mincho"/>
                <w:lang w:eastAsia="ja-JP"/>
              </w:rPr>
              <w:t> </w:t>
            </w:r>
            <w:r w:rsidR="00B20E78" w:rsidRPr="00930E5E">
              <w:rPr>
                <w:rFonts w:eastAsia="MS Mincho"/>
                <w:lang w:eastAsia="ja-JP"/>
              </w:rPr>
              <w:t xml:space="preserve">GHz. </w:t>
            </w:r>
            <w:r w:rsidR="00320A0C" w:rsidRPr="00930E5E">
              <w:rPr>
                <w:rFonts w:eastAsia="MS Mincho"/>
                <w:lang w:eastAsia="ja-JP"/>
              </w:rPr>
              <w:t xml:space="preserve">Les applications prises en charge par cette norme sont les liaisons hertziennes pour les communications intradispositifs (par exemple, communication de carte à carte), les communications dans l'environnement proche, les centres de données hertziens et les liaisons de raccordement vers l'avant et vers l'arrière, qui correspondent </w:t>
            </w:r>
            <w:r w:rsidR="007D0C5D" w:rsidRPr="00930E5E">
              <w:rPr>
                <w:rFonts w:eastAsia="MS Mincho"/>
                <w:lang w:eastAsia="ja-JP"/>
              </w:rPr>
              <w:t>à</w:t>
            </w:r>
            <w:r w:rsidR="008D1B3E" w:rsidRPr="00930E5E">
              <w:rPr>
                <w:rFonts w:eastAsia="MS Mincho"/>
                <w:lang w:eastAsia="ja-JP"/>
              </w:rPr>
              <w:t> </w:t>
            </w:r>
            <w:r w:rsidR="007D0C5D" w:rsidRPr="00930E5E">
              <w:rPr>
                <w:rFonts w:eastAsia="MS Mincho"/>
                <w:lang w:eastAsia="ja-JP"/>
              </w:rPr>
              <w:t xml:space="preserve">des </w:t>
            </w:r>
            <w:r w:rsidR="00320A0C" w:rsidRPr="00930E5E">
              <w:rPr>
                <w:rFonts w:eastAsia="MS Mincho"/>
                <w:lang w:eastAsia="ja-JP"/>
              </w:rPr>
              <w:t>applications du</w:t>
            </w:r>
            <w:r w:rsidR="00EF7B62" w:rsidRPr="00930E5E">
              <w:rPr>
                <w:rFonts w:eastAsia="MS Mincho"/>
                <w:lang w:eastAsia="ja-JP"/>
              </w:rPr>
              <w:t> </w:t>
            </w:r>
            <w:r w:rsidR="00320A0C" w:rsidRPr="00930E5E">
              <w:rPr>
                <w:rFonts w:eastAsia="MS Mincho"/>
                <w:lang w:eastAsia="ja-JP"/>
              </w:rPr>
              <w:t>SF et du</w:t>
            </w:r>
            <w:r w:rsidR="00EF7B62" w:rsidRPr="00930E5E">
              <w:rPr>
                <w:rFonts w:eastAsia="MS Mincho"/>
                <w:lang w:eastAsia="ja-JP"/>
              </w:rPr>
              <w:t> </w:t>
            </w:r>
            <w:r w:rsidR="00320A0C" w:rsidRPr="00930E5E">
              <w:rPr>
                <w:rFonts w:eastAsia="MS Mincho"/>
                <w:lang w:eastAsia="ja-JP"/>
              </w:rPr>
              <w:t>SM. En raison de l'utilisation à l'échelle mondiale de ces dispositifs dans un avenir proche, il est prévu d'établir le Tableau d'attribution des bandes de fréquences pour la gamme de fréquences</w:t>
            </w:r>
            <w:r w:rsidR="00EF7B62" w:rsidRPr="00930E5E">
              <w:rPr>
                <w:rFonts w:eastAsia="MS Mincho"/>
                <w:lang w:eastAsia="ja-JP"/>
              </w:rPr>
              <w:t> </w:t>
            </w:r>
            <w:r w:rsidR="00320A0C" w:rsidRPr="00930E5E">
              <w:rPr>
                <w:rFonts w:eastAsia="MS Mincho"/>
                <w:lang w:eastAsia="ja-JP"/>
              </w:rPr>
              <w:t>275</w:t>
            </w:r>
            <w:r w:rsidR="00EF7B62" w:rsidRPr="00930E5E">
              <w:rPr>
                <w:rFonts w:eastAsia="MS Mincho"/>
                <w:lang w:eastAsia="ja-JP"/>
              </w:rPr>
              <w:noBreakHyphen/>
            </w:r>
            <w:r w:rsidR="00320A0C" w:rsidRPr="00930E5E">
              <w:rPr>
                <w:rFonts w:eastAsia="MS Mincho"/>
                <w:lang w:eastAsia="ja-JP"/>
              </w:rPr>
              <w:t>325</w:t>
            </w:r>
            <w:r w:rsidR="007D0C5D" w:rsidRPr="00930E5E">
              <w:rPr>
                <w:rFonts w:eastAsia="MS Mincho"/>
                <w:lang w:eastAsia="ja-JP"/>
              </w:rPr>
              <w:t> </w:t>
            </w:r>
            <w:r w:rsidR="00320A0C" w:rsidRPr="00930E5E">
              <w:rPr>
                <w:rFonts w:eastAsia="MS Mincho"/>
                <w:lang w:eastAsia="ja-JP"/>
              </w:rPr>
              <w:t xml:space="preserve">GHz </w:t>
            </w:r>
            <w:r w:rsidR="007555A7" w:rsidRPr="00930E5E">
              <w:rPr>
                <w:rFonts w:eastAsia="MS Mincho"/>
                <w:lang w:eastAsia="ja-JP"/>
              </w:rPr>
              <w:t>pour permettre au</w:t>
            </w:r>
            <w:r w:rsidR="00EF7B62" w:rsidRPr="00930E5E">
              <w:rPr>
                <w:rFonts w:eastAsia="MS Mincho"/>
                <w:lang w:eastAsia="ja-JP"/>
              </w:rPr>
              <w:t> </w:t>
            </w:r>
            <w:r w:rsidR="00320A0C" w:rsidRPr="00930E5E">
              <w:rPr>
                <w:rFonts w:eastAsia="MS Mincho"/>
                <w:lang w:eastAsia="ja-JP"/>
              </w:rPr>
              <w:t xml:space="preserve">SF et </w:t>
            </w:r>
            <w:r w:rsidR="007555A7" w:rsidRPr="00930E5E">
              <w:rPr>
                <w:rFonts w:eastAsia="MS Mincho"/>
                <w:lang w:eastAsia="ja-JP"/>
              </w:rPr>
              <w:t>au</w:t>
            </w:r>
            <w:r w:rsidR="00EF7B62" w:rsidRPr="00930E5E">
              <w:rPr>
                <w:rFonts w:eastAsia="MS Mincho"/>
                <w:lang w:eastAsia="ja-JP"/>
              </w:rPr>
              <w:t> </w:t>
            </w:r>
            <w:r w:rsidR="00320A0C" w:rsidRPr="00930E5E">
              <w:rPr>
                <w:rFonts w:eastAsia="MS Mincho"/>
                <w:lang w:eastAsia="ja-JP"/>
              </w:rPr>
              <w:t xml:space="preserve">SM </w:t>
            </w:r>
            <w:r w:rsidR="007555A7" w:rsidRPr="00930E5E">
              <w:rPr>
                <w:rFonts w:eastAsia="MS Mincho"/>
                <w:lang w:eastAsia="ja-JP"/>
              </w:rPr>
              <w:t xml:space="preserve">de </w:t>
            </w:r>
            <w:r w:rsidR="00320A0C" w:rsidRPr="00930E5E">
              <w:rPr>
                <w:rFonts w:eastAsia="MS Mincho"/>
                <w:lang w:eastAsia="ja-JP"/>
              </w:rPr>
              <w:t>coexiste</w:t>
            </w:r>
            <w:r w:rsidR="007555A7" w:rsidRPr="00930E5E">
              <w:rPr>
                <w:rFonts w:eastAsia="MS Mincho"/>
                <w:lang w:eastAsia="ja-JP"/>
              </w:rPr>
              <w:t>r</w:t>
            </w:r>
            <w:r w:rsidR="00320A0C" w:rsidRPr="00930E5E">
              <w:rPr>
                <w:rFonts w:eastAsia="MS Mincho"/>
                <w:lang w:eastAsia="ja-JP"/>
              </w:rPr>
              <w:t xml:space="preserve"> avec d'autres services actifs et passifs.</w:t>
            </w:r>
          </w:p>
          <w:p w14:paraId="3ECD4533" w14:textId="5D2B5C97" w:rsidR="00B20E78" w:rsidRPr="00930E5E" w:rsidRDefault="007555A7" w:rsidP="00997036">
            <w:r w:rsidRPr="00930E5E">
              <w:rPr>
                <w:lang w:eastAsia="ja-JP"/>
              </w:rPr>
              <w:t xml:space="preserve">Dans </w:t>
            </w:r>
            <w:r w:rsidR="00320A0C" w:rsidRPr="00930E5E">
              <w:rPr>
                <w:lang w:eastAsia="ja-JP"/>
              </w:rPr>
              <w:t>la gamme de fréquences</w:t>
            </w:r>
            <w:r w:rsidR="00EF7B62" w:rsidRPr="00930E5E">
              <w:rPr>
                <w:lang w:eastAsia="ja-JP"/>
              </w:rPr>
              <w:t> </w:t>
            </w:r>
            <w:r w:rsidR="00B20E78" w:rsidRPr="00930E5E">
              <w:rPr>
                <w:lang w:eastAsia="ja-JP"/>
              </w:rPr>
              <w:t>275</w:t>
            </w:r>
            <w:r w:rsidR="00EF7B62" w:rsidRPr="00930E5E">
              <w:rPr>
                <w:lang w:eastAsia="ja-JP"/>
              </w:rPr>
              <w:noBreakHyphen/>
            </w:r>
            <w:r w:rsidR="00B20E78" w:rsidRPr="00930E5E">
              <w:rPr>
                <w:lang w:eastAsia="ja-JP"/>
              </w:rPr>
              <w:t>325</w:t>
            </w:r>
            <w:r w:rsidR="007D0C5D" w:rsidRPr="00930E5E">
              <w:rPr>
                <w:lang w:eastAsia="ja-JP"/>
              </w:rPr>
              <w:t> </w:t>
            </w:r>
            <w:r w:rsidR="00B20E78" w:rsidRPr="00930E5E">
              <w:rPr>
                <w:lang w:eastAsia="ja-JP"/>
              </w:rPr>
              <w:t xml:space="preserve">GHz, </w:t>
            </w:r>
            <w:r w:rsidR="00320A0C" w:rsidRPr="00930E5E">
              <w:rPr>
                <w:rFonts w:eastAsiaTheme="minorEastAsia"/>
                <w:lang w:eastAsia="ja-JP"/>
              </w:rPr>
              <w:t>les bandes de fréquences</w:t>
            </w:r>
            <w:r w:rsidR="00EF7B62" w:rsidRPr="00930E5E">
              <w:rPr>
                <w:rFonts w:eastAsiaTheme="minorEastAsia"/>
                <w:lang w:eastAsia="ja-JP"/>
              </w:rPr>
              <w:t> </w:t>
            </w:r>
            <w:r w:rsidR="00B20E78" w:rsidRPr="00930E5E">
              <w:rPr>
                <w:rFonts w:eastAsiaTheme="minorEastAsia"/>
                <w:lang w:eastAsia="ja-JP"/>
              </w:rPr>
              <w:t>275</w:t>
            </w:r>
            <w:r w:rsidR="00EF7B62" w:rsidRPr="00930E5E">
              <w:rPr>
                <w:rFonts w:eastAsiaTheme="minorEastAsia"/>
                <w:lang w:eastAsia="ja-JP"/>
              </w:rPr>
              <w:noBreakHyphen/>
            </w:r>
            <w:r w:rsidR="00B20E78" w:rsidRPr="00930E5E">
              <w:rPr>
                <w:rFonts w:eastAsiaTheme="minorEastAsia"/>
                <w:lang w:eastAsia="ja-JP"/>
              </w:rPr>
              <w:t>286</w:t>
            </w:r>
            <w:r w:rsidR="007D0C5D" w:rsidRPr="00930E5E">
              <w:rPr>
                <w:rFonts w:eastAsiaTheme="minorEastAsia"/>
                <w:lang w:eastAsia="ja-JP"/>
              </w:rPr>
              <w:t> </w:t>
            </w:r>
            <w:r w:rsidR="00B20E78" w:rsidRPr="00930E5E">
              <w:rPr>
                <w:rFonts w:eastAsiaTheme="minorEastAsia"/>
                <w:lang w:eastAsia="ja-JP"/>
              </w:rPr>
              <w:t>GHz, 296</w:t>
            </w:r>
            <w:r w:rsidR="00EF7B62" w:rsidRPr="00930E5E">
              <w:rPr>
                <w:rFonts w:eastAsiaTheme="minorEastAsia"/>
                <w:lang w:eastAsia="ja-JP"/>
              </w:rPr>
              <w:noBreakHyphen/>
            </w:r>
            <w:r w:rsidR="00B20E78" w:rsidRPr="00930E5E">
              <w:rPr>
                <w:rFonts w:eastAsiaTheme="minorEastAsia"/>
                <w:lang w:eastAsia="ja-JP"/>
              </w:rPr>
              <w:t>306</w:t>
            </w:r>
            <w:r w:rsidR="007D0C5D" w:rsidRPr="00930E5E">
              <w:rPr>
                <w:rFonts w:eastAsiaTheme="minorEastAsia"/>
                <w:lang w:eastAsia="ja-JP"/>
              </w:rPr>
              <w:t> </w:t>
            </w:r>
            <w:r w:rsidR="00B20E78" w:rsidRPr="00930E5E">
              <w:rPr>
                <w:rFonts w:eastAsiaTheme="minorEastAsia"/>
                <w:lang w:eastAsia="ja-JP"/>
              </w:rPr>
              <w:t xml:space="preserve">GHz </w:t>
            </w:r>
            <w:r w:rsidR="00320A0C" w:rsidRPr="00930E5E">
              <w:rPr>
                <w:rFonts w:eastAsiaTheme="minorEastAsia"/>
                <w:lang w:eastAsia="ja-JP"/>
              </w:rPr>
              <w:t xml:space="preserve">et </w:t>
            </w:r>
            <w:r w:rsidR="00B20E78" w:rsidRPr="00930E5E">
              <w:rPr>
                <w:rFonts w:eastAsiaTheme="minorEastAsia"/>
                <w:lang w:eastAsia="ja-JP"/>
              </w:rPr>
              <w:t>313</w:t>
            </w:r>
            <w:r w:rsidR="00EF7B62" w:rsidRPr="00930E5E">
              <w:rPr>
                <w:rFonts w:eastAsiaTheme="minorEastAsia"/>
                <w:lang w:eastAsia="ja-JP"/>
              </w:rPr>
              <w:noBreakHyphen/>
            </w:r>
            <w:r w:rsidR="00B20E78" w:rsidRPr="00930E5E">
              <w:rPr>
                <w:rFonts w:eastAsiaTheme="minorEastAsia"/>
                <w:lang w:eastAsia="ja-JP"/>
              </w:rPr>
              <w:t>325</w:t>
            </w:r>
            <w:r w:rsidR="007D0C5D" w:rsidRPr="00930E5E">
              <w:rPr>
                <w:rFonts w:eastAsiaTheme="minorEastAsia"/>
                <w:lang w:eastAsia="ja-JP"/>
              </w:rPr>
              <w:t> </w:t>
            </w:r>
            <w:r w:rsidR="00B20E78" w:rsidRPr="00930E5E">
              <w:rPr>
                <w:rFonts w:eastAsiaTheme="minorEastAsia"/>
                <w:lang w:eastAsia="ja-JP"/>
              </w:rPr>
              <w:t>(356)</w:t>
            </w:r>
            <w:r w:rsidR="007D0C5D" w:rsidRPr="00930E5E">
              <w:rPr>
                <w:rFonts w:eastAsiaTheme="minorEastAsia"/>
                <w:lang w:eastAsia="ja-JP"/>
              </w:rPr>
              <w:t> </w:t>
            </w:r>
            <w:r w:rsidR="00B20E78" w:rsidRPr="00930E5E">
              <w:rPr>
                <w:rFonts w:eastAsiaTheme="minorEastAsia"/>
                <w:lang w:eastAsia="ja-JP"/>
              </w:rPr>
              <w:t xml:space="preserve">GHz </w:t>
            </w:r>
            <w:r w:rsidR="00320A0C" w:rsidRPr="00930E5E">
              <w:rPr>
                <w:rFonts w:eastAsiaTheme="minorEastAsia"/>
                <w:lang w:eastAsia="ja-JP"/>
              </w:rPr>
              <w:t>sont identifiées en vue de leur utilisation par les administrations pour les applications du</w:t>
            </w:r>
            <w:r w:rsidR="00EF7B62" w:rsidRPr="00930E5E">
              <w:rPr>
                <w:rFonts w:eastAsiaTheme="minorEastAsia"/>
                <w:lang w:eastAsia="ja-JP"/>
              </w:rPr>
              <w:t> </w:t>
            </w:r>
            <w:r w:rsidR="00320A0C" w:rsidRPr="00930E5E">
              <w:rPr>
                <w:rFonts w:eastAsiaTheme="minorEastAsia"/>
                <w:lang w:eastAsia="ja-JP"/>
              </w:rPr>
              <w:t xml:space="preserve">SETS </w:t>
            </w:r>
            <w:r w:rsidR="00B20E78" w:rsidRPr="00930E5E">
              <w:rPr>
                <w:lang w:eastAsia="ja-JP"/>
              </w:rPr>
              <w:t xml:space="preserve">(passive) </w:t>
            </w:r>
            <w:r w:rsidR="00320A0C" w:rsidRPr="00930E5E">
              <w:rPr>
                <w:lang w:eastAsia="ja-JP"/>
              </w:rPr>
              <w:t xml:space="preserve">et du service de recherche spatiale </w:t>
            </w:r>
            <w:r w:rsidR="00B20E78" w:rsidRPr="00930E5E">
              <w:rPr>
                <w:lang w:eastAsia="ja-JP"/>
              </w:rPr>
              <w:t xml:space="preserve">(passive) </w:t>
            </w:r>
            <w:r w:rsidR="00320A0C" w:rsidRPr="00930E5E">
              <w:rPr>
                <w:lang w:eastAsia="ja-JP"/>
              </w:rPr>
              <w:t>et la bande de fréquences</w:t>
            </w:r>
            <w:r w:rsidR="00EF7B62" w:rsidRPr="00930E5E">
              <w:rPr>
                <w:lang w:eastAsia="ja-JP"/>
              </w:rPr>
              <w:t> </w:t>
            </w:r>
            <w:r w:rsidR="00B20E78" w:rsidRPr="00930E5E">
              <w:rPr>
                <w:lang w:eastAsia="ja-JP"/>
              </w:rPr>
              <w:t>275</w:t>
            </w:r>
            <w:r w:rsidR="00EF7B62" w:rsidRPr="00930E5E">
              <w:rPr>
                <w:lang w:eastAsia="ja-JP"/>
              </w:rPr>
              <w:noBreakHyphen/>
            </w:r>
            <w:r w:rsidR="00B20E78" w:rsidRPr="00930E5E">
              <w:rPr>
                <w:lang w:eastAsia="ja-JP"/>
              </w:rPr>
              <w:t>323</w:t>
            </w:r>
            <w:r w:rsidR="007D0C5D" w:rsidRPr="00930E5E">
              <w:rPr>
                <w:lang w:eastAsia="ja-JP"/>
              </w:rPr>
              <w:t> </w:t>
            </w:r>
            <w:r w:rsidR="00B20E78" w:rsidRPr="00930E5E">
              <w:rPr>
                <w:lang w:eastAsia="ja-JP"/>
              </w:rPr>
              <w:t xml:space="preserve">GHz </w:t>
            </w:r>
            <w:r w:rsidR="00320A0C" w:rsidRPr="00930E5E">
              <w:rPr>
                <w:lang w:eastAsia="ja-JP"/>
              </w:rPr>
              <w:t>est identifiée pour les applications du</w:t>
            </w:r>
            <w:r w:rsidR="00EF7B62" w:rsidRPr="00930E5E">
              <w:rPr>
                <w:lang w:eastAsia="ja-JP"/>
              </w:rPr>
              <w:t> </w:t>
            </w:r>
            <w:r w:rsidR="00320A0C" w:rsidRPr="00930E5E">
              <w:rPr>
                <w:lang w:eastAsia="ja-JP"/>
              </w:rPr>
              <w:t xml:space="preserve">SRA </w:t>
            </w:r>
            <w:r w:rsidR="00B20E78" w:rsidRPr="00930E5E">
              <w:rPr>
                <w:lang w:eastAsia="ja-JP"/>
              </w:rPr>
              <w:lastRenderedPageBreak/>
              <w:t>(</w:t>
            </w:r>
            <w:r w:rsidR="00320A0C" w:rsidRPr="00930E5E">
              <w:rPr>
                <w:lang w:eastAsia="ja-JP"/>
              </w:rPr>
              <w:t>voir le numéro</w:t>
            </w:r>
            <w:r w:rsidR="00EF7B62" w:rsidRPr="00930E5E">
              <w:rPr>
                <w:lang w:eastAsia="ja-JP"/>
              </w:rPr>
              <w:t> </w:t>
            </w:r>
            <w:r w:rsidR="00B20E78" w:rsidRPr="00930E5E">
              <w:rPr>
                <w:b/>
                <w:bCs/>
                <w:lang w:eastAsia="ja-JP"/>
              </w:rPr>
              <w:t>5.565</w:t>
            </w:r>
            <w:r w:rsidR="00320A0C" w:rsidRPr="00930E5E">
              <w:rPr>
                <w:lang w:eastAsia="ja-JP"/>
              </w:rPr>
              <w:t xml:space="preserve"> du</w:t>
            </w:r>
            <w:r w:rsidR="00EF7B62" w:rsidRPr="00930E5E">
              <w:rPr>
                <w:lang w:eastAsia="ja-JP"/>
              </w:rPr>
              <w:t> </w:t>
            </w:r>
            <w:r w:rsidR="00320A0C" w:rsidRPr="00930E5E">
              <w:rPr>
                <w:lang w:eastAsia="ja-JP"/>
              </w:rPr>
              <w:t>RR)</w:t>
            </w:r>
            <w:r w:rsidR="00B20E78" w:rsidRPr="00930E5E">
              <w:rPr>
                <w:lang w:eastAsia="ja-JP"/>
              </w:rPr>
              <w:t xml:space="preserve">. </w:t>
            </w:r>
            <w:r w:rsidR="00F43D1D" w:rsidRPr="00930E5E">
              <w:rPr>
                <w:rFonts w:eastAsiaTheme="minorEastAsia"/>
                <w:bCs/>
                <w:iCs/>
                <w:color w:val="000000"/>
                <w:lang w:eastAsia="ja-JP"/>
              </w:rPr>
              <w:t>Les bandes de fréquences</w:t>
            </w:r>
            <w:r w:rsidR="00EF7B62" w:rsidRPr="00930E5E">
              <w:rPr>
                <w:rFonts w:eastAsiaTheme="minorEastAsia"/>
                <w:bCs/>
                <w:iCs/>
                <w:color w:val="000000"/>
                <w:lang w:eastAsia="ja-JP"/>
              </w:rPr>
              <w:t> </w:t>
            </w:r>
            <w:r w:rsidR="00B20E78" w:rsidRPr="00930E5E">
              <w:rPr>
                <w:rFonts w:eastAsiaTheme="minorEastAsia"/>
                <w:bCs/>
                <w:iCs/>
                <w:color w:val="000000"/>
                <w:lang w:eastAsia="ja-JP"/>
              </w:rPr>
              <w:t>275</w:t>
            </w:r>
            <w:r w:rsidR="00EF7B62" w:rsidRPr="00930E5E">
              <w:rPr>
                <w:rFonts w:eastAsiaTheme="minorEastAsia"/>
                <w:bCs/>
                <w:iCs/>
                <w:color w:val="000000"/>
                <w:lang w:eastAsia="ja-JP"/>
              </w:rPr>
              <w:noBreakHyphen/>
            </w:r>
            <w:r w:rsidR="00B20E78" w:rsidRPr="00930E5E">
              <w:rPr>
                <w:rFonts w:eastAsiaTheme="minorEastAsia"/>
                <w:bCs/>
                <w:iCs/>
                <w:color w:val="000000"/>
                <w:lang w:eastAsia="ja-JP"/>
              </w:rPr>
              <w:t>296</w:t>
            </w:r>
            <w:r w:rsidR="00F37BD1" w:rsidRPr="00930E5E">
              <w:rPr>
                <w:rFonts w:eastAsiaTheme="minorEastAsia"/>
                <w:bCs/>
                <w:iCs/>
                <w:color w:val="000000"/>
                <w:lang w:eastAsia="ja-JP"/>
              </w:rPr>
              <w:t> </w:t>
            </w:r>
            <w:r w:rsidR="00B20E78" w:rsidRPr="00930E5E">
              <w:rPr>
                <w:rFonts w:eastAsiaTheme="minorEastAsia"/>
                <w:bCs/>
                <w:iCs/>
                <w:color w:val="000000"/>
                <w:lang w:eastAsia="ja-JP"/>
              </w:rPr>
              <w:t>GHz, 306</w:t>
            </w:r>
            <w:r w:rsidR="00EF7B62" w:rsidRPr="00930E5E">
              <w:rPr>
                <w:rFonts w:eastAsiaTheme="minorEastAsia"/>
                <w:bCs/>
                <w:iCs/>
                <w:color w:val="000000"/>
                <w:lang w:eastAsia="ja-JP"/>
              </w:rPr>
              <w:noBreakHyphen/>
            </w:r>
            <w:r w:rsidR="00B20E78" w:rsidRPr="00930E5E">
              <w:rPr>
                <w:rFonts w:eastAsiaTheme="minorEastAsia"/>
                <w:bCs/>
                <w:iCs/>
                <w:color w:val="000000"/>
                <w:lang w:eastAsia="ja-JP"/>
              </w:rPr>
              <w:t>313</w:t>
            </w:r>
            <w:r w:rsidR="00F37BD1" w:rsidRPr="00930E5E">
              <w:rPr>
                <w:rFonts w:eastAsiaTheme="minorEastAsia"/>
                <w:bCs/>
                <w:iCs/>
                <w:color w:val="000000"/>
                <w:lang w:eastAsia="ja-JP"/>
              </w:rPr>
              <w:t> </w:t>
            </w:r>
            <w:r w:rsidR="00B20E78" w:rsidRPr="00930E5E">
              <w:rPr>
                <w:rFonts w:eastAsiaTheme="minorEastAsia"/>
                <w:bCs/>
                <w:iCs/>
                <w:color w:val="000000"/>
                <w:lang w:eastAsia="ja-JP"/>
              </w:rPr>
              <w:t xml:space="preserve">GHz </w:t>
            </w:r>
            <w:r w:rsidR="00F43D1D" w:rsidRPr="00930E5E">
              <w:rPr>
                <w:rFonts w:eastAsiaTheme="minorEastAsia"/>
                <w:bCs/>
                <w:iCs/>
                <w:color w:val="000000"/>
                <w:lang w:eastAsia="ja-JP"/>
              </w:rPr>
              <w:t>et</w:t>
            </w:r>
            <w:r w:rsidR="008D1B3E" w:rsidRPr="00930E5E">
              <w:rPr>
                <w:rFonts w:eastAsiaTheme="minorEastAsia"/>
                <w:bCs/>
                <w:iCs/>
                <w:color w:val="000000"/>
                <w:lang w:eastAsia="ja-JP"/>
              </w:rPr>
              <w:t> </w:t>
            </w:r>
            <w:r w:rsidR="00B20E78" w:rsidRPr="00930E5E">
              <w:rPr>
                <w:rFonts w:eastAsiaTheme="minorEastAsia"/>
                <w:bCs/>
                <w:iCs/>
                <w:color w:val="000000"/>
                <w:lang w:eastAsia="ja-JP"/>
              </w:rPr>
              <w:t>318</w:t>
            </w:r>
            <w:r w:rsidR="00EF7B62" w:rsidRPr="00930E5E">
              <w:rPr>
                <w:rFonts w:eastAsiaTheme="minorEastAsia"/>
                <w:bCs/>
                <w:iCs/>
                <w:color w:val="000000"/>
                <w:lang w:eastAsia="ja-JP"/>
              </w:rPr>
              <w:noBreakHyphen/>
            </w:r>
            <w:r w:rsidR="00B20E78" w:rsidRPr="00930E5E">
              <w:rPr>
                <w:rFonts w:eastAsiaTheme="minorEastAsia"/>
                <w:bCs/>
                <w:iCs/>
                <w:color w:val="000000"/>
                <w:lang w:eastAsia="ja-JP"/>
              </w:rPr>
              <w:t>325</w:t>
            </w:r>
            <w:r w:rsidR="00F37BD1" w:rsidRPr="00930E5E">
              <w:rPr>
                <w:rFonts w:eastAsiaTheme="minorEastAsia"/>
                <w:bCs/>
                <w:iCs/>
                <w:color w:val="000000"/>
                <w:lang w:eastAsia="ja-JP"/>
              </w:rPr>
              <w:t> </w:t>
            </w:r>
            <w:r w:rsidR="00B20E78" w:rsidRPr="00930E5E">
              <w:rPr>
                <w:rFonts w:eastAsiaTheme="minorEastAsia"/>
                <w:bCs/>
                <w:iCs/>
                <w:color w:val="000000"/>
                <w:lang w:eastAsia="ja-JP"/>
              </w:rPr>
              <w:t>(333)</w:t>
            </w:r>
            <w:r w:rsidR="00F37BD1" w:rsidRPr="00930E5E">
              <w:rPr>
                <w:rFonts w:eastAsiaTheme="minorEastAsia"/>
                <w:bCs/>
                <w:iCs/>
                <w:color w:val="000000"/>
                <w:lang w:eastAsia="ja-JP"/>
              </w:rPr>
              <w:t> </w:t>
            </w:r>
            <w:r w:rsidR="00B20E78" w:rsidRPr="00930E5E">
              <w:rPr>
                <w:rFonts w:eastAsiaTheme="minorEastAsia"/>
                <w:bCs/>
                <w:iCs/>
                <w:color w:val="000000"/>
                <w:lang w:eastAsia="ja-JP"/>
              </w:rPr>
              <w:t xml:space="preserve">GHz </w:t>
            </w:r>
            <w:r w:rsidR="00F43D1D" w:rsidRPr="00930E5E">
              <w:rPr>
                <w:rFonts w:eastAsiaTheme="minorEastAsia"/>
                <w:bCs/>
                <w:iCs/>
                <w:color w:val="000000"/>
                <w:lang w:eastAsia="ja-JP"/>
              </w:rPr>
              <w:t>sont identifiées pour les applications du</w:t>
            </w:r>
            <w:r w:rsidR="00EF7B62" w:rsidRPr="00930E5E">
              <w:rPr>
                <w:rFonts w:eastAsiaTheme="minorEastAsia"/>
                <w:bCs/>
                <w:iCs/>
                <w:color w:val="000000"/>
                <w:lang w:eastAsia="ja-JP"/>
              </w:rPr>
              <w:t> </w:t>
            </w:r>
            <w:r w:rsidR="00F43D1D" w:rsidRPr="00930E5E">
              <w:rPr>
                <w:rFonts w:eastAsiaTheme="minorEastAsia"/>
                <w:bCs/>
                <w:iCs/>
                <w:color w:val="000000"/>
                <w:lang w:eastAsia="ja-JP"/>
              </w:rPr>
              <w:t>SF et du</w:t>
            </w:r>
            <w:r w:rsidR="00EF7B62" w:rsidRPr="00930E5E">
              <w:rPr>
                <w:rFonts w:eastAsiaTheme="minorEastAsia"/>
                <w:bCs/>
                <w:iCs/>
                <w:color w:val="000000"/>
                <w:lang w:eastAsia="ja-JP"/>
              </w:rPr>
              <w:t> </w:t>
            </w:r>
            <w:r w:rsidR="00F43D1D" w:rsidRPr="00930E5E">
              <w:rPr>
                <w:rFonts w:eastAsiaTheme="minorEastAsia"/>
                <w:bCs/>
                <w:iCs/>
                <w:color w:val="000000"/>
                <w:lang w:eastAsia="ja-JP"/>
              </w:rPr>
              <w:t xml:space="preserve">SMT </w:t>
            </w:r>
            <w:r w:rsidR="00B20E78" w:rsidRPr="00930E5E">
              <w:rPr>
                <w:rFonts w:eastAsiaTheme="minorEastAsia"/>
                <w:bCs/>
                <w:iCs/>
                <w:color w:val="000000"/>
                <w:lang w:eastAsia="ja-JP"/>
              </w:rPr>
              <w:t>(</w:t>
            </w:r>
            <w:r w:rsidR="00F43D1D" w:rsidRPr="00930E5E">
              <w:rPr>
                <w:rFonts w:eastAsiaTheme="minorEastAsia"/>
                <w:bCs/>
                <w:iCs/>
                <w:color w:val="000000"/>
                <w:lang w:eastAsia="ja-JP"/>
              </w:rPr>
              <w:t>voir le numéro</w:t>
            </w:r>
            <w:r w:rsidR="00EF7B62" w:rsidRPr="00930E5E">
              <w:rPr>
                <w:rFonts w:eastAsiaTheme="minorEastAsia"/>
                <w:bCs/>
                <w:iCs/>
                <w:color w:val="000000"/>
                <w:lang w:eastAsia="ja-JP"/>
              </w:rPr>
              <w:t> </w:t>
            </w:r>
            <w:r w:rsidR="00B20E78" w:rsidRPr="00930E5E">
              <w:rPr>
                <w:rFonts w:eastAsiaTheme="minorEastAsia"/>
                <w:b/>
                <w:iCs/>
                <w:color w:val="000000"/>
                <w:lang w:eastAsia="ja-JP"/>
              </w:rPr>
              <w:t>5.546A</w:t>
            </w:r>
            <w:r w:rsidR="00F43D1D" w:rsidRPr="00930E5E">
              <w:rPr>
                <w:rFonts w:eastAsiaTheme="minorEastAsia"/>
                <w:bCs/>
                <w:iCs/>
                <w:color w:val="000000"/>
                <w:lang w:eastAsia="ja-JP"/>
              </w:rPr>
              <w:t xml:space="preserve"> du</w:t>
            </w:r>
            <w:r w:rsidR="00EF7B62" w:rsidRPr="00930E5E">
              <w:rPr>
                <w:rFonts w:eastAsiaTheme="minorEastAsia"/>
                <w:bCs/>
                <w:iCs/>
                <w:color w:val="000000"/>
                <w:lang w:eastAsia="ja-JP"/>
              </w:rPr>
              <w:t> </w:t>
            </w:r>
            <w:r w:rsidR="00F43D1D" w:rsidRPr="00930E5E">
              <w:rPr>
                <w:rFonts w:eastAsiaTheme="minorEastAsia"/>
                <w:bCs/>
                <w:iCs/>
                <w:color w:val="000000"/>
                <w:lang w:eastAsia="ja-JP"/>
              </w:rPr>
              <w:t>RR</w:t>
            </w:r>
            <w:r w:rsidR="00B20E78" w:rsidRPr="00930E5E">
              <w:rPr>
                <w:rFonts w:eastAsiaTheme="minorEastAsia"/>
                <w:bCs/>
                <w:iCs/>
                <w:color w:val="000000"/>
                <w:lang w:eastAsia="ja-JP"/>
              </w:rPr>
              <w:t>).</w:t>
            </w:r>
            <w:r w:rsidR="00B20E78" w:rsidRPr="00930E5E">
              <w:rPr>
                <w:lang w:eastAsia="ja-JP"/>
              </w:rPr>
              <w:t xml:space="preserve"> </w:t>
            </w:r>
            <w:r w:rsidR="00CE1F5A" w:rsidRPr="00930E5E">
              <w:rPr>
                <w:lang w:eastAsia="ja-JP"/>
              </w:rPr>
              <w:t xml:space="preserve">Les bandes de fréquences de la gamme de fréquences </w:t>
            </w:r>
            <w:r w:rsidR="00F37BD1" w:rsidRPr="00930E5E">
              <w:rPr>
                <w:lang w:eastAsia="ja-JP"/>
              </w:rPr>
              <w:t xml:space="preserve">en question </w:t>
            </w:r>
            <w:r w:rsidR="00CE1F5A" w:rsidRPr="00930E5E">
              <w:rPr>
                <w:lang w:eastAsia="ja-JP"/>
              </w:rPr>
              <w:t xml:space="preserve">pourraient </w:t>
            </w:r>
            <w:r w:rsidRPr="00930E5E">
              <w:rPr>
                <w:lang w:eastAsia="ja-JP"/>
              </w:rPr>
              <w:t xml:space="preserve">peut-être </w:t>
            </w:r>
            <w:r w:rsidR="00CE1F5A" w:rsidRPr="00930E5E">
              <w:rPr>
                <w:lang w:eastAsia="ja-JP"/>
              </w:rPr>
              <w:t>être identifiées pour les applications du</w:t>
            </w:r>
            <w:r w:rsidR="00EF7B62" w:rsidRPr="00930E5E">
              <w:rPr>
                <w:lang w:eastAsia="ja-JP"/>
              </w:rPr>
              <w:t> </w:t>
            </w:r>
            <w:r w:rsidR="00CE1F5A" w:rsidRPr="00930E5E">
              <w:rPr>
                <w:lang w:eastAsia="ja-JP"/>
              </w:rPr>
              <w:t>SRL si le point</w:t>
            </w:r>
            <w:r w:rsidR="00EF7B62" w:rsidRPr="00930E5E">
              <w:rPr>
                <w:lang w:eastAsia="ja-JP"/>
              </w:rPr>
              <w:t> </w:t>
            </w:r>
            <w:r w:rsidR="00CE1F5A" w:rsidRPr="00930E5E">
              <w:rPr>
                <w:lang w:eastAsia="ja-JP"/>
              </w:rPr>
              <w:t>2.1 de l'ordre du jour de la</w:t>
            </w:r>
            <w:r w:rsidR="00EF7B62" w:rsidRPr="00930E5E">
              <w:rPr>
                <w:lang w:eastAsia="ja-JP"/>
              </w:rPr>
              <w:t> </w:t>
            </w:r>
            <w:r w:rsidR="00CE1F5A" w:rsidRPr="00930E5E">
              <w:rPr>
                <w:lang w:eastAsia="ja-JP"/>
              </w:rPr>
              <w:t>CMR</w:t>
            </w:r>
            <w:r w:rsidR="00EF7B62" w:rsidRPr="00930E5E">
              <w:rPr>
                <w:lang w:eastAsia="ja-JP"/>
              </w:rPr>
              <w:noBreakHyphen/>
            </w:r>
            <w:r w:rsidR="00B20E78" w:rsidRPr="00930E5E">
              <w:rPr>
                <w:lang w:eastAsia="ja-JP"/>
              </w:rPr>
              <w:t xml:space="preserve">27 </w:t>
            </w:r>
            <w:r w:rsidRPr="00930E5E">
              <w:rPr>
                <w:lang w:eastAsia="ja-JP"/>
              </w:rPr>
              <w:t>est</w:t>
            </w:r>
            <w:r w:rsidR="00CE1F5A" w:rsidRPr="00930E5E">
              <w:rPr>
                <w:lang w:eastAsia="ja-JP"/>
              </w:rPr>
              <w:t xml:space="preserve"> approuvé par la</w:t>
            </w:r>
            <w:r w:rsidR="00EF7B62" w:rsidRPr="00930E5E">
              <w:rPr>
                <w:lang w:eastAsia="ja-JP"/>
              </w:rPr>
              <w:t> </w:t>
            </w:r>
            <w:r w:rsidR="00CE1F5A" w:rsidRPr="00930E5E">
              <w:rPr>
                <w:lang w:eastAsia="ja-JP"/>
              </w:rPr>
              <w:t>CMR</w:t>
            </w:r>
            <w:r w:rsidR="00EF7B62" w:rsidRPr="00930E5E">
              <w:rPr>
                <w:lang w:eastAsia="ja-JP"/>
              </w:rPr>
              <w:noBreakHyphen/>
            </w:r>
            <w:r w:rsidR="00B20E78" w:rsidRPr="00930E5E">
              <w:rPr>
                <w:lang w:eastAsia="ja-JP"/>
              </w:rPr>
              <w:t xml:space="preserve">23. </w:t>
            </w:r>
            <w:r w:rsidR="00CE1F5A" w:rsidRPr="00930E5E">
              <w:rPr>
                <w:lang w:eastAsia="ja-JP"/>
              </w:rPr>
              <w:t>L'utilisation dans les renvois du terme</w:t>
            </w:r>
            <w:r w:rsidR="00CE1F5A" w:rsidRPr="00930E5E">
              <w:t xml:space="preserve"> </w:t>
            </w:r>
            <w:r w:rsidR="00DC27F1" w:rsidRPr="00930E5E">
              <w:t>«</w:t>
            </w:r>
            <w:r w:rsidR="00CE1F5A" w:rsidRPr="00930E5E">
              <w:t>identifié</w:t>
            </w:r>
            <w:r w:rsidR="00DC27F1" w:rsidRPr="00930E5E">
              <w:t>»</w:t>
            </w:r>
            <w:r w:rsidR="00CE1F5A" w:rsidRPr="00930E5E">
              <w:t xml:space="preserve"> exprime uniquement l'intérêt </w:t>
            </w:r>
            <w:r w:rsidR="00EC315A" w:rsidRPr="00930E5E">
              <w:t xml:space="preserve">manifesté par </w:t>
            </w:r>
            <w:r w:rsidR="00CE1F5A" w:rsidRPr="00930E5E">
              <w:t xml:space="preserve">certaines </w:t>
            </w:r>
            <w:r w:rsidR="00B20E78" w:rsidRPr="00930E5E">
              <w:t xml:space="preserve">administrations </w:t>
            </w:r>
            <w:r w:rsidR="00EC315A" w:rsidRPr="00930E5E">
              <w:t xml:space="preserve">pour l'utilisation </w:t>
            </w:r>
            <w:r w:rsidR="00CE1F5A" w:rsidRPr="00930E5E">
              <w:t>actuelle</w:t>
            </w:r>
            <w:r w:rsidR="00EC315A" w:rsidRPr="00930E5E">
              <w:t xml:space="preserve"> ou future de</w:t>
            </w:r>
            <w:r w:rsidR="00CE1F5A" w:rsidRPr="00930E5E">
              <w:t xml:space="preserve"> ces bandes de fréquences pour </w:t>
            </w:r>
            <w:r w:rsidR="00EC315A" w:rsidRPr="00930E5E">
              <w:t>c</w:t>
            </w:r>
            <w:r w:rsidR="00CE1F5A" w:rsidRPr="00930E5E">
              <w:t>es applications</w:t>
            </w:r>
            <w:r w:rsidR="00EC315A" w:rsidRPr="00930E5E">
              <w:t xml:space="preserve"> en particulier</w:t>
            </w:r>
            <w:r w:rsidR="00B20E78" w:rsidRPr="00930E5E">
              <w:t xml:space="preserve">. </w:t>
            </w:r>
            <w:r w:rsidR="00CE1F5A" w:rsidRPr="00930E5E">
              <w:t>Afin de protéger les services passifs contre les brouillages préjudiciables caus</w:t>
            </w:r>
            <w:r w:rsidR="00F37BD1" w:rsidRPr="00930E5E">
              <w:t>é</w:t>
            </w:r>
            <w:r w:rsidR="00CE1F5A" w:rsidRPr="00930E5E">
              <w:t xml:space="preserve">s par les services actifs et </w:t>
            </w:r>
            <w:r w:rsidR="007C25FA" w:rsidRPr="00930E5E">
              <w:t>d'</w:t>
            </w:r>
            <w:r w:rsidR="00CE1F5A" w:rsidRPr="00930E5E">
              <w:t>assurer</w:t>
            </w:r>
            <w:r w:rsidR="007C25FA" w:rsidRPr="00930E5E">
              <w:t xml:space="preserve"> la coexistence</w:t>
            </w:r>
            <w:r w:rsidR="00CE1F5A" w:rsidRPr="00930E5E">
              <w:t xml:space="preserve"> </w:t>
            </w:r>
            <w:r w:rsidR="00EC315A" w:rsidRPr="00930E5E">
              <w:t>entre</w:t>
            </w:r>
            <w:r w:rsidR="00CE1F5A" w:rsidRPr="00930E5E">
              <w:t xml:space="preserve"> services actifs</w:t>
            </w:r>
            <w:r w:rsidR="00B20E78" w:rsidRPr="00930E5E">
              <w:t xml:space="preserve">, </w:t>
            </w:r>
            <w:r w:rsidR="00CE1F5A" w:rsidRPr="00930E5E">
              <w:t xml:space="preserve">il </w:t>
            </w:r>
            <w:r w:rsidR="00EC315A" w:rsidRPr="00930E5E">
              <w:t xml:space="preserve">faudrait </w:t>
            </w:r>
            <w:r w:rsidR="00CE1F5A" w:rsidRPr="00930E5E">
              <w:t>attribuer de nouvelles bandes de fréquences aux services mobile et fixe, au service de radioastronomie et au</w:t>
            </w:r>
            <w:r w:rsidR="00C07438" w:rsidRPr="00930E5E">
              <w:t> </w:t>
            </w:r>
            <w:r w:rsidR="00CE1F5A" w:rsidRPr="00930E5E">
              <w:t xml:space="preserve">SETS </w:t>
            </w:r>
            <w:r w:rsidR="00B20E78" w:rsidRPr="00930E5E">
              <w:t xml:space="preserve">(passive) </w:t>
            </w:r>
            <w:r w:rsidR="00CE1F5A" w:rsidRPr="00930E5E">
              <w:t>dans la gamme de fréquences</w:t>
            </w:r>
            <w:r w:rsidR="00C07438" w:rsidRPr="00930E5E">
              <w:t> </w:t>
            </w:r>
            <w:r w:rsidR="00B20E78" w:rsidRPr="00930E5E">
              <w:t>275</w:t>
            </w:r>
            <w:r w:rsidR="00C07438" w:rsidRPr="00930E5E">
              <w:noBreakHyphen/>
            </w:r>
            <w:r w:rsidR="00B20E78" w:rsidRPr="00930E5E">
              <w:t>325</w:t>
            </w:r>
            <w:r w:rsidR="00F37BD1" w:rsidRPr="00930E5E">
              <w:t> </w:t>
            </w:r>
            <w:r w:rsidR="00B20E78" w:rsidRPr="00930E5E">
              <w:t>GHz</w:t>
            </w:r>
            <w:r w:rsidR="00CE1F5A" w:rsidRPr="00930E5E">
              <w:t>, avec la mise à jour en conséquence des numéros</w:t>
            </w:r>
            <w:r w:rsidR="00B20E78" w:rsidRPr="00930E5E">
              <w:t> </w:t>
            </w:r>
            <w:r w:rsidR="00B20E78" w:rsidRPr="00930E5E">
              <w:rPr>
                <w:rFonts w:eastAsia="MS Mincho"/>
                <w:b/>
                <w:bCs/>
                <w:lang w:eastAsia="ja-JP"/>
              </w:rPr>
              <w:t xml:space="preserve">5.138, 5.149, 5.340, 5.564A </w:t>
            </w:r>
            <w:r w:rsidR="00CE1F5A" w:rsidRPr="00930E5E">
              <w:rPr>
                <w:rFonts w:eastAsia="MS Mincho"/>
                <w:lang w:eastAsia="ja-JP"/>
              </w:rPr>
              <w:t>et</w:t>
            </w:r>
            <w:r w:rsidR="00C07438" w:rsidRPr="00930E5E">
              <w:rPr>
                <w:rFonts w:eastAsia="MS Mincho"/>
                <w:lang w:eastAsia="ja-JP"/>
              </w:rPr>
              <w:t> </w:t>
            </w:r>
            <w:r w:rsidR="00B20E78" w:rsidRPr="00930E5E">
              <w:rPr>
                <w:rFonts w:eastAsia="MS Mincho"/>
                <w:b/>
                <w:bCs/>
                <w:lang w:eastAsia="ja-JP"/>
              </w:rPr>
              <w:t>5.565</w:t>
            </w:r>
            <w:r w:rsidR="00CE1F5A" w:rsidRPr="00930E5E">
              <w:rPr>
                <w:rFonts w:eastAsia="MS Mincho"/>
                <w:b/>
                <w:bCs/>
                <w:lang w:eastAsia="ja-JP"/>
              </w:rPr>
              <w:t xml:space="preserve"> </w:t>
            </w:r>
            <w:r w:rsidR="00CE1F5A" w:rsidRPr="00930E5E">
              <w:t>du</w:t>
            </w:r>
            <w:r w:rsidR="00C07438" w:rsidRPr="00930E5E">
              <w:t> </w:t>
            </w:r>
            <w:r w:rsidR="00CE1F5A" w:rsidRPr="00930E5E">
              <w:t>RR</w:t>
            </w:r>
            <w:r w:rsidR="00B20E78" w:rsidRPr="00930E5E">
              <w:t>.</w:t>
            </w:r>
          </w:p>
          <w:p w14:paraId="59B584D1" w14:textId="1F31329C" w:rsidR="00945954" w:rsidRPr="00930E5E" w:rsidRDefault="00CE1F5A" w:rsidP="00C16C4F">
            <w:r w:rsidRPr="00930E5E">
              <w:rPr>
                <w:rFonts w:eastAsiaTheme="minorEastAsia"/>
                <w:bCs/>
                <w:iCs/>
                <w:color w:val="000000"/>
                <w:lang w:eastAsia="ja-JP"/>
              </w:rPr>
              <w:t>Compte tenu de ce qui précède</w:t>
            </w:r>
            <w:r w:rsidR="00B20E78" w:rsidRPr="00930E5E">
              <w:rPr>
                <w:rFonts w:eastAsiaTheme="minorEastAsia"/>
                <w:bCs/>
                <w:iCs/>
                <w:color w:val="000000"/>
                <w:lang w:eastAsia="ja-JP"/>
              </w:rPr>
              <w:t xml:space="preserve">, </w:t>
            </w:r>
            <w:r w:rsidRPr="00930E5E">
              <w:rPr>
                <w:rFonts w:eastAsiaTheme="minorEastAsia"/>
                <w:bCs/>
                <w:iCs/>
                <w:color w:val="000000"/>
                <w:lang w:eastAsia="ja-JP"/>
              </w:rPr>
              <w:t xml:space="preserve">il est par conséquent proposé d'envisager de nouvelles attributions </w:t>
            </w:r>
            <w:r w:rsidRPr="00930E5E">
              <w:t>aux services fixe et mobile, au service de radioastronomie et au</w:t>
            </w:r>
            <w:r w:rsidR="00C07438" w:rsidRPr="00930E5E">
              <w:t> </w:t>
            </w:r>
            <w:r w:rsidRPr="00930E5E">
              <w:t>SETS (passive) à titre primaire dans la gamme de fréquences</w:t>
            </w:r>
            <w:r w:rsidR="00C07438" w:rsidRPr="00930E5E">
              <w:t> </w:t>
            </w:r>
            <w:r w:rsidRPr="00930E5E">
              <w:t>275</w:t>
            </w:r>
            <w:r w:rsidR="00C07438" w:rsidRPr="00930E5E">
              <w:noBreakHyphen/>
            </w:r>
            <w:r w:rsidRPr="00930E5E">
              <w:t>325</w:t>
            </w:r>
            <w:r w:rsidR="00F37BD1" w:rsidRPr="00930E5E">
              <w:t> </w:t>
            </w:r>
            <w:r w:rsidRPr="00930E5E">
              <w:t>GHz dans le Tableau d'attribution des bande</w:t>
            </w:r>
            <w:r w:rsidR="00F37BD1" w:rsidRPr="00930E5E">
              <w:t>s</w:t>
            </w:r>
            <w:r w:rsidRPr="00930E5E">
              <w:t xml:space="preserve"> de fréquences du</w:t>
            </w:r>
            <w:r w:rsidR="00C07438" w:rsidRPr="00930E5E">
              <w:t> </w:t>
            </w:r>
            <w:r w:rsidRPr="00930E5E">
              <w:t>RR, avec la mise à jour en conséquence des numéros </w:t>
            </w:r>
            <w:r w:rsidRPr="00930E5E">
              <w:rPr>
                <w:b/>
                <w:bCs/>
              </w:rPr>
              <w:t>5.138</w:t>
            </w:r>
            <w:r w:rsidRPr="00930E5E">
              <w:t xml:space="preserve">, </w:t>
            </w:r>
            <w:r w:rsidRPr="00930E5E">
              <w:rPr>
                <w:b/>
                <w:bCs/>
              </w:rPr>
              <w:t>5.149</w:t>
            </w:r>
            <w:r w:rsidRPr="00930E5E">
              <w:t xml:space="preserve">, </w:t>
            </w:r>
            <w:r w:rsidRPr="00930E5E">
              <w:rPr>
                <w:b/>
                <w:bCs/>
              </w:rPr>
              <w:t>5.340</w:t>
            </w:r>
            <w:r w:rsidRPr="00930E5E">
              <w:t xml:space="preserve">, </w:t>
            </w:r>
            <w:r w:rsidRPr="00930E5E">
              <w:rPr>
                <w:b/>
                <w:bCs/>
              </w:rPr>
              <w:t>5.564A</w:t>
            </w:r>
            <w:r w:rsidRPr="00930E5E">
              <w:t xml:space="preserve"> et</w:t>
            </w:r>
            <w:r w:rsidR="00C07438" w:rsidRPr="00930E5E">
              <w:t> </w:t>
            </w:r>
            <w:r w:rsidRPr="00930E5E">
              <w:rPr>
                <w:b/>
                <w:bCs/>
              </w:rPr>
              <w:t>5.565</w:t>
            </w:r>
            <w:r w:rsidR="000651C7" w:rsidRPr="00930E5E">
              <w:rPr>
                <w:rFonts w:eastAsiaTheme="minorEastAsia"/>
                <w:bCs/>
                <w:iCs/>
                <w:color w:val="000000"/>
                <w:lang w:eastAsia="ja-JP"/>
              </w:rPr>
              <w:t xml:space="preserve"> du</w:t>
            </w:r>
            <w:r w:rsidR="00C07438" w:rsidRPr="00930E5E">
              <w:rPr>
                <w:rFonts w:eastAsiaTheme="minorEastAsia"/>
                <w:bCs/>
                <w:iCs/>
                <w:color w:val="000000"/>
                <w:lang w:eastAsia="ja-JP"/>
              </w:rPr>
              <w:t> </w:t>
            </w:r>
            <w:r w:rsidR="00B20E78" w:rsidRPr="00930E5E">
              <w:rPr>
                <w:rFonts w:eastAsiaTheme="minorEastAsia"/>
                <w:bCs/>
                <w:iCs/>
                <w:color w:val="000000"/>
                <w:lang w:eastAsia="ja-JP"/>
              </w:rPr>
              <w:t>RR.</w:t>
            </w:r>
          </w:p>
        </w:tc>
      </w:tr>
      <w:tr w:rsidR="00945954" w:rsidRPr="00930E5E" w14:paraId="25270D4A" w14:textId="77777777" w:rsidTr="004B7413">
        <w:tc>
          <w:tcPr>
            <w:tcW w:w="9629" w:type="dxa"/>
            <w:gridSpan w:val="2"/>
          </w:tcPr>
          <w:p w14:paraId="10A60E8E" w14:textId="77777777" w:rsidR="00945954" w:rsidRPr="00930E5E" w:rsidRDefault="00D760C7" w:rsidP="00997036">
            <w:pPr>
              <w:rPr>
                <w:b/>
                <w:bCs/>
              </w:rPr>
            </w:pPr>
            <w:r w:rsidRPr="00930E5E">
              <w:rPr>
                <w:b/>
                <w:bCs/>
                <w:i/>
                <w:iCs/>
              </w:rPr>
              <w:lastRenderedPageBreak/>
              <w:t>Services de radiocommunication concernés</w:t>
            </w:r>
            <w:r w:rsidRPr="00930E5E">
              <w:rPr>
                <w:b/>
                <w:bCs/>
              </w:rPr>
              <w:t>:</w:t>
            </w:r>
          </w:p>
          <w:p w14:paraId="573847CB" w14:textId="14916F19" w:rsidR="00D760C7" w:rsidRPr="00930E5E" w:rsidRDefault="004F17DB" w:rsidP="00997036">
            <w:r w:rsidRPr="00930E5E">
              <w:rPr>
                <w:rFonts w:eastAsiaTheme="minorEastAsia"/>
                <w:bCs/>
                <w:iCs/>
                <w:lang w:eastAsia="ja-JP"/>
              </w:rPr>
              <w:t>Certaines bandes de fréquences sont identifiées dans la gamme de fréquences</w:t>
            </w:r>
            <w:r w:rsidR="00C07438" w:rsidRPr="00930E5E">
              <w:rPr>
                <w:rFonts w:eastAsiaTheme="minorEastAsia"/>
                <w:bCs/>
                <w:iCs/>
                <w:lang w:eastAsia="ja-JP"/>
              </w:rPr>
              <w:t> </w:t>
            </w:r>
            <w:r w:rsidRPr="00930E5E">
              <w:rPr>
                <w:rFonts w:eastAsiaTheme="minorEastAsia"/>
                <w:bCs/>
                <w:iCs/>
                <w:lang w:eastAsia="ja-JP"/>
              </w:rPr>
              <w:t>275</w:t>
            </w:r>
            <w:r w:rsidR="00C07438" w:rsidRPr="00930E5E">
              <w:rPr>
                <w:rFonts w:eastAsiaTheme="minorEastAsia"/>
                <w:bCs/>
                <w:iCs/>
                <w:lang w:eastAsia="ja-JP"/>
              </w:rPr>
              <w:noBreakHyphen/>
            </w:r>
            <w:r w:rsidRPr="00930E5E">
              <w:rPr>
                <w:rFonts w:eastAsiaTheme="minorEastAsia"/>
                <w:bCs/>
                <w:iCs/>
                <w:lang w:eastAsia="ja-JP"/>
              </w:rPr>
              <w:t>325</w:t>
            </w:r>
            <w:r w:rsidR="00F37BD1" w:rsidRPr="00930E5E">
              <w:rPr>
                <w:rFonts w:eastAsiaTheme="minorEastAsia"/>
                <w:bCs/>
                <w:iCs/>
                <w:lang w:eastAsia="ja-JP"/>
              </w:rPr>
              <w:t> </w:t>
            </w:r>
            <w:r w:rsidRPr="00930E5E">
              <w:rPr>
                <w:rFonts w:eastAsiaTheme="minorEastAsia"/>
                <w:bCs/>
                <w:iCs/>
                <w:lang w:eastAsia="ja-JP"/>
              </w:rPr>
              <w:t>GHz en vue de leur utilisation par les administrations pour les applications du</w:t>
            </w:r>
            <w:r w:rsidR="00C07438" w:rsidRPr="00930E5E">
              <w:rPr>
                <w:rFonts w:eastAsiaTheme="minorEastAsia"/>
                <w:bCs/>
                <w:iCs/>
                <w:lang w:eastAsia="ja-JP"/>
              </w:rPr>
              <w:t> </w:t>
            </w:r>
            <w:r w:rsidRPr="00930E5E">
              <w:rPr>
                <w:rFonts w:eastAsiaTheme="minorEastAsia"/>
                <w:bCs/>
                <w:iCs/>
                <w:lang w:eastAsia="ja-JP"/>
              </w:rPr>
              <w:t>SMT, du</w:t>
            </w:r>
            <w:r w:rsidR="00C07438" w:rsidRPr="00930E5E">
              <w:rPr>
                <w:rFonts w:eastAsiaTheme="minorEastAsia"/>
                <w:bCs/>
                <w:iCs/>
                <w:lang w:eastAsia="ja-JP"/>
              </w:rPr>
              <w:t> </w:t>
            </w:r>
            <w:r w:rsidRPr="00930E5E">
              <w:rPr>
                <w:rFonts w:eastAsiaTheme="minorEastAsia"/>
                <w:bCs/>
                <w:iCs/>
                <w:lang w:eastAsia="ja-JP"/>
              </w:rPr>
              <w:t>SF, du</w:t>
            </w:r>
            <w:r w:rsidR="00C07438" w:rsidRPr="00930E5E">
              <w:rPr>
                <w:rFonts w:eastAsiaTheme="minorEastAsia"/>
                <w:bCs/>
                <w:iCs/>
                <w:lang w:eastAsia="ja-JP"/>
              </w:rPr>
              <w:t> </w:t>
            </w:r>
            <w:r w:rsidRPr="00930E5E">
              <w:rPr>
                <w:rFonts w:eastAsiaTheme="minorEastAsia"/>
                <w:bCs/>
                <w:iCs/>
                <w:lang w:eastAsia="ja-JP"/>
              </w:rPr>
              <w:t>SRA et du</w:t>
            </w:r>
            <w:r w:rsidR="00C07438" w:rsidRPr="00930E5E">
              <w:rPr>
                <w:rFonts w:eastAsiaTheme="minorEastAsia"/>
                <w:bCs/>
                <w:iCs/>
                <w:lang w:eastAsia="ja-JP"/>
              </w:rPr>
              <w:t> </w:t>
            </w:r>
            <w:r w:rsidRPr="00930E5E">
              <w:rPr>
                <w:rFonts w:eastAsiaTheme="minorEastAsia"/>
                <w:bCs/>
                <w:iCs/>
                <w:lang w:eastAsia="ja-JP"/>
              </w:rPr>
              <w:t>SETS (passive).</w:t>
            </w:r>
          </w:p>
        </w:tc>
      </w:tr>
      <w:tr w:rsidR="00945954" w:rsidRPr="00930E5E" w14:paraId="3769F59C" w14:textId="77777777" w:rsidTr="004B7413">
        <w:tc>
          <w:tcPr>
            <w:tcW w:w="9629" w:type="dxa"/>
            <w:gridSpan w:val="2"/>
          </w:tcPr>
          <w:p w14:paraId="080EAF40" w14:textId="77777777" w:rsidR="00D760C7" w:rsidRPr="00930E5E" w:rsidRDefault="00D760C7" w:rsidP="00997036">
            <w:r w:rsidRPr="00930E5E">
              <w:rPr>
                <w:b/>
                <w:bCs/>
                <w:i/>
                <w:iCs/>
              </w:rPr>
              <w:t>Indication des difficultés éventuelles</w:t>
            </w:r>
            <w:r w:rsidRPr="00930E5E">
              <w:rPr>
                <w:b/>
                <w:bCs/>
              </w:rPr>
              <w:t>:</w:t>
            </w:r>
          </w:p>
          <w:p w14:paraId="328F1D76" w14:textId="3470C9A8" w:rsidR="00945954" w:rsidRPr="00930E5E" w:rsidRDefault="004F17DB" w:rsidP="00997036">
            <w:r w:rsidRPr="00930E5E">
              <w:rPr>
                <w:rFonts w:eastAsiaTheme="minorEastAsia"/>
                <w:bCs/>
                <w:iCs/>
                <w:lang w:eastAsia="ja-JP"/>
              </w:rPr>
              <w:t xml:space="preserve">Études de partage et de compatibilité entre services actifs et services passifs et études </w:t>
            </w:r>
            <w:r w:rsidR="00EC315A" w:rsidRPr="00930E5E">
              <w:rPr>
                <w:rFonts w:eastAsiaTheme="minorEastAsia"/>
                <w:bCs/>
                <w:iCs/>
                <w:lang w:eastAsia="ja-JP"/>
              </w:rPr>
              <w:t xml:space="preserve">sur la </w:t>
            </w:r>
            <w:r w:rsidRPr="00930E5E">
              <w:rPr>
                <w:rFonts w:eastAsiaTheme="minorEastAsia"/>
                <w:bCs/>
                <w:iCs/>
                <w:lang w:eastAsia="ja-JP"/>
              </w:rPr>
              <w:t xml:space="preserve">coexistence </w:t>
            </w:r>
            <w:r w:rsidR="00EC315A" w:rsidRPr="00930E5E">
              <w:rPr>
                <w:rFonts w:eastAsiaTheme="minorEastAsia"/>
                <w:bCs/>
                <w:iCs/>
                <w:lang w:eastAsia="ja-JP"/>
              </w:rPr>
              <w:t xml:space="preserve">entre </w:t>
            </w:r>
            <w:r w:rsidRPr="00930E5E">
              <w:rPr>
                <w:rFonts w:eastAsiaTheme="minorEastAsia"/>
                <w:bCs/>
                <w:iCs/>
                <w:lang w:eastAsia="ja-JP"/>
              </w:rPr>
              <w:t>services actifs.</w:t>
            </w:r>
          </w:p>
        </w:tc>
      </w:tr>
      <w:tr w:rsidR="00945954" w:rsidRPr="00930E5E" w14:paraId="087A8040" w14:textId="77777777" w:rsidTr="004B7413">
        <w:tc>
          <w:tcPr>
            <w:tcW w:w="9629" w:type="dxa"/>
            <w:gridSpan w:val="2"/>
          </w:tcPr>
          <w:p w14:paraId="1E82E2EF" w14:textId="77777777" w:rsidR="00D760C7" w:rsidRPr="00930E5E" w:rsidRDefault="00D760C7" w:rsidP="00997036">
            <w:r w:rsidRPr="00930E5E">
              <w:rPr>
                <w:b/>
                <w:bCs/>
                <w:i/>
                <w:iCs/>
              </w:rPr>
              <w:t>Études précédentes ou en cours sur la question</w:t>
            </w:r>
            <w:r w:rsidRPr="00930E5E">
              <w:rPr>
                <w:b/>
                <w:bCs/>
              </w:rPr>
              <w:t>:</w:t>
            </w:r>
          </w:p>
          <w:p w14:paraId="2A4C55F7" w14:textId="7880FEF6" w:rsidR="004F17DB" w:rsidRPr="00930E5E" w:rsidRDefault="004F17DB" w:rsidP="00997036">
            <w:pPr>
              <w:keepNext/>
              <w:spacing w:after="50"/>
              <w:rPr>
                <w:rFonts w:eastAsiaTheme="minorEastAsia"/>
                <w:bCs/>
                <w:iCs/>
                <w:lang w:eastAsia="ja-JP"/>
              </w:rPr>
            </w:pPr>
            <w:r w:rsidRPr="00930E5E">
              <w:t>Recommandations UIT-R</w:t>
            </w:r>
            <w:r w:rsidRPr="00930E5E">
              <w:rPr>
                <w:rFonts w:eastAsia="MS Mincho"/>
                <w:lang w:eastAsia="ja-JP"/>
              </w:rPr>
              <w:t xml:space="preserve"> F.699, RA.314, RA.769 et </w:t>
            </w:r>
            <w:r w:rsidRPr="00930E5E">
              <w:t>RS.2017</w:t>
            </w:r>
          </w:p>
          <w:p w14:paraId="5D14F7FD" w14:textId="485F77C8" w:rsidR="00945954" w:rsidRPr="00930E5E" w:rsidRDefault="004F17DB" w:rsidP="00997036">
            <w:r w:rsidRPr="00930E5E">
              <w:rPr>
                <w:rFonts w:eastAsiaTheme="minorEastAsia"/>
                <w:bCs/>
                <w:iCs/>
                <w:lang w:eastAsia="ja-JP"/>
              </w:rPr>
              <w:t xml:space="preserve">Rapports UIT-R F.2416, M.2417, M.2516, M.2517, </w:t>
            </w:r>
            <w:r w:rsidRPr="00930E5E">
              <w:rPr>
                <w:rFonts w:eastAsia="MS Mincho"/>
                <w:lang w:eastAsia="ja-JP"/>
              </w:rPr>
              <w:t xml:space="preserve">RA.2189, RS.2194, RS.2431, </w:t>
            </w:r>
            <w:r w:rsidRPr="00930E5E">
              <w:rPr>
                <w:rFonts w:eastAsiaTheme="minorEastAsia"/>
                <w:bCs/>
                <w:iCs/>
                <w:lang w:eastAsia="ja-JP"/>
              </w:rPr>
              <w:t xml:space="preserve">SM.2352, SM.2450, </w:t>
            </w:r>
            <w:r w:rsidRPr="00930E5E">
              <w:rPr>
                <w:rFonts w:eastAsia="MS Mincho"/>
                <w:lang w:eastAsia="ja-JP"/>
              </w:rPr>
              <w:t>M.[IMT.ABOVE 100 GHz]</w:t>
            </w:r>
          </w:p>
        </w:tc>
      </w:tr>
      <w:tr w:rsidR="00945954" w:rsidRPr="00930E5E" w14:paraId="3A5586F6" w14:textId="77777777" w:rsidTr="004B7413">
        <w:tc>
          <w:tcPr>
            <w:tcW w:w="4814" w:type="dxa"/>
          </w:tcPr>
          <w:p w14:paraId="42F84DF0" w14:textId="77777777" w:rsidR="00945954" w:rsidRPr="00930E5E" w:rsidRDefault="00D760C7" w:rsidP="00997036">
            <w:pPr>
              <w:rPr>
                <w:b/>
                <w:bCs/>
              </w:rPr>
            </w:pPr>
            <w:r w:rsidRPr="00930E5E">
              <w:rPr>
                <w:b/>
                <w:bCs/>
                <w:i/>
                <w:iCs/>
              </w:rPr>
              <w:t>Études devant être réalisées par</w:t>
            </w:r>
            <w:r w:rsidRPr="00930E5E">
              <w:rPr>
                <w:b/>
                <w:bCs/>
              </w:rPr>
              <w:t>:</w:t>
            </w:r>
          </w:p>
          <w:p w14:paraId="6DCDF967" w14:textId="73444167" w:rsidR="00D760C7" w:rsidRPr="00930E5E" w:rsidRDefault="004F17DB" w:rsidP="00997036">
            <w:r w:rsidRPr="00930E5E">
              <w:t>GT</w:t>
            </w:r>
            <w:r w:rsidR="00F37BD1" w:rsidRPr="00930E5E">
              <w:t> </w:t>
            </w:r>
            <w:r w:rsidRPr="00930E5E">
              <w:t>1A de l'UIT-R</w:t>
            </w:r>
          </w:p>
        </w:tc>
        <w:tc>
          <w:tcPr>
            <w:tcW w:w="4815" w:type="dxa"/>
          </w:tcPr>
          <w:p w14:paraId="7CF6AE20" w14:textId="77777777" w:rsidR="00945954" w:rsidRPr="00930E5E" w:rsidRDefault="00D760C7" w:rsidP="00997036">
            <w:pPr>
              <w:rPr>
                <w:b/>
                <w:bCs/>
              </w:rPr>
            </w:pPr>
            <w:r w:rsidRPr="00930E5E">
              <w:rPr>
                <w:b/>
                <w:bCs/>
                <w:i/>
                <w:iCs/>
              </w:rPr>
              <w:t>avec la participation de</w:t>
            </w:r>
            <w:r w:rsidRPr="00930E5E">
              <w:rPr>
                <w:b/>
                <w:bCs/>
              </w:rPr>
              <w:t>:</w:t>
            </w:r>
          </w:p>
          <w:p w14:paraId="11E5DCD5" w14:textId="79F03588" w:rsidR="00D760C7" w:rsidRPr="00930E5E" w:rsidRDefault="004F17DB" w:rsidP="00997036">
            <w:r w:rsidRPr="00930E5E">
              <w:t>Administrations et Membres du Secteur de l'UIT-R</w:t>
            </w:r>
          </w:p>
        </w:tc>
      </w:tr>
      <w:tr w:rsidR="00945954" w:rsidRPr="00930E5E" w14:paraId="65E12881" w14:textId="77777777" w:rsidTr="004B7413">
        <w:tc>
          <w:tcPr>
            <w:tcW w:w="9629" w:type="dxa"/>
            <w:gridSpan w:val="2"/>
          </w:tcPr>
          <w:p w14:paraId="109CE2EA" w14:textId="77777777" w:rsidR="00945954" w:rsidRPr="00930E5E" w:rsidRDefault="00D760C7" w:rsidP="00997036">
            <w:pPr>
              <w:rPr>
                <w:b/>
                <w:bCs/>
              </w:rPr>
            </w:pPr>
            <w:r w:rsidRPr="00930E5E">
              <w:rPr>
                <w:b/>
                <w:bCs/>
                <w:i/>
                <w:iCs/>
              </w:rPr>
              <w:t>Commissions d'études de l'UIT-R concernées</w:t>
            </w:r>
            <w:r w:rsidRPr="00930E5E">
              <w:rPr>
                <w:b/>
                <w:bCs/>
              </w:rPr>
              <w:t>:</w:t>
            </w:r>
          </w:p>
          <w:p w14:paraId="233FE92D" w14:textId="5E75EA38" w:rsidR="00D760C7" w:rsidRPr="00930E5E" w:rsidRDefault="004F17DB" w:rsidP="00997036">
            <w:r w:rsidRPr="00930E5E">
              <w:t>CE</w:t>
            </w:r>
            <w:r w:rsidR="00F37BD1" w:rsidRPr="00930E5E">
              <w:t> </w:t>
            </w:r>
            <w:r w:rsidRPr="00930E5E">
              <w:t>3, CE</w:t>
            </w:r>
            <w:r w:rsidR="00F37BD1" w:rsidRPr="00930E5E">
              <w:t> </w:t>
            </w:r>
            <w:r w:rsidRPr="00930E5E">
              <w:t>5 et CE</w:t>
            </w:r>
            <w:r w:rsidR="00F37BD1" w:rsidRPr="00930E5E">
              <w:t> </w:t>
            </w:r>
            <w:r w:rsidRPr="00930E5E">
              <w:t>7</w:t>
            </w:r>
          </w:p>
        </w:tc>
      </w:tr>
      <w:tr w:rsidR="00945954" w:rsidRPr="00930E5E" w14:paraId="5030B857" w14:textId="77777777" w:rsidTr="004B7413">
        <w:tc>
          <w:tcPr>
            <w:tcW w:w="9629" w:type="dxa"/>
            <w:gridSpan w:val="2"/>
            <w:tcBorders>
              <w:bottom w:val="single" w:sz="4" w:space="0" w:color="auto"/>
            </w:tcBorders>
          </w:tcPr>
          <w:p w14:paraId="162DA055" w14:textId="77777777" w:rsidR="0084231B" w:rsidRPr="00930E5E" w:rsidRDefault="0084231B" w:rsidP="00C16C4F">
            <w:r w:rsidRPr="00930E5E">
              <w:rPr>
                <w:b/>
                <w:bCs/>
                <w:i/>
                <w:iCs/>
              </w:rPr>
              <w:t>Répercussions au niveau des ressources de l'UIT, y compris incidences financières</w:t>
            </w:r>
            <w:r w:rsidRPr="00930E5E">
              <w:rPr>
                <w:b/>
                <w:bCs/>
                <w:i/>
                <w:iCs/>
              </w:rPr>
              <w:br/>
              <w:t>(voir le numéro 126 de la Convention)</w:t>
            </w:r>
            <w:r w:rsidRPr="00930E5E">
              <w:rPr>
                <w:b/>
                <w:bCs/>
              </w:rPr>
              <w:t>:</w:t>
            </w:r>
          </w:p>
          <w:p w14:paraId="056D610C" w14:textId="4F4B7A68" w:rsidR="00945954" w:rsidRPr="00930E5E" w:rsidRDefault="0084231B" w:rsidP="00C16C4F">
            <w:r w:rsidRPr="00930E5E">
              <w:rPr>
                <w:bCs/>
                <w:iCs/>
              </w:rPr>
              <w:t>Ce point de l'ordre du jour sera étudié dans le cadre des procédures normales et du budget associé de l'UIT-R.</w:t>
            </w:r>
            <w:r w:rsidR="004F17DB" w:rsidRPr="00930E5E">
              <w:rPr>
                <w:bCs/>
                <w:iCs/>
              </w:rPr>
              <w:t xml:space="preserve"> Aucun surcoût n'est prévu.</w:t>
            </w:r>
          </w:p>
        </w:tc>
      </w:tr>
      <w:tr w:rsidR="00945954" w:rsidRPr="00930E5E" w14:paraId="0AEAB618" w14:textId="77777777" w:rsidTr="004B7413">
        <w:tc>
          <w:tcPr>
            <w:tcW w:w="4814" w:type="dxa"/>
            <w:tcBorders>
              <w:top w:val="single" w:sz="4" w:space="0" w:color="auto"/>
              <w:bottom w:val="single" w:sz="4" w:space="0" w:color="auto"/>
              <w:right w:val="nil"/>
            </w:tcBorders>
          </w:tcPr>
          <w:p w14:paraId="61274FB0" w14:textId="5F6D2297" w:rsidR="00D760C7" w:rsidRPr="00930E5E" w:rsidRDefault="00D760C7" w:rsidP="00997036">
            <w:pPr>
              <w:rPr>
                <w:b/>
                <w:bCs/>
              </w:rPr>
            </w:pPr>
            <w:r w:rsidRPr="00930E5E">
              <w:rPr>
                <w:b/>
                <w:bCs/>
                <w:i/>
                <w:iCs/>
              </w:rPr>
              <w:t>Proposition régionale commune</w:t>
            </w:r>
            <w:r w:rsidRPr="00930E5E">
              <w:rPr>
                <w:b/>
                <w:bCs/>
              </w:rPr>
              <w:t>:</w:t>
            </w:r>
            <w:r w:rsidR="004F17DB" w:rsidRPr="00930E5E">
              <w:t xml:space="preserve"> Oui/Non</w:t>
            </w:r>
          </w:p>
        </w:tc>
        <w:tc>
          <w:tcPr>
            <w:tcW w:w="4815" w:type="dxa"/>
            <w:tcBorders>
              <w:top w:val="single" w:sz="4" w:space="0" w:color="auto"/>
              <w:left w:val="nil"/>
              <w:bottom w:val="single" w:sz="4" w:space="0" w:color="auto"/>
            </w:tcBorders>
          </w:tcPr>
          <w:p w14:paraId="7ACC2F67" w14:textId="408106C9" w:rsidR="00945954" w:rsidRPr="00930E5E" w:rsidRDefault="00D760C7" w:rsidP="00997036">
            <w:pPr>
              <w:rPr>
                <w:b/>
                <w:bCs/>
              </w:rPr>
            </w:pPr>
            <w:r w:rsidRPr="00930E5E">
              <w:rPr>
                <w:b/>
                <w:bCs/>
                <w:i/>
                <w:iCs/>
              </w:rPr>
              <w:t>Proposition soumise par plusieurs pays</w:t>
            </w:r>
            <w:r w:rsidRPr="00930E5E">
              <w:rPr>
                <w:b/>
                <w:bCs/>
              </w:rPr>
              <w:t>:</w:t>
            </w:r>
            <w:r w:rsidR="004F17DB" w:rsidRPr="00930E5E">
              <w:t xml:space="preserve"> Oui/Non</w:t>
            </w:r>
          </w:p>
          <w:p w14:paraId="3C28F924" w14:textId="372CDF93" w:rsidR="00D760C7" w:rsidRPr="00930E5E" w:rsidRDefault="00D760C7" w:rsidP="00997036">
            <w:pPr>
              <w:rPr>
                <w:b/>
                <w:bCs/>
              </w:rPr>
            </w:pPr>
            <w:r w:rsidRPr="00930E5E">
              <w:rPr>
                <w:b/>
                <w:bCs/>
                <w:i/>
                <w:iCs/>
              </w:rPr>
              <w:t>Nombre de pays</w:t>
            </w:r>
            <w:r w:rsidRPr="00930E5E">
              <w:rPr>
                <w:b/>
                <w:bCs/>
              </w:rPr>
              <w:t>:</w:t>
            </w:r>
            <w:r w:rsidR="00E819B2" w:rsidRPr="00930E5E">
              <w:t xml:space="preserve"> </w:t>
            </w:r>
            <w:r w:rsidR="004F17DB" w:rsidRPr="00930E5E">
              <w:t>À déterminer</w:t>
            </w:r>
          </w:p>
        </w:tc>
      </w:tr>
      <w:tr w:rsidR="00945954" w:rsidRPr="00930E5E" w14:paraId="7D14BC37" w14:textId="77777777" w:rsidTr="004B7413">
        <w:tc>
          <w:tcPr>
            <w:tcW w:w="9629" w:type="dxa"/>
            <w:gridSpan w:val="2"/>
            <w:tcBorders>
              <w:top w:val="single" w:sz="4" w:space="0" w:color="auto"/>
            </w:tcBorders>
          </w:tcPr>
          <w:p w14:paraId="336D2442" w14:textId="244AFBBE" w:rsidR="001820CE" w:rsidRPr="00930E5E" w:rsidRDefault="00C16C4F" w:rsidP="00997036">
            <w:pPr>
              <w:rPr>
                <w:b/>
                <w:bCs/>
                <w:i/>
                <w:iCs/>
              </w:rPr>
            </w:pPr>
            <w:r w:rsidRPr="00930E5E">
              <w:rPr>
                <w:b/>
                <w:bCs/>
                <w:i/>
                <w:iCs/>
              </w:rPr>
              <w:t>Observations</w:t>
            </w:r>
          </w:p>
        </w:tc>
      </w:tr>
    </w:tbl>
    <w:p w14:paraId="5A168FC7" w14:textId="7420A7ED" w:rsidR="004B7413" w:rsidRPr="00930E5E" w:rsidRDefault="004B7413" w:rsidP="00997036">
      <w:pPr>
        <w:jc w:val="center"/>
      </w:pPr>
      <w:r w:rsidRPr="00930E5E">
        <w:t>______________</w:t>
      </w:r>
    </w:p>
    <w:sectPr w:rsidR="004B7413" w:rsidRPr="00930E5E">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9F07" w14:textId="77777777" w:rsidR="00D61214" w:rsidRPr="005B2E4D" w:rsidRDefault="00D61214">
      <w:r w:rsidRPr="005B2E4D">
        <w:separator/>
      </w:r>
    </w:p>
  </w:endnote>
  <w:endnote w:type="continuationSeparator" w:id="0">
    <w:p w14:paraId="55280EAE" w14:textId="77777777" w:rsidR="00D61214" w:rsidRPr="005B2E4D" w:rsidRDefault="00D61214">
      <w:r w:rsidRPr="005B2E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1DAF" w14:textId="1548A244" w:rsidR="00936D25" w:rsidRPr="005B2E4D" w:rsidRDefault="00EC315A">
    <w:fldSimple w:instr=" FILENAME \p  \* MERGEFORMAT ">
      <w:r w:rsidR="00BB1D82" w:rsidRPr="005B2E4D">
        <w:t>Document1</w:t>
      </w:r>
    </w:fldSimple>
    <w:r w:rsidR="00936D25" w:rsidRPr="005B2E4D">
      <w:tab/>
    </w:r>
    <w:r w:rsidR="00936D25" w:rsidRPr="005B2E4D">
      <w:fldChar w:fldCharType="begin"/>
    </w:r>
    <w:r w:rsidR="00936D25" w:rsidRPr="005B2E4D">
      <w:instrText xml:space="preserve"> SAVEDATE \@ DD.MM.YY </w:instrText>
    </w:r>
    <w:r w:rsidR="00936D25" w:rsidRPr="005B2E4D">
      <w:fldChar w:fldCharType="separate"/>
    </w:r>
    <w:r w:rsidR="008D1B3E">
      <w:rPr>
        <w:noProof/>
      </w:rPr>
      <w:t>27.10.23</w:t>
    </w:r>
    <w:r w:rsidR="00936D25" w:rsidRPr="005B2E4D">
      <w:fldChar w:fldCharType="end"/>
    </w:r>
    <w:r w:rsidR="00936D25" w:rsidRPr="005B2E4D">
      <w:tab/>
    </w:r>
    <w:r w:rsidR="00936D25" w:rsidRPr="005B2E4D">
      <w:fldChar w:fldCharType="begin"/>
    </w:r>
    <w:r w:rsidR="00936D25" w:rsidRPr="005B2E4D">
      <w:instrText xml:space="preserve"> PRINTDATE \@ DD.MM.YY </w:instrText>
    </w:r>
    <w:r w:rsidR="00936D25" w:rsidRPr="005B2E4D">
      <w:fldChar w:fldCharType="separate"/>
    </w:r>
    <w:r w:rsidR="00BB1D82" w:rsidRPr="005B2E4D">
      <w:t>05.06.03</w:t>
    </w:r>
    <w:r w:rsidR="00936D25" w:rsidRPr="005B2E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5F26" w14:textId="74F20897" w:rsidR="00936D25" w:rsidRPr="008D1B3E" w:rsidRDefault="00936D25" w:rsidP="007B2C34">
    <w:pPr>
      <w:pStyle w:val="Footer"/>
      <w:rPr>
        <w:noProof w:val="0"/>
        <w:lang w:val="en-GB"/>
      </w:rPr>
    </w:pPr>
    <w:r w:rsidRPr="005B2E4D">
      <w:rPr>
        <w:noProof w:val="0"/>
      </w:rPr>
      <w:fldChar w:fldCharType="begin"/>
    </w:r>
    <w:r w:rsidRPr="008D1B3E">
      <w:rPr>
        <w:noProof w:val="0"/>
        <w:lang w:val="en-GB"/>
      </w:rPr>
      <w:instrText xml:space="preserve"> FILENAME \p  \* MERGEFORMAT </w:instrText>
    </w:r>
    <w:r w:rsidRPr="005B2E4D">
      <w:rPr>
        <w:noProof w:val="0"/>
      </w:rPr>
      <w:fldChar w:fldCharType="separate"/>
    </w:r>
    <w:r w:rsidR="009F61BE">
      <w:rPr>
        <w:lang w:val="en-GB"/>
      </w:rPr>
      <w:t>P:\FRA\ITU-R\CONF-R\CMR23\000\062ADD27ADD06F.docx</w:t>
    </w:r>
    <w:r w:rsidRPr="005B2E4D">
      <w:rPr>
        <w:noProof w:val="0"/>
      </w:rPr>
      <w:fldChar w:fldCharType="end"/>
    </w:r>
    <w:r w:rsidR="004B7413" w:rsidRPr="008D1B3E">
      <w:rPr>
        <w:noProof w:val="0"/>
        <w:lang w:val="en-GB"/>
      </w:rPr>
      <w:t xml:space="preserve"> (</w:t>
    </w:r>
    <w:r w:rsidR="00D1436F" w:rsidRPr="008D1B3E">
      <w:rPr>
        <w:lang w:val="en-GB"/>
      </w:rPr>
      <w:t>528992</w:t>
    </w:r>
    <w:r w:rsidR="004B7413" w:rsidRPr="008D1B3E">
      <w:rPr>
        <w:noProof w:val="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9B4B" w14:textId="62AD982F" w:rsidR="00936D25" w:rsidRPr="008D1B3E" w:rsidRDefault="00D1436F" w:rsidP="00D1436F">
    <w:pPr>
      <w:pStyle w:val="Footer"/>
      <w:rPr>
        <w:noProof w:val="0"/>
        <w:lang w:val="en-GB"/>
      </w:rPr>
    </w:pPr>
    <w:r w:rsidRPr="005B2E4D">
      <w:rPr>
        <w:noProof w:val="0"/>
      </w:rPr>
      <w:fldChar w:fldCharType="begin"/>
    </w:r>
    <w:r w:rsidRPr="008D1B3E">
      <w:rPr>
        <w:noProof w:val="0"/>
        <w:lang w:val="en-GB"/>
      </w:rPr>
      <w:instrText xml:space="preserve"> FILENAME \p  \* MERGEFORMAT </w:instrText>
    </w:r>
    <w:r w:rsidRPr="005B2E4D">
      <w:rPr>
        <w:noProof w:val="0"/>
      </w:rPr>
      <w:fldChar w:fldCharType="separate"/>
    </w:r>
    <w:r w:rsidR="009F61BE">
      <w:rPr>
        <w:lang w:val="en-GB"/>
      </w:rPr>
      <w:t>P:\FRA\ITU-R\CONF-R\CMR23\000\062ADD27ADD06F.docx</w:t>
    </w:r>
    <w:r w:rsidRPr="005B2E4D">
      <w:rPr>
        <w:noProof w:val="0"/>
      </w:rPr>
      <w:fldChar w:fldCharType="end"/>
    </w:r>
    <w:r w:rsidRPr="008D1B3E">
      <w:rPr>
        <w:noProof w:val="0"/>
        <w:lang w:val="en-GB"/>
      </w:rPr>
      <w:t xml:space="preserve"> (</w:t>
    </w:r>
    <w:r w:rsidRPr="008D1B3E">
      <w:rPr>
        <w:lang w:val="en-GB"/>
      </w:rPr>
      <w:t>528992</w:t>
    </w:r>
    <w:r w:rsidRPr="008D1B3E">
      <w:rPr>
        <w:noProof w:val="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BB1B" w14:textId="77777777" w:rsidR="00D61214" w:rsidRPr="005B2E4D" w:rsidRDefault="00D61214">
      <w:r w:rsidRPr="005B2E4D">
        <w:rPr>
          <w:b/>
        </w:rPr>
        <w:t>_______________</w:t>
      </w:r>
    </w:p>
  </w:footnote>
  <w:footnote w:type="continuationSeparator" w:id="0">
    <w:p w14:paraId="648D4400" w14:textId="77777777" w:rsidR="00D61214" w:rsidRPr="005B2E4D" w:rsidRDefault="00D61214">
      <w:r w:rsidRPr="005B2E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4C27" w14:textId="77777777" w:rsidR="004F1F8E" w:rsidRPr="005B2E4D" w:rsidRDefault="004F1F8E" w:rsidP="004F1F8E">
    <w:pPr>
      <w:pStyle w:val="Header"/>
    </w:pPr>
    <w:r w:rsidRPr="005B2E4D">
      <w:fldChar w:fldCharType="begin"/>
    </w:r>
    <w:r w:rsidRPr="005B2E4D">
      <w:instrText xml:space="preserve"> PAGE </w:instrText>
    </w:r>
    <w:r w:rsidRPr="005B2E4D">
      <w:fldChar w:fldCharType="separate"/>
    </w:r>
    <w:r w:rsidR="007B2C34" w:rsidRPr="005B2E4D">
      <w:t>2</w:t>
    </w:r>
    <w:r w:rsidRPr="005B2E4D">
      <w:fldChar w:fldCharType="end"/>
    </w:r>
  </w:p>
  <w:p w14:paraId="1B475820" w14:textId="77777777" w:rsidR="004F1F8E" w:rsidRPr="005B2E4D" w:rsidRDefault="00225CF2" w:rsidP="00FD7AA3">
    <w:pPr>
      <w:pStyle w:val="Header"/>
    </w:pPr>
    <w:r w:rsidRPr="005B2E4D">
      <w:t>WRC</w:t>
    </w:r>
    <w:r w:rsidR="00D3426F" w:rsidRPr="005B2E4D">
      <w:t>23</w:t>
    </w:r>
    <w:r w:rsidR="004F1F8E" w:rsidRPr="005B2E4D">
      <w:t>/</w:t>
    </w:r>
    <w:r w:rsidR="006A4B45" w:rsidRPr="005B2E4D">
      <w:t>62(Add.27)(Add.6)-</w:t>
    </w:r>
    <w:r w:rsidR="00010B43" w:rsidRPr="005B2E4D">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98079610">
    <w:abstractNumId w:val="0"/>
  </w:num>
  <w:num w:numId="2" w16cid:durableId="6737217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51C7"/>
    <w:rsid w:val="00080E2C"/>
    <w:rsid w:val="00081366"/>
    <w:rsid w:val="000863B3"/>
    <w:rsid w:val="000A4755"/>
    <w:rsid w:val="000A55AE"/>
    <w:rsid w:val="000A637C"/>
    <w:rsid w:val="000B2E0C"/>
    <w:rsid w:val="000B3D0C"/>
    <w:rsid w:val="000D1654"/>
    <w:rsid w:val="001167B9"/>
    <w:rsid w:val="0011703B"/>
    <w:rsid w:val="001267A0"/>
    <w:rsid w:val="0013449E"/>
    <w:rsid w:val="0015203F"/>
    <w:rsid w:val="00160C64"/>
    <w:rsid w:val="0018169B"/>
    <w:rsid w:val="001820CE"/>
    <w:rsid w:val="0019352B"/>
    <w:rsid w:val="001960D0"/>
    <w:rsid w:val="001A11F6"/>
    <w:rsid w:val="001F17E8"/>
    <w:rsid w:val="00200AB0"/>
    <w:rsid w:val="00204306"/>
    <w:rsid w:val="00225CF2"/>
    <w:rsid w:val="00232FD2"/>
    <w:rsid w:val="00260CC5"/>
    <w:rsid w:val="0026554E"/>
    <w:rsid w:val="002A4622"/>
    <w:rsid w:val="002A6F8F"/>
    <w:rsid w:val="002B17E5"/>
    <w:rsid w:val="002C0EBF"/>
    <w:rsid w:val="002C28A4"/>
    <w:rsid w:val="002D7E0A"/>
    <w:rsid w:val="00315AFE"/>
    <w:rsid w:val="00317C78"/>
    <w:rsid w:val="00320A0C"/>
    <w:rsid w:val="003411F6"/>
    <w:rsid w:val="003606A6"/>
    <w:rsid w:val="0036650C"/>
    <w:rsid w:val="003762F3"/>
    <w:rsid w:val="00393501"/>
    <w:rsid w:val="00393ACD"/>
    <w:rsid w:val="003A583E"/>
    <w:rsid w:val="003E112B"/>
    <w:rsid w:val="003E1D1C"/>
    <w:rsid w:val="003E7B05"/>
    <w:rsid w:val="003F3719"/>
    <w:rsid w:val="003F4FEF"/>
    <w:rsid w:val="003F6F2D"/>
    <w:rsid w:val="00466211"/>
    <w:rsid w:val="00483196"/>
    <w:rsid w:val="004834A9"/>
    <w:rsid w:val="004B7413"/>
    <w:rsid w:val="004D01FC"/>
    <w:rsid w:val="004E28C3"/>
    <w:rsid w:val="004F17DB"/>
    <w:rsid w:val="004F1F8E"/>
    <w:rsid w:val="00510D71"/>
    <w:rsid w:val="00512A32"/>
    <w:rsid w:val="005343DA"/>
    <w:rsid w:val="00557C7D"/>
    <w:rsid w:val="00560874"/>
    <w:rsid w:val="005627E9"/>
    <w:rsid w:val="00567A18"/>
    <w:rsid w:val="005810DF"/>
    <w:rsid w:val="00586CF2"/>
    <w:rsid w:val="00594B92"/>
    <w:rsid w:val="005A4E96"/>
    <w:rsid w:val="005A7C75"/>
    <w:rsid w:val="005B2E4D"/>
    <w:rsid w:val="005C3768"/>
    <w:rsid w:val="005C6C3F"/>
    <w:rsid w:val="005E02CF"/>
    <w:rsid w:val="005E76BC"/>
    <w:rsid w:val="00613635"/>
    <w:rsid w:val="0062093D"/>
    <w:rsid w:val="00637ECF"/>
    <w:rsid w:val="006421D5"/>
    <w:rsid w:val="006466D2"/>
    <w:rsid w:val="00647B59"/>
    <w:rsid w:val="00681F33"/>
    <w:rsid w:val="00690C7B"/>
    <w:rsid w:val="00691357"/>
    <w:rsid w:val="006A4B45"/>
    <w:rsid w:val="006D4724"/>
    <w:rsid w:val="006F5FA2"/>
    <w:rsid w:val="006F68CC"/>
    <w:rsid w:val="0070076C"/>
    <w:rsid w:val="00701BAE"/>
    <w:rsid w:val="00721F04"/>
    <w:rsid w:val="00730E95"/>
    <w:rsid w:val="007426B9"/>
    <w:rsid w:val="007555A7"/>
    <w:rsid w:val="0075573F"/>
    <w:rsid w:val="00764342"/>
    <w:rsid w:val="00774362"/>
    <w:rsid w:val="007748CE"/>
    <w:rsid w:val="00786598"/>
    <w:rsid w:val="00790C74"/>
    <w:rsid w:val="007A04E8"/>
    <w:rsid w:val="007B2C34"/>
    <w:rsid w:val="007C25FA"/>
    <w:rsid w:val="007D0C5D"/>
    <w:rsid w:val="007D4CD0"/>
    <w:rsid w:val="007F282B"/>
    <w:rsid w:val="008046E5"/>
    <w:rsid w:val="00805568"/>
    <w:rsid w:val="00830086"/>
    <w:rsid w:val="0084231B"/>
    <w:rsid w:val="00850BFC"/>
    <w:rsid w:val="00851625"/>
    <w:rsid w:val="00863C0A"/>
    <w:rsid w:val="008A3120"/>
    <w:rsid w:val="008A4B97"/>
    <w:rsid w:val="008C5B8E"/>
    <w:rsid w:val="008C5DD5"/>
    <w:rsid w:val="008C7123"/>
    <w:rsid w:val="008D1B3E"/>
    <w:rsid w:val="008D41BE"/>
    <w:rsid w:val="008D58D3"/>
    <w:rsid w:val="008D7B51"/>
    <w:rsid w:val="008E3BC9"/>
    <w:rsid w:val="008E3D22"/>
    <w:rsid w:val="008E6B91"/>
    <w:rsid w:val="0091065C"/>
    <w:rsid w:val="00923064"/>
    <w:rsid w:val="00930E5E"/>
    <w:rsid w:val="00930FFD"/>
    <w:rsid w:val="00936D25"/>
    <w:rsid w:val="00941EA5"/>
    <w:rsid w:val="00944205"/>
    <w:rsid w:val="00945954"/>
    <w:rsid w:val="00964700"/>
    <w:rsid w:val="00966C16"/>
    <w:rsid w:val="0098732F"/>
    <w:rsid w:val="00997036"/>
    <w:rsid w:val="009A045F"/>
    <w:rsid w:val="009A6A2B"/>
    <w:rsid w:val="009C7E7C"/>
    <w:rsid w:val="009F61BE"/>
    <w:rsid w:val="00A00473"/>
    <w:rsid w:val="00A03C9B"/>
    <w:rsid w:val="00A37105"/>
    <w:rsid w:val="00A606C3"/>
    <w:rsid w:val="00A83B09"/>
    <w:rsid w:val="00A84541"/>
    <w:rsid w:val="00AE36A0"/>
    <w:rsid w:val="00B00294"/>
    <w:rsid w:val="00B20E78"/>
    <w:rsid w:val="00B3749C"/>
    <w:rsid w:val="00B64FD0"/>
    <w:rsid w:val="00BA5BD0"/>
    <w:rsid w:val="00BB1D82"/>
    <w:rsid w:val="00BB68E5"/>
    <w:rsid w:val="00BC1EA0"/>
    <w:rsid w:val="00BC217E"/>
    <w:rsid w:val="00BD51C5"/>
    <w:rsid w:val="00BF26E7"/>
    <w:rsid w:val="00C07438"/>
    <w:rsid w:val="00C1305F"/>
    <w:rsid w:val="00C16C4F"/>
    <w:rsid w:val="00C53FCA"/>
    <w:rsid w:val="00C5498C"/>
    <w:rsid w:val="00C71DEB"/>
    <w:rsid w:val="00C76BAF"/>
    <w:rsid w:val="00C814B9"/>
    <w:rsid w:val="00CB685A"/>
    <w:rsid w:val="00CC7B02"/>
    <w:rsid w:val="00CD0D40"/>
    <w:rsid w:val="00CD516F"/>
    <w:rsid w:val="00CE1F5A"/>
    <w:rsid w:val="00D119A7"/>
    <w:rsid w:val="00D1436F"/>
    <w:rsid w:val="00D25FBA"/>
    <w:rsid w:val="00D32B28"/>
    <w:rsid w:val="00D3426F"/>
    <w:rsid w:val="00D42954"/>
    <w:rsid w:val="00D50704"/>
    <w:rsid w:val="00D61214"/>
    <w:rsid w:val="00D66EAC"/>
    <w:rsid w:val="00D730DF"/>
    <w:rsid w:val="00D760C7"/>
    <w:rsid w:val="00D772F0"/>
    <w:rsid w:val="00D77BDC"/>
    <w:rsid w:val="00D809E8"/>
    <w:rsid w:val="00DC27F1"/>
    <w:rsid w:val="00DC402B"/>
    <w:rsid w:val="00DE0932"/>
    <w:rsid w:val="00DF15E8"/>
    <w:rsid w:val="00E03A27"/>
    <w:rsid w:val="00E049F1"/>
    <w:rsid w:val="00E35E90"/>
    <w:rsid w:val="00E37A25"/>
    <w:rsid w:val="00E537FF"/>
    <w:rsid w:val="00E60CB2"/>
    <w:rsid w:val="00E6539B"/>
    <w:rsid w:val="00E70A31"/>
    <w:rsid w:val="00E723A7"/>
    <w:rsid w:val="00E819B2"/>
    <w:rsid w:val="00EA3F38"/>
    <w:rsid w:val="00EA5AB6"/>
    <w:rsid w:val="00EC315A"/>
    <w:rsid w:val="00EC7615"/>
    <w:rsid w:val="00ED16AA"/>
    <w:rsid w:val="00ED6B8D"/>
    <w:rsid w:val="00EE3D7B"/>
    <w:rsid w:val="00EF298E"/>
    <w:rsid w:val="00EF662E"/>
    <w:rsid w:val="00EF7B62"/>
    <w:rsid w:val="00F05920"/>
    <w:rsid w:val="00F10064"/>
    <w:rsid w:val="00F1326F"/>
    <w:rsid w:val="00F148F1"/>
    <w:rsid w:val="00F37BD1"/>
    <w:rsid w:val="00F40FC1"/>
    <w:rsid w:val="00F43D1D"/>
    <w:rsid w:val="00F469FB"/>
    <w:rsid w:val="00F711A7"/>
    <w:rsid w:val="00FA3BBF"/>
    <w:rsid w:val="00FB301A"/>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22DF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5A4E96"/>
  </w:style>
  <w:style w:type="paragraph" w:customStyle="1" w:styleId="normalafter">
    <w:name w:val="normal after"/>
    <w:basedOn w:val="Normal"/>
    <w:rsid w:val="005A4E96"/>
  </w:style>
  <w:style w:type="character" w:styleId="CommentReference">
    <w:name w:val="annotation reference"/>
    <w:basedOn w:val="DefaultParagraphFont"/>
    <w:semiHidden/>
    <w:unhideWhenUsed/>
    <w:rsid w:val="006F68CC"/>
    <w:rPr>
      <w:sz w:val="16"/>
      <w:szCs w:val="16"/>
    </w:rPr>
  </w:style>
  <w:style w:type="paragraph" w:styleId="CommentText">
    <w:name w:val="annotation text"/>
    <w:basedOn w:val="Normal"/>
    <w:link w:val="CommentTextChar"/>
    <w:unhideWhenUsed/>
    <w:rsid w:val="006F68CC"/>
    <w:rPr>
      <w:sz w:val="20"/>
    </w:rPr>
  </w:style>
  <w:style w:type="character" w:customStyle="1" w:styleId="CommentTextChar">
    <w:name w:val="Comment Text Char"/>
    <w:basedOn w:val="DefaultParagraphFont"/>
    <w:link w:val="CommentText"/>
    <w:rsid w:val="006F68C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F68CC"/>
    <w:rPr>
      <w:b/>
      <w:bCs/>
    </w:rPr>
  </w:style>
  <w:style w:type="character" w:customStyle="1" w:styleId="CommentSubjectChar">
    <w:name w:val="Comment Subject Char"/>
    <w:basedOn w:val="CommentTextChar"/>
    <w:link w:val="CommentSubject"/>
    <w:semiHidden/>
    <w:rsid w:val="006F68CC"/>
    <w:rPr>
      <w:rFonts w:ascii="Times New Roman" w:hAnsi="Times New Roman"/>
      <w:b/>
      <w:bCs/>
      <w:lang w:val="fr-FR" w:eastAsia="en-US"/>
    </w:rPr>
  </w:style>
  <w:style w:type="paragraph" w:styleId="Revision">
    <w:name w:val="Revision"/>
    <w:hidden/>
    <w:uiPriority w:val="99"/>
    <w:semiHidden/>
    <w:rsid w:val="006F68CC"/>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642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73879">
      <w:bodyDiv w:val="1"/>
      <w:marLeft w:val="0"/>
      <w:marRight w:val="0"/>
      <w:marTop w:val="0"/>
      <w:marBottom w:val="0"/>
      <w:divBdr>
        <w:top w:val="none" w:sz="0" w:space="0" w:color="auto"/>
        <w:left w:val="none" w:sz="0" w:space="0" w:color="auto"/>
        <w:bottom w:val="none" w:sz="0" w:space="0" w:color="auto"/>
        <w:right w:val="none" w:sz="0" w:space="0" w:color="auto"/>
      </w:divBdr>
    </w:div>
    <w:div w:id="837696745">
      <w:bodyDiv w:val="1"/>
      <w:marLeft w:val="60"/>
      <w:marRight w:val="60"/>
      <w:marTop w:val="60"/>
      <w:marBottom w:val="60"/>
      <w:divBdr>
        <w:top w:val="none" w:sz="0" w:space="0" w:color="auto"/>
        <w:left w:val="none" w:sz="0" w:space="0" w:color="auto"/>
        <w:bottom w:val="none" w:sz="0" w:space="0" w:color="auto"/>
        <w:right w:val="none" w:sz="0" w:space="0" w:color="auto"/>
      </w:divBdr>
      <w:divsChild>
        <w:div w:id="83917173">
          <w:marLeft w:val="0"/>
          <w:marRight w:val="0"/>
          <w:marTop w:val="0"/>
          <w:marBottom w:val="0"/>
          <w:divBdr>
            <w:top w:val="none" w:sz="0" w:space="0" w:color="auto"/>
            <w:left w:val="none" w:sz="0" w:space="0" w:color="auto"/>
            <w:bottom w:val="none" w:sz="0" w:space="0" w:color="auto"/>
            <w:right w:val="none" w:sz="0" w:space="0" w:color="auto"/>
          </w:divBdr>
        </w:div>
      </w:divsChild>
    </w:div>
    <w:div w:id="967853627">
      <w:bodyDiv w:val="1"/>
      <w:marLeft w:val="0"/>
      <w:marRight w:val="0"/>
      <w:marTop w:val="0"/>
      <w:marBottom w:val="0"/>
      <w:divBdr>
        <w:top w:val="none" w:sz="0" w:space="0" w:color="auto"/>
        <w:left w:val="none" w:sz="0" w:space="0" w:color="auto"/>
        <w:bottom w:val="none" w:sz="0" w:space="0" w:color="auto"/>
        <w:right w:val="none" w:sz="0" w:space="0" w:color="auto"/>
      </w:divBdr>
    </w:div>
    <w:div w:id="11263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E7F08D6-315B-4E25-B180-6444F1AE5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93CB8-54AC-4986-9B16-2B98728C3BFC}">
  <ds:schemaRefs>
    <ds:schemaRef ds:uri="http://schemas.openxmlformats.org/officeDocument/2006/bibliography"/>
  </ds:schemaRefs>
</ds:datastoreItem>
</file>

<file path=customXml/itemProps4.xml><?xml version="1.0" encoding="utf-8"?>
<ds:datastoreItem xmlns:ds="http://schemas.openxmlformats.org/officeDocument/2006/customXml" ds:itemID="{95D41842-A9B2-4B11-94A3-D8A6C5B0754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351E0BB-85E6-4C56-AC10-80838DA8C3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2482</Words>
  <Characters>13404</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R23-WRC23-C-0062!A27-A6!MSW-F</vt:lpstr>
      <vt:lpstr>R23-WRC23-C-0062!A27-A6!MSW-F</vt:lpstr>
    </vt:vector>
  </TitlesOfParts>
  <Manager>Secrétariat général - Pool</Manager>
  <Company>Union internationale des télécommunications (UIT)</Company>
  <LinksUpToDate>false</LinksUpToDate>
  <CharactersWithSpaces>15855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R23-WRC23-C-0062!A27-A6!MSW-F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2023-10-27T08:20:00Z</dcterms:created>
  <dcterms:modified xsi:type="dcterms:W3CDTF">2023-10-30T10:34:00Z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