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2F7B805C" w14:textId="77777777" w:rsidTr="00F467B6">
        <w:trPr>
          <w:cantSplit/>
        </w:trPr>
        <w:tc>
          <w:tcPr>
            <w:tcW w:w="1560" w:type="dxa"/>
            <w:vAlign w:val="center"/>
          </w:tcPr>
          <w:p w14:paraId="5B08E122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7A64A73" wp14:editId="7182F90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EB1C89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56930A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898D79D" wp14:editId="2A9479E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B880ADC" w14:textId="77777777" w:rsidTr="003711CF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2FF8042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58C4A8A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CBD57DD" w14:textId="77777777" w:rsidTr="003711CF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D153FC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33BEB4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78BF376" w14:textId="77777777" w:rsidTr="003711CF">
        <w:trPr>
          <w:cantSplit/>
          <w:trHeight w:val="23"/>
        </w:trPr>
        <w:tc>
          <w:tcPr>
            <w:tcW w:w="6804" w:type="dxa"/>
            <w:gridSpan w:val="2"/>
          </w:tcPr>
          <w:p w14:paraId="26E069B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0A436BD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229225F" w14:textId="77777777" w:rsidTr="003711CF">
        <w:trPr>
          <w:cantSplit/>
          <w:trHeight w:val="23"/>
        </w:trPr>
        <w:tc>
          <w:tcPr>
            <w:tcW w:w="6804" w:type="dxa"/>
            <w:gridSpan w:val="2"/>
          </w:tcPr>
          <w:p w14:paraId="2F07DB1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5B6D10C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2DDFC5A" w14:textId="77777777" w:rsidTr="003711CF">
        <w:trPr>
          <w:cantSplit/>
          <w:trHeight w:val="23"/>
        </w:trPr>
        <w:tc>
          <w:tcPr>
            <w:tcW w:w="6804" w:type="dxa"/>
            <w:gridSpan w:val="2"/>
          </w:tcPr>
          <w:p w14:paraId="7F1850F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62E6948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5ECBB0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926F0B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72CE69A" w14:textId="77777777">
        <w:trPr>
          <w:cantSplit/>
        </w:trPr>
        <w:tc>
          <w:tcPr>
            <w:tcW w:w="10031" w:type="dxa"/>
            <w:gridSpan w:val="4"/>
          </w:tcPr>
          <w:p w14:paraId="25CEBCC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C17077" w14:paraId="6C62FB4F" w14:textId="77777777">
        <w:trPr>
          <w:cantSplit/>
        </w:trPr>
        <w:tc>
          <w:tcPr>
            <w:tcW w:w="10031" w:type="dxa"/>
            <w:gridSpan w:val="4"/>
          </w:tcPr>
          <w:p w14:paraId="548423EC" w14:textId="64943A23" w:rsidR="00C17077" w:rsidRDefault="00C17077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17077" w14:paraId="1313B6B5" w14:textId="77777777">
        <w:trPr>
          <w:cantSplit/>
        </w:trPr>
        <w:tc>
          <w:tcPr>
            <w:tcW w:w="10031" w:type="dxa"/>
            <w:gridSpan w:val="4"/>
          </w:tcPr>
          <w:p w14:paraId="2C4FF917" w14:textId="77777777" w:rsidR="00C17077" w:rsidRDefault="00C17077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C17077" w14:paraId="35C53E71" w14:textId="77777777">
        <w:trPr>
          <w:cantSplit/>
        </w:trPr>
        <w:tc>
          <w:tcPr>
            <w:tcW w:w="10031" w:type="dxa"/>
            <w:gridSpan w:val="4"/>
          </w:tcPr>
          <w:p w14:paraId="7654FEF0" w14:textId="77777777" w:rsidR="00C17077" w:rsidRDefault="00C17077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37DEF631" w14:textId="77777777" w:rsidR="003711CF" w:rsidRPr="005F613D" w:rsidRDefault="003711CF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36056476" w14:textId="72D3BD2B" w:rsidR="00C17077" w:rsidRDefault="00641035" w:rsidP="00C1707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9B1B34D" w14:textId="10CCA27B" w:rsidR="00641035" w:rsidRPr="00793085" w:rsidRDefault="00641035" w:rsidP="004E0176">
      <w:pPr>
        <w:spacing w:after="120"/>
        <w:ind w:firstLineChars="200" w:firstLine="480"/>
        <w:rPr>
          <w:lang w:eastAsia="zh-CN"/>
        </w:rPr>
      </w:pPr>
      <w:r w:rsidRPr="00641035">
        <w:rPr>
          <w:rFonts w:hint="eastAsia"/>
          <w:lang w:eastAsia="zh-CN"/>
        </w:rPr>
        <w:t>WRC-27</w:t>
      </w:r>
      <w:r w:rsidRPr="00641035">
        <w:rPr>
          <w:rFonts w:hint="eastAsia"/>
          <w:lang w:eastAsia="zh-CN"/>
        </w:rPr>
        <w:t>第</w:t>
      </w:r>
      <w:r w:rsidRPr="00641035">
        <w:rPr>
          <w:rFonts w:hint="eastAsia"/>
          <w:b/>
          <w:bCs/>
          <w:lang w:eastAsia="zh-CN"/>
        </w:rPr>
        <w:t>812</w:t>
      </w:r>
      <w:r w:rsidRPr="00641035">
        <w:rPr>
          <w:rFonts w:hint="eastAsia"/>
          <w:b/>
          <w:bCs/>
          <w:lang w:eastAsia="zh-CN"/>
        </w:rPr>
        <w:t>号</w:t>
      </w:r>
      <w:r w:rsidRPr="00641035">
        <w:rPr>
          <w:rFonts w:hint="eastAsia"/>
          <w:lang w:eastAsia="zh-CN"/>
        </w:rPr>
        <w:t>决议</w:t>
      </w:r>
      <w:r w:rsidRPr="00641035">
        <w:rPr>
          <w:rFonts w:hint="eastAsia"/>
          <w:b/>
          <w:bCs/>
          <w:lang w:eastAsia="zh-CN"/>
        </w:rPr>
        <w:t>（</w:t>
      </w:r>
      <w:r w:rsidRPr="00641035">
        <w:rPr>
          <w:rFonts w:hint="eastAsia"/>
          <w:b/>
          <w:bCs/>
          <w:lang w:eastAsia="zh-CN"/>
        </w:rPr>
        <w:t>WRC-19</w:t>
      </w:r>
      <w:r w:rsidRPr="00641035">
        <w:rPr>
          <w:rFonts w:hint="eastAsia"/>
          <w:b/>
          <w:bCs/>
          <w:lang w:eastAsia="zh-CN"/>
        </w:rPr>
        <w:t>）</w:t>
      </w:r>
      <w:r w:rsidRPr="00641035">
        <w:rPr>
          <w:rFonts w:hint="eastAsia"/>
          <w:lang w:eastAsia="zh-CN"/>
        </w:rPr>
        <w:t>所载</w:t>
      </w:r>
      <w:r>
        <w:rPr>
          <w:rFonts w:hint="eastAsia"/>
          <w:lang w:eastAsia="zh-CN"/>
        </w:rPr>
        <w:t>之</w:t>
      </w:r>
      <w:r w:rsidRPr="00641035">
        <w:rPr>
          <w:rFonts w:hint="eastAsia"/>
          <w:lang w:eastAsia="zh-CN"/>
        </w:rPr>
        <w:t>初步议项</w:t>
      </w:r>
      <w:r w:rsidRPr="00641035">
        <w:rPr>
          <w:rFonts w:hint="eastAsia"/>
          <w:lang w:eastAsia="zh-CN"/>
        </w:rPr>
        <w:t>2.9</w:t>
      </w:r>
      <w:r>
        <w:rPr>
          <w:rFonts w:hint="eastAsia"/>
          <w:lang w:eastAsia="zh-CN"/>
        </w:rPr>
        <w:t>旨在</w:t>
      </w:r>
      <w:r w:rsidRPr="00641035">
        <w:rPr>
          <w:rFonts w:hint="eastAsia"/>
          <w:lang w:eastAsia="zh-CN"/>
        </w:rPr>
        <w:t>根据第</w:t>
      </w:r>
      <w:r>
        <w:rPr>
          <w:b/>
          <w:bCs/>
          <w:lang w:eastAsia="zh-CN"/>
        </w:rPr>
        <w:t>250</w:t>
      </w:r>
      <w:r w:rsidRPr="00641035">
        <w:rPr>
          <w:rFonts w:hint="eastAsia"/>
          <w:b/>
          <w:bCs/>
          <w:lang w:eastAsia="zh-CN"/>
        </w:rPr>
        <w:t>号</w:t>
      </w:r>
      <w:r w:rsidRPr="00641035">
        <w:rPr>
          <w:rFonts w:hint="eastAsia"/>
          <w:lang w:eastAsia="zh-CN"/>
        </w:rPr>
        <w:t>决议</w:t>
      </w:r>
      <w:r w:rsidRPr="00641035">
        <w:rPr>
          <w:rFonts w:hint="eastAsia"/>
          <w:b/>
          <w:bCs/>
          <w:lang w:eastAsia="zh-CN"/>
        </w:rPr>
        <w:t>（</w:t>
      </w:r>
      <w:r w:rsidRPr="00641035">
        <w:rPr>
          <w:rFonts w:hint="eastAsia"/>
          <w:b/>
          <w:bCs/>
          <w:lang w:eastAsia="zh-CN"/>
        </w:rPr>
        <w:t>WRC-19</w:t>
      </w:r>
      <w:r w:rsidRPr="00641035">
        <w:rPr>
          <w:rFonts w:hint="eastAsia"/>
          <w:b/>
          <w:bCs/>
          <w:lang w:eastAsia="zh-CN"/>
        </w:rPr>
        <w:t>）</w:t>
      </w:r>
      <w:r w:rsidRPr="00641035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审议</w:t>
      </w:r>
      <w:r w:rsidRPr="00641035">
        <w:rPr>
          <w:rFonts w:hint="eastAsia"/>
          <w:lang w:eastAsia="zh-CN"/>
        </w:rPr>
        <w:t>在</w:t>
      </w:r>
      <w:r w:rsidRPr="00641035">
        <w:rPr>
          <w:rFonts w:hint="eastAsia"/>
          <w:lang w:eastAsia="zh-CN"/>
        </w:rPr>
        <w:t>1 300-1 350</w:t>
      </w:r>
      <w:r>
        <w:rPr>
          <w:lang w:eastAsia="zh-CN"/>
        </w:rPr>
        <w:t xml:space="preserve"> MH</w:t>
      </w:r>
      <w:r>
        <w:rPr>
          <w:rFonts w:hint="eastAsia"/>
          <w:lang w:eastAsia="zh-CN"/>
        </w:rPr>
        <w:t>z</w:t>
      </w:r>
      <w:r>
        <w:rPr>
          <w:rFonts w:hint="eastAsia"/>
          <w:lang w:eastAsia="zh-CN"/>
        </w:rPr>
        <w:t>频段</w:t>
      </w:r>
      <w:r w:rsidRPr="00641035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移动业务</w:t>
      </w:r>
      <w:r w:rsidRPr="00641035">
        <w:rPr>
          <w:rFonts w:hint="eastAsia"/>
          <w:lang w:eastAsia="zh-CN"/>
        </w:rPr>
        <w:t>增加频谱</w:t>
      </w:r>
      <w:r>
        <w:rPr>
          <w:rFonts w:hint="eastAsia"/>
          <w:lang w:eastAsia="zh-CN"/>
        </w:rPr>
        <w:t>划分</w:t>
      </w:r>
      <w:r w:rsidRPr="00641035">
        <w:rPr>
          <w:rFonts w:hint="eastAsia"/>
          <w:lang w:eastAsia="zh-CN"/>
        </w:rPr>
        <w:t>的可能性，</w:t>
      </w:r>
      <w:r>
        <w:rPr>
          <w:rFonts w:hint="eastAsia"/>
          <w:lang w:eastAsia="zh-CN"/>
        </w:rPr>
        <w:t>以便于移动业务</w:t>
      </w:r>
      <w:r w:rsidRPr="00641035">
        <w:rPr>
          <w:rFonts w:hint="eastAsia"/>
          <w:lang w:eastAsia="zh-CN"/>
        </w:rPr>
        <w:t>应用的未来发展。</w:t>
      </w:r>
    </w:p>
    <w:p w14:paraId="5845A44A" w14:textId="5597782D" w:rsidR="00641035" w:rsidRPr="00793085" w:rsidRDefault="00641035" w:rsidP="004E0176">
      <w:pPr>
        <w:spacing w:after="120"/>
        <w:ind w:firstLineChars="200" w:firstLine="480"/>
        <w:rPr>
          <w:szCs w:val="24"/>
          <w:lang w:val="en-AU" w:eastAsia="ko-KR"/>
        </w:rPr>
      </w:pPr>
      <w:r>
        <w:rPr>
          <w:rFonts w:hint="eastAsia"/>
          <w:szCs w:val="24"/>
          <w:lang w:val="en-AU" w:eastAsia="zh-CN"/>
        </w:rPr>
        <w:t>A</w:t>
      </w:r>
      <w:r>
        <w:rPr>
          <w:szCs w:val="24"/>
          <w:lang w:val="en-AU" w:eastAsia="zh-CN"/>
        </w:rPr>
        <w:t>PT</w:t>
      </w:r>
      <w:r w:rsidRPr="00641035">
        <w:rPr>
          <w:rFonts w:hint="eastAsia"/>
          <w:szCs w:val="24"/>
          <w:lang w:val="en-AU" w:eastAsia="ko-KR"/>
        </w:rPr>
        <w:t>成员不支持将</w:t>
      </w:r>
      <w:r w:rsidRPr="00641035">
        <w:rPr>
          <w:rFonts w:hint="eastAsia"/>
          <w:szCs w:val="24"/>
          <w:lang w:val="en-AU" w:eastAsia="ko-KR"/>
        </w:rPr>
        <w:t>WRC-27</w:t>
      </w:r>
      <w:r w:rsidRPr="00641035">
        <w:rPr>
          <w:rFonts w:hint="eastAsia"/>
          <w:szCs w:val="24"/>
          <w:lang w:val="en-AU" w:eastAsia="ko-KR"/>
        </w:rPr>
        <w:t>初步议项</w:t>
      </w:r>
      <w:r w:rsidRPr="00641035">
        <w:rPr>
          <w:rFonts w:hint="eastAsia"/>
          <w:szCs w:val="24"/>
          <w:lang w:val="en-AU" w:eastAsia="ko-KR"/>
        </w:rPr>
        <w:t>2.9</w:t>
      </w:r>
      <w:r w:rsidRPr="00641035">
        <w:rPr>
          <w:rFonts w:hint="eastAsia"/>
          <w:szCs w:val="24"/>
          <w:lang w:val="en-AU" w:eastAsia="ko-KR"/>
        </w:rPr>
        <w:t>纳入</w:t>
      </w:r>
      <w:r w:rsidRPr="00641035">
        <w:rPr>
          <w:rFonts w:hint="eastAsia"/>
          <w:szCs w:val="24"/>
          <w:lang w:val="en-AU" w:eastAsia="ko-KR"/>
        </w:rPr>
        <w:t>WRC</w:t>
      </w:r>
      <w:r>
        <w:rPr>
          <w:szCs w:val="24"/>
          <w:lang w:val="en-AU" w:eastAsia="ko-KR"/>
        </w:rPr>
        <w:t>-2</w:t>
      </w:r>
      <w:r w:rsidRPr="00641035">
        <w:rPr>
          <w:rFonts w:hint="eastAsia"/>
          <w:szCs w:val="24"/>
          <w:lang w:val="en-AU" w:eastAsia="ko-KR"/>
        </w:rPr>
        <w:t>7</w:t>
      </w:r>
      <w:r w:rsidRPr="00641035">
        <w:rPr>
          <w:rFonts w:hint="eastAsia"/>
          <w:szCs w:val="24"/>
          <w:lang w:val="en-AU" w:eastAsia="ko-KR"/>
        </w:rPr>
        <w:t>的议程。</w:t>
      </w:r>
      <w:r>
        <w:rPr>
          <w:rFonts w:hint="eastAsia"/>
          <w:szCs w:val="24"/>
          <w:lang w:val="en-AU" w:eastAsia="zh-CN"/>
        </w:rPr>
        <w:t>A</w:t>
      </w:r>
      <w:r>
        <w:rPr>
          <w:szCs w:val="24"/>
          <w:lang w:val="en-AU" w:eastAsia="zh-CN"/>
        </w:rPr>
        <w:t>PT</w:t>
      </w:r>
      <w:r w:rsidRPr="00641035">
        <w:rPr>
          <w:rFonts w:hint="eastAsia"/>
          <w:szCs w:val="24"/>
          <w:lang w:val="en-AU" w:eastAsia="ko-KR"/>
        </w:rPr>
        <w:t>成员提议</w:t>
      </w:r>
      <w:r>
        <w:rPr>
          <w:rFonts w:hint="eastAsia"/>
          <w:szCs w:val="24"/>
          <w:lang w:val="en-AU" w:eastAsia="zh-CN"/>
        </w:rPr>
        <w:t>废止</w:t>
      </w:r>
      <w:r w:rsidRPr="00641035">
        <w:rPr>
          <w:rFonts w:hint="eastAsia"/>
          <w:lang w:eastAsia="zh-CN"/>
        </w:rPr>
        <w:t>第</w:t>
      </w:r>
      <w:r>
        <w:rPr>
          <w:b/>
          <w:bCs/>
          <w:lang w:eastAsia="zh-CN"/>
        </w:rPr>
        <w:t>250</w:t>
      </w:r>
      <w:r w:rsidRPr="00641035">
        <w:rPr>
          <w:rFonts w:hint="eastAsia"/>
          <w:b/>
          <w:bCs/>
          <w:lang w:eastAsia="zh-CN"/>
        </w:rPr>
        <w:t>号</w:t>
      </w:r>
      <w:r w:rsidRPr="00641035">
        <w:rPr>
          <w:rFonts w:hint="eastAsia"/>
          <w:lang w:eastAsia="zh-CN"/>
        </w:rPr>
        <w:t>决议</w:t>
      </w:r>
      <w:r w:rsidRPr="00641035">
        <w:rPr>
          <w:rFonts w:hint="eastAsia"/>
          <w:b/>
          <w:bCs/>
          <w:lang w:eastAsia="zh-CN"/>
        </w:rPr>
        <w:t>（</w:t>
      </w:r>
      <w:r w:rsidRPr="00641035">
        <w:rPr>
          <w:rFonts w:hint="eastAsia"/>
          <w:b/>
          <w:bCs/>
          <w:lang w:eastAsia="zh-CN"/>
        </w:rPr>
        <w:t>WRC-19</w:t>
      </w:r>
      <w:r w:rsidRPr="00641035">
        <w:rPr>
          <w:rFonts w:hint="eastAsia"/>
          <w:b/>
          <w:bCs/>
          <w:lang w:eastAsia="zh-CN"/>
        </w:rPr>
        <w:t>）</w:t>
      </w:r>
      <w:r w:rsidRPr="00641035">
        <w:rPr>
          <w:rFonts w:hint="eastAsia"/>
          <w:szCs w:val="24"/>
          <w:lang w:val="en-AU" w:eastAsia="ko-KR"/>
        </w:rPr>
        <w:t>。</w:t>
      </w:r>
    </w:p>
    <w:p w14:paraId="7F97751D" w14:textId="77243F7F" w:rsidR="00622560" w:rsidRDefault="00641035" w:rsidP="00C1707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074C60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ADDFB58" w14:textId="77777777" w:rsidR="00CE47E5" w:rsidRDefault="003711CF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ACP/62A27A5/1</w:t>
      </w:r>
    </w:p>
    <w:p w14:paraId="41004219" w14:textId="77777777" w:rsidR="003711CF" w:rsidRDefault="003711CF" w:rsidP="00A46B67">
      <w:pPr>
        <w:pStyle w:val="ResNo"/>
        <w:rPr>
          <w:lang w:eastAsia="zh-CN"/>
        </w:rPr>
      </w:pPr>
      <w:bookmarkStart w:id="8" w:name="_Toc36108084"/>
      <w:bookmarkStart w:id="9" w:name="_Toc39850115"/>
      <w:bookmarkStart w:id="10" w:name="_Toc39853927"/>
      <w:bookmarkStart w:id="11" w:name="_Toc40086699"/>
      <w:bookmarkStart w:id="12" w:name="_Toc40095453"/>
      <w:bookmarkStart w:id="13" w:name="_Toc40098231"/>
      <w:r w:rsidRPr="00C04748">
        <w:rPr>
          <w:rFonts w:hint="eastAsia"/>
          <w:lang w:eastAsia="zh-CN"/>
        </w:rPr>
        <w:t>第</w:t>
      </w:r>
      <w:r w:rsidRPr="0002580E">
        <w:rPr>
          <w:rStyle w:val="href"/>
          <w:rFonts w:hint="eastAsia"/>
          <w:lang w:eastAsia="zh-CN"/>
        </w:rPr>
        <w:t>250</w:t>
      </w:r>
      <w:r w:rsidRPr="00C04748">
        <w:rPr>
          <w:rFonts w:hint="eastAsia"/>
          <w:lang w:eastAsia="zh-CN"/>
        </w:rPr>
        <w:t>号</w:t>
      </w:r>
      <w:r w:rsidRPr="00C04748">
        <w:rPr>
          <w:lang w:eastAsia="zh-CN"/>
        </w:rPr>
        <w:t>决议</w:t>
      </w:r>
      <w:r>
        <w:rPr>
          <w:rFonts w:hint="eastAsia"/>
          <w:lang w:val="en-US" w:eastAsia="zh-CN"/>
        </w:rPr>
        <w:t>（</w:t>
      </w:r>
      <w:r w:rsidRPr="00DF3EBD">
        <w:rPr>
          <w:lang w:val="en-US" w:eastAsia="zh-CN"/>
        </w:rPr>
        <w:t>WRC-19</w:t>
      </w:r>
      <w:r>
        <w:rPr>
          <w:rFonts w:hint="eastAsia"/>
          <w:lang w:val="en-US" w:eastAsia="zh-CN"/>
        </w:rPr>
        <w:t>）</w:t>
      </w:r>
      <w:bookmarkEnd w:id="8"/>
      <w:bookmarkEnd w:id="9"/>
      <w:bookmarkEnd w:id="10"/>
      <w:bookmarkEnd w:id="11"/>
      <w:bookmarkEnd w:id="12"/>
      <w:bookmarkEnd w:id="13"/>
    </w:p>
    <w:p w14:paraId="41F49ED6" w14:textId="77777777" w:rsidR="003711CF" w:rsidRDefault="003711CF" w:rsidP="007F2A4D">
      <w:pPr>
        <w:pStyle w:val="Restitle"/>
        <w:rPr>
          <w:lang w:eastAsia="zh-CN"/>
        </w:rPr>
      </w:pPr>
      <w:bookmarkStart w:id="14" w:name="_Toc36108085"/>
      <w:bookmarkStart w:id="15" w:name="_Toc39850116"/>
      <w:bookmarkStart w:id="16" w:name="_Toc39853928"/>
      <w:bookmarkStart w:id="17" w:name="_Toc40086700"/>
      <w:bookmarkStart w:id="18" w:name="_Toc40098232"/>
      <w:r>
        <w:rPr>
          <w:rFonts w:hint="eastAsia"/>
          <w:lang w:eastAsia="zh-CN"/>
        </w:rPr>
        <w:t>研究在</w:t>
      </w:r>
      <w:r w:rsidRPr="00662FFA">
        <w:rPr>
          <w:rFonts w:hint="eastAsia"/>
          <w:lang w:eastAsia="zh-CN"/>
        </w:rPr>
        <w:t>1</w:t>
      </w:r>
      <w:r>
        <w:rPr>
          <w:lang w:val="en-US" w:eastAsia="zh-CN"/>
        </w:rPr>
        <w:t> </w:t>
      </w:r>
      <w:r w:rsidRPr="00662FFA">
        <w:rPr>
          <w:rFonts w:hint="eastAsia"/>
          <w:lang w:eastAsia="zh-CN"/>
        </w:rPr>
        <w:t>300-1</w:t>
      </w:r>
      <w:r>
        <w:rPr>
          <w:lang w:val="en-US" w:eastAsia="zh-CN"/>
        </w:rPr>
        <w:t> </w:t>
      </w:r>
      <w:r w:rsidRPr="00662FFA">
        <w:rPr>
          <w:rFonts w:hint="eastAsia"/>
          <w:lang w:eastAsia="zh-CN"/>
        </w:rPr>
        <w:t>350 MHz</w:t>
      </w:r>
      <w:r w:rsidRPr="00662FFA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内为陆地移动业务（不含国际移动通信）</w:t>
      </w:r>
      <w:r>
        <w:rPr>
          <w:lang w:eastAsia="zh-CN"/>
        </w:rPr>
        <w:br/>
      </w:r>
      <w:r>
        <w:rPr>
          <w:rFonts w:hint="eastAsia"/>
          <w:lang w:eastAsia="zh-CN"/>
        </w:rPr>
        <w:t>做出划分的可能性以便于各国主管部门用于</w:t>
      </w:r>
      <w:r>
        <w:rPr>
          <w:lang w:eastAsia="zh-CN"/>
        </w:rPr>
        <w:br/>
      </w:r>
      <w:r>
        <w:rPr>
          <w:rFonts w:hint="eastAsia"/>
          <w:lang w:eastAsia="zh-CN"/>
        </w:rPr>
        <w:t>地面移动业务应用的未来发展</w:t>
      </w:r>
      <w:bookmarkEnd w:id="14"/>
      <w:bookmarkEnd w:id="15"/>
      <w:bookmarkEnd w:id="16"/>
      <w:bookmarkEnd w:id="17"/>
      <w:bookmarkEnd w:id="18"/>
    </w:p>
    <w:p w14:paraId="0D9AC26C" w14:textId="4320E4DF" w:rsidR="00641035" w:rsidRDefault="003711CF" w:rsidP="00A46B6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41035" w:rsidRPr="00641035">
        <w:rPr>
          <w:rFonts w:hint="eastAsia"/>
          <w:lang w:eastAsia="zh-CN"/>
        </w:rPr>
        <w:t>1 300-1 350 MHz</w:t>
      </w:r>
      <w:r w:rsidR="00641035" w:rsidRPr="00641035">
        <w:rPr>
          <w:rFonts w:hint="eastAsia"/>
          <w:lang w:eastAsia="zh-CN"/>
        </w:rPr>
        <w:t>频段在全球范围内</w:t>
      </w:r>
      <w:r w:rsidR="00641035">
        <w:rPr>
          <w:rFonts w:hint="eastAsia"/>
          <w:lang w:eastAsia="zh-CN"/>
        </w:rPr>
        <w:t>划分</w:t>
      </w:r>
      <w:r w:rsidR="00641035" w:rsidRPr="00641035">
        <w:rPr>
          <w:rFonts w:hint="eastAsia"/>
          <w:lang w:eastAsia="zh-CN"/>
        </w:rPr>
        <w:t>给</w:t>
      </w:r>
      <w:r w:rsidR="00641035" w:rsidRPr="00641035">
        <w:rPr>
          <w:rFonts w:hint="eastAsia"/>
          <w:lang w:eastAsia="zh-CN"/>
        </w:rPr>
        <w:t>RLS</w:t>
      </w:r>
      <w:r w:rsidR="00641035" w:rsidRPr="00641035">
        <w:rPr>
          <w:rFonts w:hint="eastAsia"/>
          <w:lang w:eastAsia="zh-CN"/>
        </w:rPr>
        <w:t>、</w:t>
      </w:r>
      <w:r w:rsidR="00641035" w:rsidRPr="00641035">
        <w:rPr>
          <w:rFonts w:hint="eastAsia"/>
          <w:lang w:eastAsia="zh-CN"/>
        </w:rPr>
        <w:t>ARNS</w:t>
      </w:r>
      <w:r w:rsidR="00641035" w:rsidRPr="00641035">
        <w:rPr>
          <w:rFonts w:hint="eastAsia"/>
          <w:lang w:eastAsia="zh-CN"/>
        </w:rPr>
        <w:t>和</w:t>
      </w:r>
      <w:r w:rsidR="00641035" w:rsidRPr="00641035">
        <w:rPr>
          <w:rFonts w:hint="eastAsia"/>
          <w:lang w:eastAsia="zh-CN"/>
        </w:rPr>
        <w:t>RNSS</w:t>
      </w:r>
      <w:r w:rsidR="00641035">
        <w:rPr>
          <w:rFonts w:hint="eastAsia"/>
          <w:lang w:eastAsia="zh-CN"/>
        </w:rPr>
        <w:t>（</w:t>
      </w:r>
      <w:r w:rsidR="00641035" w:rsidRPr="00641035">
        <w:rPr>
          <w:rFonts w:hint="eastAsia"/>
          <w:lang w:eastAsia="zh-CN"/>
        </w:rPr>
        <w:t>地</w:t>
      </w:r>
      <w:r w:rsidR="00641035">
        <w:rPr>
          <w:rFonts w:hint="eastAsia"/>
          <w:lang w:eastAsia="zh-CN"/>
        </w:rPr>
        <w:t>对</w:t>
      </w:r>
      <w:r w:rsidR="00641035" w:rsidRPr="00641035">
        <w:rPr>
          <w:rFonts w:hint="eastAsia"/>
          <w:lang w:eastAsia="zh-CN"/>
        </w:rPr>
        <w:t>空</w:t>
      </w:r>
      <w:r w:rsidR="00641035">
        <w:rPr>
          <w:rFonts w:hint="eastAsia"/>
          <w:lang w:eastAsia="zh-CN"/>
        </w:rPr>
        <w:t>），</w:t>
      </w:r>
      <w:r w:rsidR="00641035" w:rsidRPr="00641035">
        <w:rPr>
          <w:rFonts w:hint="eastAsia"/>
          <w:lang w:eastAsia="zh-CN"/>
        </w:rPr>
        <w:t>特别是通过提供包括空中交通管理</w:t>
      </w:r>
      <w:r w:rsidR="00641035">
        <w:rPr>
          <w:rFonts w:hint="eastAsia"/>
          <w:lang w:eastAsia="zh-CN"/>
        </w:rPr>
        <w:t>业务</w:t>
      </w:r>
      <w:r w:rsidR="00641035" w:rsidRPr="00641035">
        <w:rPr>
          <w:rFonts w:hint="eastAsia"/>
          <w:lang w:eastAsia="zh-CN"/>
        </w:rPr>
        <w:t>在内的监视的应用来执行生命安全功能。</w:t>
      </w:r>
      <w:r w:rsidR="00641035">
        <w:rPr>
          <w:rFonts w:hint="eastAsia"/>
          <w:lang w:eastAsia="zh-CN"/>
        </w:rPr>
        <w:t>基于</w:t>
      </w:r>
      <w:r w:rsidR="00641035" w:rsidRPr="00641035">
        <w:rPr>
          <w:rFonts w:hint="eastAsia"/>
          <w:lang w:eastAsia="zh-CN"/>
        </w:rPr>
        <w:t>对</w:t>
      </w:r>
      <w:r w:rsidR="00641035" w:rsidRPr="00641035">
        <w:rPr>
          <w:rFonts w:hint="eastAsia"/>
          <w:lang w:eastAsia="zh-CN"/>
        </w:rPr>
        <w:t>WRC-15</w:t>
      </w:r>
      <w:r w:rsidR="00641035" w:rsidRPr="00641035">
        <w:rPr>
          <w:rFonts w:hint="eastAsia"/>
          <w:lang w:eastAsia="zh-CN"/>
        </w:rPr>
        <w:t>的研究，考虑到当时提供的参数，在同一地理区域内，移动系统和雷达的同频操作是不可行的。自纳入</w:t>
      </w:r>
      <w:r w:rsidR="00641035" w:rsidRPr="00641035">
        <w:rPr>
          <w:rFonts w:hint="eastAsia"/>
          <w:lang w:eastAsia="zh-CN"/>
        </w:rPr>
        <w:t>WRC-19</w:t>
      </w:r>
      <w:r w:rsidR="00641035" w:rsidRPr="00641035">
        <w:rPr>
          <w:rFonts w:hint="eastAsia"/>
          <w:lang w:eastAsia="zh-CN"/>
        </w:rPr>
        <w:t>产生的这一初步议项以来，</w:t>
      </w:r>
      <w:r w:rsidR="00641035" w:rsidRPr="00641035">
        <w:rPr>
          <w:rFonts w:hint="eastAsia"/>
          <w:lang w:eastAsia="zh-CN"/>
        </w:rPr>
        <w:t>WP 5A</w:t>
      </w:r>
      <w:r w:rsidR="00641035" w:rsidRPr="00641035">
        <w:rPr>
          <w:rFonts w:hint="eastAsia"/>
          <w:lang w:eastAsia="zh-CN"/>
        </w:rPr>
        <w:t>没有开展任何工作来推进</w:t>
      </w:r>
      <w:r w:rsidR="00641035" w:rsidRPr="00641035">
        <w:rPr>
          <w:rFonts w:hint="eastAsia"/>
          <w:lang w:eastAsia="zh-CN"/>
        </w:rPr>
        <w:t>LMS</w:t>
      </w:r>
      <w:r w:rsidR="00641035" w:rsidRPr="00641035">
        <w:rPr>
          <w:rFonts w:hint="eastAsia"/>
          <w:lang w:eastAsia="zh-CN"/>
        </w:rPr>
        <w:t>支持者的技术</w:t>
      </w:r>
      <w:r w:rsidR="00C729C5">
        <w:rPr>
          <w:rFonts w:hint="eastAsia"/>
          <w:lang w:eastAsia="zh-CN"/>
        </w:rPr>
        <w:t>规范</w:t>
      </w:r>
      <w:r w:rsidR="00641035" w:rsidRPr="00641035">
        <w:rPr>
          <w:rFonts w:hint="eastAsia"/>
          <w:lang w:eastAsia="zh-CN"/>
        </w:rPr>
        <w:t>和</w:t>
      </w:r>
      <w:r w:rsidR="00C729C5">
        <w:rPr>
          <w:rFonts w:hint="eastAsia"/>
          <w:lang w:eastAsia="zh-CN"/>
        </w:rPr>
        <w:t>特性</w:t>
      </w:r>
      <w:r w:rsidR="00641035" w:rsidRPr="00641035">
        <w:rPr>
          <w:rFonts w:hint="eastAsia"/>
          <w:lang w:eastAsia="zh-CN"/>
        </w:rPr>
        <w:t>。在这方面，目前没有足够的证据来证明新的</w:t>
      </w:r>
      <w:r w:rsidR="00641035" w:rsidRPr="00641035">
        <w:rPr>
          <w:rFonts w:hint="eastAsia"/>
          <w:lang w:eastAsia="zh-CN"/>
        </w:rPr>
        <w:t>WRC-27</w:t>
      </w:r>
      <w:r w:rsidR="00641035" w:rsidRPr="00641035">
        <w:rPr>
          <w:rFonts w:hint="eastAsia"/>
          <w:lang w:eastAsia="zh-CN"/>
        </w:rPr>
        <w:t>研究的合理性。</w:t>
      </w:r>
    </w:p>
    <w:p w14:paraId="6723E8C9" w14:textId="057289BF" w:rsidR="00CE47E5" w:rsidRDefault="00C17077" w:rsidP="00C17077">
      <w:pPr>
        <w:spacing w:before="480"/>
        <w:jc w:val="center"/>
      </w:pPr>
      <w:r>
        <w:t>______________</w:t>
      </w:r>
    </w:p>
    <w:sectPr w:rsidR="00CE47E5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5864" w14:textId="77777777" w:rsidR="00C9089B" w:rsidRDefault="00C9089B">
      <w:r>
        <w:separator/>
      </w:r>
    </w:p>
  </w:endnote>
  <w:endnote w:type="continuationSeparator" w:id="0">
    <w:p w14:paraId="2B28EEE0" w14:textId="77777777" w:rsidR="00C9089B" w:rsidRDefault="00C9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D407" w14:textId="647BC1BE" w:rsidR="00B851D4" w:rsidRPr="00C17077" w:rsidRDefault="00A46B67" w:rsidP="00C1707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F0F62">
      <w:t>P:\CHI\ITU-R\CONF-R\CMR23\000\062ADD27ADD05C.docx</w:t>
    </w:r>
    <w:r>
      <w:fldChar w:fldCharType="end"/>
    </w:r>
    <w:r w:rsidR="00C17077">
      <w:t xml:space="preserve"> (528990)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8C95" w14:textId="4A25468D" w:rsidR="00B851D4" w:rsidRPr="00DA0469" w:rsidRDefault="00A46B67" w:rsidP="00C1707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F0F62">
      <w:t>P:\CHI\ITU-R\CONF-R\CMR23\000\062ADD27ADD05C.docx</w:t>
    </w:r>
    <w:r>
      <w:fldChar w:fldCharType="end"/>
    </w:r>
    <w:r w:rsidR="00C17077">
      <w:t xml:space="preserve"> (528990)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AEBA" w14:textId="77777777" w:rsidR="00C9089B" w:rsidRDefault="00C9089B">
      <w:r>
        <w:t>____________________</w:t>
      </w:r>
    </w:p>
  </w:footnote>
  <w:footnote w:type="continuationSeparator" w:id="0">
    <w:p w14:paraId="6885C777" w14:textId="77777777" w:rsidR="00C9089B" w:rsidRDefault="00C9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69E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7872C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711C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E0176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5F0F62"/>
    <w:rsid w:val="00622560"/>
    <w:rsid w:val="00641035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46B67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17077"/>
    <w:rsid w:val="00C364B1"/>
    <w:rsid w:val="00C47D87"/>
    <w:rsid w:val="00C627F9"/>
    <w:rsid w:val="00C6584D"/>
    <w:rsid w:val="00C729C5"/>
    <w:rsid w:val="00C9089B"/>
    <w:rsid w:val="00C929E0"/>
    <w:rsid w:val="00CB4E5A"/>
    <w:rsid w:val="00CC73D7"/>
    <w:rsid w:val="00CE47E5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6B8E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d78551-b7e6-4ccc-8dcf-c87495de3166" targetNamespace="http://schemas.microsoft.com/office/2006/metadata/properties" ma:root="true" ma:fieldsID="d41af5c836d734370eb92e7ee5f83852" ns2:_="" ns3:_="">
    <xsd:import namespace="996b2e75-67fd-4955-a3b0-5ab9934cb50b"/>
    <xsd:import namespace="4ad78551-b7e6-4ccc-8dcf-c87495de31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8551-b7e6-4ccc-8dcf-c87495de31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d78551-b7e6-4ccc-8dcf-c87495de3166">DPM</DPM_x0020_Author>
    <DPM_x0020_File_x0020_name xmlns="4ad78551-b7e6-4ccc-8dcf-c87495de3166">R23-WRC23-C-0062!A27-A5!MSW-C</DPM_x0020_File_x0020_name>
    <DPM_x0020_Version xmlns="4ad78551-b7e6-4ccc-8dcf-c87495de316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d78551-b7e6-4ccc-8dcf-c87495de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ad78551-b7e6-4ccc-8dcf-c87495de3166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R23-WRC23-C-0062!A27-A5!MSW-C</vt:lpstr>
    </vt:vector>
  </TitlesOfParts>
  <Manager>General Secretariat - Pool</Manager>
  <Company>International Telecommunication Union (ITU)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R23-WRC23-C-0062!A27-A5!MSW-C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3</cp:revision>
  <cp:lastPrinted>2006-07-03T06:56:00Z</cp:lastPrinted>
  <dcterms:created xsi:type="dcterms:W3CDTF">2023-10-23T13:39:00Z</dcterms:created>
  <dcterms:modified xsi:type="dcterms:W3CDTF">2023-10-23T13:46:00Z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