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973161" w14:paraId="134549B2" w14:textId="77777777" w:rsidTr="00C1305F">
        <w:trPr>
          <w:cantSplit/>
        </w:trPr>
        <w:tc>
          <w:tcPr>
            <w:tcW w:w="1418" w:type="dxa"/>
            <w:vAlign w:val="center"/>
          </w:tcPr>
          <w:p w14:paraId="6FDB6381" w14:textId="77777777" w:rsidR="00C1305F" w:rsidRPr="00973161" w:rsidRDefault="00C1305F" w:rsidP="003D4DB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73161">
              <w:rPr>
                <w:noProof/>
                <w:lang w:eastAsia="fr-CH"/>
              </w:rPr>
              <w:drawing>
                <wp:inline distT="0" distB="0" distL="0" distR="0" wp14:anchorId="1648882F" wp14:editId="779D296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E85409A" w14:textId="3A98C240" w:rsidR="00C1305F" w:rsidRPr="00973161" w:rsidRDefault="00C1305F" w:rsidP="003D4DB6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97316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973161">
              <w:rPr>
                <w:rFonts w:ascii="Verdana" w:hAnsi="Verdana"/>
                <w:b/>
                <w:bCs/>
                <w:sz w:val="20"/>
              </w:rPr>
              <w:br/>
            </w:r>
            <w:r w:rsidRPr="0097316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05061" w:rsidRPr="0097316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97316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90C2DC8" w14:textId="77777777" w:rsidR="00C1305F" w:rsidRPr="00973161" w:rsidRDefault="00C1305F" w:rsidP="003D4DB6">
            <w:pPr>
              <w:spacing w:before="0"/>
            </w:pPr>
            <w:bookmarkStart w:id="0" w:name="ditulogo"/>
            <w:bookmarkEnd w:id="0"/>
            <w:r w:rsidRPr="00973161">
              <w:rPr>
                <w:noProof/>
                <w:lang w:eastAsia="fr-CH"/>
              </w:rPr>
              <w:drawing>
                <wp:inline distT="0" distB="0" distL="0" distR="0" wp14:anchorId="6349FBFA" wp14:editId="2854A26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973161" w14:paraId="3F518EC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428E4B0" w14:textId="77777777" w:rsidR="00BB1D82" w:rsidRPr="00973161" w:rsidRDefault="00BB1D82" w:rsidP="003D4DB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FDA2887" w14:textId="77777777" w:rsidR="00BB1D82" w:rsidRPr="00973161" w:rsidRDefault="00BB1D82" w:rsidP="003D4DB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973161" w14:paraId="4F90F5E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6DFF416" w14:textId="77777777" w:rsidR="00BB1D82" w:rsidRPr="00973161" w:rsidRDefault="00BB1D82" w:rsidP="003D4DB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A3D0E0" w14:textId="77777777" w:rsidR="00BB1D82" w:rsidRPr="00973161" w:rsidRDefault="00BB1D82" w:rsidP="003D4DB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973161" w14:paraId="606FDD47" w14:textId="77777777" w:rsidTr="00BB1D82">
        <w:trPr>
          <w:cantSplit/>
        </w:trPr>
        <w:tc>
          <w:tcPr>
            <w:tcW w:w="6911" w:type="dxa"/>
            <w:gridSpan w:val="2"/>
          </w:tcPr>
          <w:p w14:paraId="073627D7" w14:textId="77777777" w:rsidR="00BB1D82" w:rsidRPr="00973161" w:rsidRDefault="006D4724" w:rsidP="003D4DB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7316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3A307D2" w14:textId="77777777" w:rsidR="00BB1D82" w:rsidRPr="00973161" w:rsidRDefault="006D4724" w:rsidP="003D4DB6">
            <w:pPr>
              <w:spacing w:before="0"/>
              <w:rPr>
                <w:rFonts w:ascii="Verdana" w:hAnsi="Verdana"/>
                <w:sz w:val="20"/>
              </w:rPr>
            </w:pPr>
            <w:r w:rsidRPr="00973161">
              <w:rPr>
                <w:rFonts w:ascii="Verdana" w:hAnsi="Verdana"/>
                <w:b/>
                <w:sz w:val="20"/>
              </w:rPr>
              <w:t>Addendum 20 au</w:t>
            </w:r>
            <w:r w:rsidRPr="00973161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973161">
              <w:rPr>
                <w:rFonts w:ascii="Verdana" w:hAnsi="Verdana"/>
                <w:b/>
                <w:sz w:val="20"/>
              </w:rPr>
              <w:t>-</w:t>
            </w:r>
            <w:r w:rsidRPr="0097316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973161" w14:paraId="71E9F5A6" w14:textId="77777777" w:rsidTr="00BB1D82">
        <w:trPr>
          <w:cantSplit/>
        </w:trPr>
        <w:tc>
          <w:tcPr>
            <w:tcW w:w="6911" w:type="dxa"/>
            <w:gridSpan w:val="2"/>
          </w:tcPr>
          <w:p w14:paraId="3E88CC67" w14:textId="77777777" w:rsidR="00690C7B" w:rsidRPr="00973161" w:rsidRDefault="00690C7B" w:rsidP="003D4DB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1165C91" w14:textId="77777777" w:rsidR="00690C7B" w:rsidRPr="00973161" w:rsidRDefault="00690C7B" w:rsidP="003D4DB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73161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973161" w14:paraId="1EBBD0A6" w14:textId="77777777" w:rsidTr="00BB1D82">
        <w:trPr>
          <w:cantSplit/>
        </w:trPr>
        <w:tc>
          <w:tcPr>
            <w:tcW w:w="6911" w:type="dxa"/>
            <w:gridSpan w:val="2"/>
          </w:tcPr>
          <w:p w14:paraId="3781CC61" w14:textId="77777777" w:rsidR="00690C7B" w:rsidRPr="00973161" w:rsidRDefault="00690C7B" w:rsidP="003D4DB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98A6E72" w14:textId="77777777" w:rsidR="00690C7B" w:rsidRPr="00973161" w:rsidRDefault="00690C7B" w:rsidP="003D4DB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7316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973161" w14:paraId="0A77C9FB" w14:textId="77777777" w:rsidTr="00C11970">
        <w:trPr>
          <w:cantSplit/>
        </w:trPr>
        <w:tc>
          <w:tcPr>
            <w:tcW w:w="10031" w:type="dxa"/>
            <w:gridSpan w:val="4"/>
          </w:tcPr>
          <w:p w14:paraId="264043DA" w14:textId="77777777" w:rsidR="00690C7B" w:rsidRPr="00973161" w:rsidRDefault="00690C7B" w:rsidP="003D4DB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973161" w14:paraId="12D0454B" w14:textId="77777777" w:rsidTr="0050008E">
        <w:trPr>
          <w:cantSplit/>
        </w:trPr>
        <w:tc>
          <w:tcPr>
            <w:tcW w:w="10031" w:type="dxa"/>
            <w:gridSpan w:val="4"/>
          </w:tcPr>
          <w:p w14:paraId="308C561C" w14:textId="77777777" w:rsidR="00690C7B" w:rsidRPr="00973161" w:rsidRDefault="00690C7B" w:rsidP="003D4DB6">
            <w:pPr>
              <w:pStyle w:val="Source"/>
            </w:pPr>
            <w:bookmarkStart w:id="2" w:name="dsource" w:colFirst="0" w:colLast="0"/>
            <w:r w:rsidRPr="00973161">
              <w:t>Propositions communes de la Télécommunauté Asie-Pacifique</w:t>
            </w:r>
          </w:p>
        </w:tc>
      </w:tr>
      <w:tr w:rsidR="00690C7B" w:rsidRPr="00973161" w14:paraId="05EBD11F" w14:textId="77777777" w:rsidTr="0050008E">
        <w:trPr>
          <w:cantSplit/>
        </w:trPr>
        <w:tc>
          <w:tcPr>
            <w:tcW w:w="10031" w:type="dxa"/>
            <w:gridSpan w:val="4"/>
          </w:tcPr>
          <w:p w14:paraId="5AFF0EE8" w14:textId="591E9863" w:rsidR="00690C7B" w:rsidRPr="00973161" w:rsidRDefault="00E31A00" w:rsidP="003D4DB6">
            <w:pPr>
              <w:pStyle w:val="Title1"/>
            </w:pPr>
            <w:bookmarkStart w:id="3" w:name="dtitle1" w:colFirst="0" w:colLast="0"/>
            <w:bookmarkEnd w:id="2"/>
            <w:r w:rsidRPr="00973161">
              <w:t>Propositions pour les travaux de la Conférence</w:t>
            </w:r>
          </w:p>
        </w:tc>
      </w:tr>
      <w:tr w:rsidR="00690C7B" w:rsidRPr="00973161" w14:paraId="3272EFE7" w14:textId="77777777" w:rsidTr="0050008E">
        <w:trPr>
          <w:cantSplit/>
        </w:trPr>
        <w:tc>
          <w:tcPr>
            <w:tcW w:w="10031" w:type="dxa"/>
            <w:gridSpan w:val="4"/>
          </w:tcPr>
          <w:p w14:paraId="42C248E2" w14:textId="77777777" w:rsidR="00690C7B" w:rsidRPr="00973161" w:rsidRDefault="00690C7B" w:rsidP="003D4DB6">
            <w:pPr>
              <w:pStyle w:val="Title2"/>
            </w:pPr>
            <w:bookmarkStart w:id="4" w:name="dtitle2" w:colFirst="0" w:colLast="0"/>
            <w:bookmarkEnd w:id="3"/>
          </w:p>
        </w:tc>
      </w:tr>
      <w:bookmarkEnd w:id="4"/>
      <w:tr w:rsidR="00690C7B" w:rsidRPr="00973161" w14:paraId="4BC068CF" w14:textId="77777777" w:rsidTr="0050008E">
        <w:trPr>
          <w:cantSplit/>
        </w:trPr>
        <w:tc>
          <w:tcPr>
            <w:tcW w:w="10031" w:type="dxa"/>
            <w:gridSpan w:val="4"/>
          </w:tcPr>
          <w:p w14:paraId="7E6A36AC" w14:textId="0C2D2C0D" w:rsidR="00690C7B" w:rsidRPr="00973161" w:rsidRDefault="00690C7B" w:rsidP="003D4DB6">
            <w:pPr>
              <w:pStyle w:val="Agendaitem"/>
              <w:rPr>
                <w:lang w:val="fr-FR"/>
              </w:rPr>
            </w:pPr>
            <w:r w:rsidRPr="00973161">
              <w:rPr>
                <w:lang w:val="fr-FR"/>
              </w:rPr>
              <w:t>Point 10 de l</w:t>
            </w:r>
            <w:r w:rsidR="00CE4958" w:rsidRPr="00973161">
              <w:rPr>
                <w:lang w:val="fr-FR"/>
              </w:rPr>
              <w:t>'</w:t>
            </w:r>
            <w:r w:rsidRPr="00973161">
              <w:rPr>
                <w:lang w:val="fr-FR"/>
              </w:rPr>
              <w:t>ordre du jour</w:t>
            </w:r>
          </w:p>
        </w:tc>
      </w:tr>
    </w:tbl>
    <w:p w14:paraId="2F819EA6" w14:textId="5B7C233A" w:rsidR="00831541" w:rsidRPr="00973161" w:rsidRDefault="00831541" w:rsidP="00254761">
      <w:r w:rsidRPr="00973161">
        <w:t>10</w:t>
      </w:r>
      <w:r w:rsidRPr="00973161">
        <w:tab/>
        <w:t>recommander au Conseil de l</w:t>
      </w:r>
      <w:r w:rsidR="00CE4958" w:rsidRPr="00973161">
        <w:t>'</w:t>
      </w:r>
      <w:r w:rsidRPr="00973161">
        <w:t>UIT des points à inscrire à l</w:t>
      </w:r>
      <w:r w:rsidR="00CE4958" w:rsidRPr="00973161">
        <w:t>'</w:t>
      </w:r>
      <w:r w:rsidRPr="00973161">
        <w:t>ordre du jour de la Conférence mondiale des radiocommunications suivante et des points de l</w:t>
      </w:r>
      <w:r w:rsidR="00CE4958" w:rsidRPr="00973161">
        <w:t>'</w:t>
      </w:r>
      <w:r w:rsidRPr="00973161">
        <w:t>ordre du jour préliminaire de conférences futures, conformément à l</w:t>
      </w:r>
      <w:r w:rsidR="00CE4958" w:rsidRPr="00973161">
        <w:t>'</w:t>
      </w:r>
      <w:r w:rsidRPr="00973161">
        <w:t>article 7 de la Convention de l</w:t>
      </w:r>
      <w:r w:rsidR="00CE4958" w:rsidRPr="00973161">
        <w:t>'</w:t>
      </w:r>
      <w:r w:rsidRPr="00973161">
        <w:t xml:space="preserve">UIT et à la Résolution </w:t>
      </w:r>
      <w:r w:rsidRPr="00973161">
        <w:rPr>
          <w:b/>
        </w:rPr>
        <w:t>804 (Rév.CMR-19)</w:t>
      </w:r>
      <w:r w:rsidRPr="00973161">
        <w:t>,</w:t>
      </w:r>
    </w:p>
    <w:p w14:paraId="1AB00ACB" w14:textId="555287FF" w:rsidR="003A583E" w:rsidRPr="00973161" w:rsidRDefault="00E31A00" w:rsidP="003D4DB6">
      <w:pPr>
        <w:pStyle w:val="Headingb"/>
      </w:pPr>
      <w:r w:rsidRPr="00973161">
        <w:t>Introduction</w:t>
      </w:r>
    </w:p>
    <w:p w14:paraId="1E62C5FE" w14:textId="4E3042A4" w:rsidR="003D4DB6" w:rsidRPr="00973161" w:rsidRDefault="003D4DB6" w:rsidP="003D4DB6">
      <w:r w:rsidRPr="00973161">
        <w:t>Les Membres de l</w:t>
      </w:r>
      <w:r w:rsidR="00CE4958" w:rsidRPr="00973161">
        <w:t>'</w:t>
      </w:r>
      <w:r w:rsidRPr="00973161">
        <w:t>APT sont favorables à l</w:t>
      </w:r>
      <w:r w:rsidR="00CE4958" w:rsidRPr="00973161">
        <w:t>'</w:t>
      </w:r>
      <w:r w:rsidRPr="00973161">
        <w:t>inscription du point ci-après à l</w:t>
      </w:r>
      <w:r w:rsidR="00CE4958" w:rsidRPr="00973161">
        <w:t>'</w:t>
      </w:r>
      <w:r w:rsidRPr="00973161">
        <w:t>ordre du jour de la CMR</w:t>
      </w:r>
      <w:r w:rsidR="00005061" w:rsidRPr="00973161">
        <w:noBreakHyphen/>
      </w:r>
      <w:r w:rsidRPr="00973161">
        <w:t>27:</w:t>
      </w:r>
    </w:p>
    <w:p w14:paraId="35D9251D" w14:textId="4695BBA8" w:rsidR="00E31A00" w:rsidRPr="00973161" w:rsidRDefault="003D4DB6" w:rsidP="00254761">
      <w:pPr>
        <w:tabs>
          <w:tab w:val="clear" w:pos="1871"/>
          <w:tab w:val="clear" w:pos="2268"/>
        </w:tabs>
      </w:pPr>
      <w:r w:rsidRPr="00973161">
        <w:t>1.5</w:t>
      </w:r>
      <w:r w:rsidRPr="00973161">
        <w:tab/>
      </w:r>
      <w:r w:rsidR="00E04CE1" w:rsidRPr="00973161">
        <w:t xml:space="preserve">envisager une nouvelle attribution possible à titre primaire au service fixe par satellite (espace vers Terre) dans la bande de fréquences 17,3-17,7 GHz en Région 3 et une nouvelle attribution possible à titre primaire au service de radiodiffusion par satellite (espace vers Terre) dans la bande </w:t>
      </w:r>
      <w:r w:rsidR="00622556" w:rsidRPr="00973161">
        <w:t xml:space="preserve">de fréquences </w:t>
      </w:r>
      <w:r w:rsidR="00E04CE1" w:rsidRPr="00973161">
        <w:t>17,3-17,8 GHz en Région 3, tout en assurant la protection des services primaires existants dans l</w:t>
      </w:r>
      <w:r w:rsidR="00622556" w:rsidRPr="00973161">
        <w:t>es</w:t>
      </w:r>
      <w:r w:rsidR="00E04CE1" w:rsidRPr="00973161">
        <w:t xml:space="preserve"> même</w:t>
      </w:r>
      <w:r w:rsidR="00622556" w:rsidRPr="00973161">
        <w:t>s</w:t>
      </w:r>
      <w:r w:rsidR="00E04CE1" w:rsidRPr="00973161">
        <w:t xml:space="preserve"> bande</w:t>
      </w:r>
      <w:r w:rsidR="00622556" w:rsidRPr="00973161">
        <w:t>s de fréquences</w:t>
      </w:r>
      <w:r w:rsidR="00E04CE1" w:rsidRPr="00973161">
        <w:t xml:space="preserve"> et dans les bandes</w:t>
      </w:r>
      <w:r w:rsidR="00622556" w:rsidRPr="00973161">
        <w:t xml:space="preserve"> de fréquences</w:t>
      </w:r>
      <w:r w:rsidR="00E04CE1" w:rsidRPr="00973161">
        <w:t xml:space="preserve"> adjacentes; et mener à bien des études sur les mesures propres à protéger les services primaires </w:t>
      </w:r>
      <w:r w:rsidR="006E20A1" w:rsidRPr="00973161">
        <w:t>vis</w:t>
      </w:r>
      <w:r w:rsidR="00005061" w:rsidRPr="00973161">
        <w:noBreakHyphen/>
      </w:r>
      <w:r w:rsidR="006E20A1" w:rsidRPr="00973161">
        <w:t>à-vis de l</w:t>
      </w:r>
      <w:r w:rsidR="00CE4958" w:rsidRPr="00973161">
        <w:t>'</w:t>
      </w:r>
      <w:r w:rsidR="006E20A1" w:rsidRPr="00973161">
        <w:t>attribution à titre secondaire au service de radiolocalisation</w:t>
      </w:r>
      <w:r w:rsidR="00427C87" w:rsidRPr="00973161">
        <w:t xml:space="preserve"> dans la bande de fréquences</w:t>
      </w:r>
      <w:r w:rsidRPr="00973161">
        <w:t xml:space="preserve"> 17,3-17,7 GHz en Région 3</w:t>
      </w:r>
      <w:r w:rsidR="00427C87" w:rsidRPr="00973161">
        <w:t>,</w:t>
      </w:r>
      <w:r w:rsidRPr="00973161">
        <w:t xml:space="preserve"> en vue d</w:t>
      </w:r>
      <w:r w:rsidR="00CE4958" w:rsidRPr="00973161">
        <w:t>'</w:t>
      </w:r>
      <w:r w:rsidRPr="00973161">
        <w:t xml:space="preserve">élaborer des dispositions pertinentes applicables aux systèmes à satellites non géostationnaires du SFS (espace vers Terre) dans la bande </w:t>
      </w:r>
      <w:r w:rsidR="00427C87" w:rsidRPr="00973161">
        <w:t xml:space="preserve">de fréquences </w:t>
      </w:r>
      <w:r w:rsidRPr="00973161">
        <w:t xml:space="preserve">17,3-17,8 GHz dans toutes les Régions, conformément à la Résolution </w:t>
      </w:r>
      <w:r w:rsidRPr="00973161">
        <w:rPr>
          <w:b/>
          <w:bCs/>
        </w:rPr>
        <w:t>[ACP-AI10-8] (CMR-23)</w:t>
      </w:r>
      <w:r w:rsidR="00427C87" w:rsidRPr="00973161">
        <w:t>;</w:t>
      </w:r>
    </w:p>
    <w:p w14:paraId="2F3C7B11" w14:textId="2BAD111B" w:rsidR="00E31A00" w:rsidRPr="00973161" w:rsidRDefault="00E31A00" w:rsidP="003D4DB6">
      <w:pPr>
        <w:pStyle w:val="Headingb"/>
      </w:pPr>
      <w:r w:rsidRPr="00973161">
        <w:t>Propositions</w:t>
      </w:r>
    </w:p>
    <w:p w14:paraId="6E9AC1F8" w14:textId="77777777" w:rsidR="0015203F" w:rsidRPr="00973161" w:rsidRDefault="0015203F" w:rsidP="003D4D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73161">
        <w:br w:type="page"/>
      </w:r>
    </w:p>
    <w:p w14:paraId="42103816" w14:textId="77777777" w:rsidR="00013A84" w:rsidRPr="00973161" w:rsidRDefault="00831541" w:rsidP="003D4DB6">
      <w:pPr>
        <w:pStyle w:val="Proposal"/>
      </w:pPr>
      <w:r w:rsidRPr="00973161">
        <w:lastRenderedPageBreak/>
        <w:t>ADD</w:t>
      </w:r>
      <w:r w:rsidRPr="00973161">
        <w:tab/>
        <w:t>ACP/62A27A20/1</w:t>
      </w:r>
    </w:p>
    <w:p w14:paraId="03447A8A" w14:textId="5014AAA8" w:rsidR="00013A84" w:rsidRPr="00973161" w:rsidRDefault="00831541" w:rsidP="000454A4">
      <w:pPr>
        <w:pStyle w:val="ResNo"/>
      </w:pPr>
      <w:r w:rsidRPr="00973161">
        <w:t>Projet de nouvelle Résolution [ACP-</w:t>
      </w:r>
      <w:r w:rsidR="00E31A00" w:rsidRPr="00973161">
        <w:t>AI10-1] (cmr-23)</w:t>
      </w:r>
    </w:p>
    <w:p w14:paraId="7580F75B" w14:textId="30B94851" w:rsidR="00E31A00" w:rsidRPr="00973161" w:rsidRDefault="00E31A00" w:rsidP="000454A4">
      <w:pPr>
        <w:pStyle w:val="Restitle"/>
      </w:pPr>
      <w:bookmarkStart w:id="5" w:name="_Toc35933926"/>
      <w:bookmarkStart w:id="6" w:name="_Toc39829408"/>
      <w:r w:rsidRPr="00973161">
        <w:t>Ordre du jour de la Conférence mondiale des radiocommunications de 202</w:t>
      </w:r>
      <w:bookmarkEnd w:id="5"/>
      <w:bookmarkEnd w:id="6"/>
      <w:r w:rsidRPr="00973161">
        <w:t>7</w:t>
      </w:r>
    </w:p>
    <w:p w14:paraId="6F9E56C4" w14:textId="6C9994F9" w:rsidR="00E31A00" w:rsidRPr="00973161" w:rsidRDefault="00E31A00" w:rsidP="000454A4">
      <w:pPr>
        <w:pStyle w:val="Normalaftertitle"/>
      </w:pPr>
      <w:r w:rsidRPr="00973161">
        <w:t>La Conférence mondiale des radiocommunications (</w:t>
      </w:r>
      <w:r w:rsidRPr="00973161">
        <w:rPr>
          <w:szCs w:val="24"/>
        </w:rPr>
        <w:t>Dubaï, 2023</w:t>
      </w:r>
      <w:r w:rsidRPr="00973161">
        <w:t>),</w:t>
      </w:r>
    </w:p>
    <w:p w14:paraId="034995A2" w14:textId="5A852BF1" w:rsidR="00E31A00" w:rsidRPr="00973161" w:rsidRDefault="00E31A00" w:rsidP="00005061">
      <w:r w:rsidRPr="00973161">
        <w:t>...</w:t>
      </w:r>
    </w:p>
    <w:p w14:paraId="0CCCAEDD" w14:textId="33FE5361" w:rsidR="00E31A00" w:rsidRPr="00973161" w:rsidRDefault="00E31A00" w:rsidP="00E17377">
      <w:pPr>
        <w:pStyle w:val="Call"/>
        <w:rPr>
          <w:i w:val="0"/>
          <w:iCs/>
        </w:rPr>
      </w:pPr>
      <w:r w:rsidRPr="00973161">
        <w:t>décide</w:t>
      </w:r>
    </w:p>
    <w:p w14:paraId="235CFE3F" w14:textId="2DFC270F" w:rsidR="00E31A00" w:rsidRPr="00973161" w:rsidRDefault="00E31A00" w:rsidP="000454A4">
      <w:r w:rsidRPr="00973161">
        <w:t>de recommander au Conseil de convoquer en 2027 une CMR d</w:t>
      </w:r>
      <w:r w:rsidR="00CE4958" w:rsidRPr="00973161">
        <w:t>'</w:t>
      </w:r>
      <w:r w:rsidRPr="00973161">
        <w:t>une durée maximale de quatre</w:t>
      </w:r>
      <w:r w:rsidR="00005061" w:rsidRPr="00973161">
        <w:t> </w:t>
      </w:r>
      <w:r w:rsidRPr="00973161">
        <w:t>semaines, dont l</w:t>
      </w:r>
      <w:r w:rsidR="00CE4958" w:rsidRPr="00973161">
        <w:t>'</w:t>
      </w:r>
      <w:r w:rsidRPr="00973161">
        <w:t>ordre du jour sera le suivant:</w:t>
      </w:r>
    </w:p>
    <w:p w14:paraId="419285F0" w14:textId="2EBF971B" w:rsidR="00E31A00" w:rsidRPr="00973161" w:rsidRDefault="00E31A00" w:rsidP="000454A4">
      <w:r w:rsidRPr="00973161">
        <w:t>1</w:t>
      </w:r>
      <w:r w:rsidRPr="00973161">
        <w:tab/>
        <w:t>sur la base des propositions des administrations, compte tenu des résultats de la CMR</w:t>
      </w:r>
      <w:r w:rsidRPr="00973161">
        <w:noBreakHyphen/>
        <w:t>23 ainsi que du rapport de la Réunion de préparation à la Conférence et compte dûment tenu des besoins des services existants ou futurs dans les bandes de fréquences considérées, examiner les points suivants et prendre les mesures appropriées:</w:t>
      </w:r>
    </w:p>
    <w:p w14:paraId="4115BEA7" w14:textId="2FF5EE36" w:rsidR="00E31A00" w:rsidRPr="00973161" w:rsidRDefault="00E31A00" w:rsidP="00005061">
      <w:r w:rsidRPr="00973161">
        <w:t>...</w:t>
      </w:r>
    </w:p>
    <w:p w14:paraId="005C1434" w14:textId="520609D2" w:rsidR="00E31A00" w:rsidRPr="00973161" w:rsidRDefault="00E31A00" w:rsidP="00254761">
      <w:pPr>
        <w:tabs>
          <w:tab w:val="clear" w:pos="1871"/>
          <w:tab w:val="clear" w:pos="2268"/>
        </w:tabs>
      </w:pPr>
      <w:r w:rsidRPr="00973161">
        <w:t>1.5</w:t>
      </w:r>
      <w:r w:rsidR="00254761" w:rsidRPr="00973161">
        <w:tab/>
      </w:r>
      <w:r w:rsidR="00463955" w:rsidRPr="00973161">
        <w:t xml:space="preserve">envisager une nouvelle attribution possible à titre primaire au service fixe par satellite (espace vers Terre) dans la bande de fréquences 17,3-17,7 GHz en Région 3 et une nouvelle attribution possible à titre primaire au service de radiodiffusion par satellite (espace vers Terre) dans la bande de fréquences 17,3-17,8 GHz en Région 3, tout en assurant la protection des services primaires existants dans les mêmes bandes de fréquences et dans les bandes de fréquences adjacentes; et mener à bien des études sur les mesures propres à protéger les services primaires </w:t>
      </w:r>
      <w:r w:rsidR="006E20A1" w:rsidRPr="00973161">
        <w:t>vis</w:t>
      </w:r>
      <w:r w:rsidR="00005061" w:rsidRPr="00973161">
        <w:noBreakHyphen/>
      </w:r>
      <w:r w:rsidR="006E20A1" w:rsidRPr="00973161">
        <w:t>à-vis de l</w:t>
      </w:r>
      <w:r w:rsidR="00CE4958" w:rsidRPr="00973161">
        <w:t>'</w:t>
      </w:r>
      <w:r w:rsidR="006E20A1" w:rsidRPr="00973161">
        <w:t>attribution à titre secondaire au service de radiolocalisation</w:t>
      </w:r>
      <w:r w:rsidR="00463955" w:rsidRPr="00973161">
        <w:t xml:space="preserve"> dans la bande de fréquences 17,3-17,7 GHz en Région 3, en vue d</w:t>
      </w:r>
      <w:r w:rsidR="00CE4958" w:rsidRPr="00973161">
        <w:t>'</w:t>
      </w:r>
      <w:r w:rsidR="00463955" w:rsidRPr="00973161">
        <w:t xml:space="preserve">élaborer des dispositions pertinentes applicables aux systèmes à satellites non géostationnaires du SFS (espace vers Terre) dans la bande de fréquences 17,3-17,8 GHz dans toutes les Régions, conformément à la Résolution </w:t>
      </w:r>
      <w:r w:rsidR="00463955" w:rsidRPr="00973161">
        <w:rPr>
          <w:b/>
          <w:bCs/>
        </w:rPr>
        <w:t>[ACP-AI10-8] (CMR-23)</w:t>
      </w:r>
      <w:r w:rsidR="003D4DB6" w:rsidRPr="00973161">
        <w:t>;</w:t>
      </w:r>
    </w:p>
    <w:p w14:paraId="0E5266EE" w14:textId="5F8B1640" w:rsidR="00013A84" w:rsidRPr="00973161" w:rsidRDefault="00E31A00" w:rsidP="00005061">
      <w:r w:rsidRPr="00973161">
        <w:t>...</w:t>
      </w:r>
    </w:p>
    <w:p w14:paraId="0A4366D8" w14:textId="77777777" w:rsidR="00013A84" w:rsidRPr="00973161" w:rsidRDefault="00013A84" w:rsidP="003D4DB6">
      <w:pPr>
        <w:pStyle w:val="Reasons"/>
      </w:pPr>
    </w:p>
    <w:p w14:paraId="56CD30A7" w14:textId="77777777" w:rsidR="00013A84" w:rsidRPr="00973161" w:rsidRDefault="00831541" w:rsidP="003D4DB6">
      <w:pPr>
        <w:pStyle w:val="Proposal"/>
      </w:pPr>
      <w:r w:rsidRPr="00973161">
        <w:lastRenderedPageBreak/>
        <w:t>ADD</w:t>
      </w:r>
      <w:r w:rsidRPr="00973161">
        <w:tab/>
        <w:t>ACP/62A27A20/2</w:t>
      </w:r>
    </w:p>
    <w:p w14:paraId="18D05BC0" w14:textId="75C7D70B" w:rsidR="00013A84" w:rsidRPr="00973161" w:rsidRDefault="00831541" w:rsidP="003D4DB6">
      <w:pPr>
        <w:pStyle w:val="ResNo"/>
      </w:pPr>
      <w:r w:rsidRPr="00973161">
        <w:t>Projet de nouvelle Résolution [ACP</w:t>
      </w:r>
      <w:r w:rsidR="008428CC" w:rsidRPr="00973161">
        <w:t>-AI10-8]</w:t>
      </w:r>
      <w:bookmarkStart w:id="7" w:name="_Hlk147823077"/>
      <w:r w:rsidR="008428CC" w:rsidRPr="00973161">
        <w:t xml:space="preserve"> (cmr-23)</w:t>
      </w:r>
      <w:bookmarkEnd w:id="7"/>
    </w:p>
    <w:p w14:paraId="0C5C8981" w14:textId="0CD731C5" w:rsidR="00013A84" w:rsidRPr="00973161" w:rsidRDefault="00757EC3" w:rsidP="000454A4">
      <w:pPr>
        <w:pStyle w:val="Restitle"/>
      </w:pPr>
      <w:r w:rsidRPr="00973161">
        <w:t xml:space="preserve">Nouvelle attribution possible à titre primaire au service fixe par satellite (espace vers Terre) dans la bande de fréquences 17,3-17,7 GHz en Région 3 et nouvelle attribution possible à titre primaire au service de radiodiffusion par satellite (espace vers Terre) dans la bande de fréquences 17,3-17,8 GHz en Région 3, études sur les mesures propres à protéger les services primaires </w:t>
      </w:r>
      <w:r w:rsidR="006E20A1" w:rsidRPr="00973161">
        <w:rPr>
          <w:b w:val="0"/>
          <w:bCs/>
        </w:rPr>
        <w:t>vis-à-vis de l</w:t>
      </w:r>
      <w:r w:rsidR="00CE4958" w:rsidRPr="00973161">
        <w:rPr>
          <w:b w:val="0"/>
          <w:bCs/>
        </w:rPr>
        <w:t>'</w:t>
      </w:r>
      <w:r w:rsidR="006E20A1" w:rsidRPr="00973161">
        <w:rPr>
          <w:b w:val="0"/>
          <w:bCs/>
        </w:rPr>
        <w:t xml:space="preserve">attribution à titre secondaire au service de radiolocalisation </w:t>
      </w:r>
      <w:r w:rsidRPr="00973161">
        <w:t>dans la bande</w:t>
      </w:r>
      <w:r w:rsidR="00254761" w:rsidRPr="00973161">
        <w:br/>
      </w:r>
      <w:r w:rsidRPr="00973161">
        <w:t>de fréquences 17,3-17,7 GHz en Région 3</w:t>
      </w:r>
      <w:r w:rsidR="002B5B67" w:rsidRPr="00973161">
        <w:t xml:space="preserve"> </w:t>
      </w:r>
      <w:r w:rsidRPr="00973161">
        <w:t>et élaboration de dispositions</w:t>
      </w:r>
      <w:r w:rsidR="00254761" w:rsidRPr="00973161">
        <w:t xml:space="preserve"> </w:t>
      </w:r>
      <w:r w:rsidRPr="00973161">
        <w:t>pertinentes</w:t>
      </w:r>
      <w:r w:rsidR="00005061" w:rsidRPr="00973161">
        <w:t xml:space="preserve"> </w:t>
      </w:r>
      <w:r w:rsidRPr="00973161">
        <w:t>applicables aux systèmes à satellites non géostationnaires</w:t>
      </w:r>
      <w:r w:rsidR="00254761" w:rsidRPr="00973161">
        <w:br/>
      </w:r>
      <w:r w:rsidRPr="00973161">
        <w:t>du service fixe par satellite dans le sens espace vers Terre</w:t>
      </w:r>
      <w:r w:rsidR="00254761" w:rsidRPr="00973161">
        <w:br/>
      </w:r>
      <w:r w:rsidRPr="00973161">
        <w:t>dans</w:t>
      </w:r>
      <w:r w:rsidR="00254761" w:rsidRPr="00973161">
        <w:t xml:space="preserve"> </w:t>
      </w:r>
      <w:r w:rsidRPr="00973161">
        <w:t>la bande de fréquences 17,3-17,8</w:t>
      </w:r>
      <w:r w:rsidR="00E5630B" w:rsidRPr="00973161">
        <w:t xml:space="preserve"> </w:t>
      </w:r>
      <w:r w:rsidRPr="00973161">
        <w:t>GHz</w:t>
      </w:r>
      <w:r w:rsidR="00254761" w:rsidRPr="00973161">
        <w:br/>
      </w:r>
      <w:r w:rsidRPr="00973161">
        <w:t>dans</w:t>
      </w:r>
      <w:r w:rsidR="00254761" w:rsidRPr="00973161">
        <w:t xml:space="preserve"> </w:t>
      </w:r>
      <w:r w:rsidRPr="00973161">
        <w:t>toutes les Régions</w:t>
      </w:r>
    </w:p>
    <w:p w14:paraId="10777A12" w14:textId="1AB822CE" w:rsidR="008428CC" w:rsidRPr="00973161" w:rsidRDefault="008428CC" w:rsidP="003D4DB6">
      <w:pPr>
        <w:pStyle w:val="Normalaftertitle"/>
      </w:pPr>
      <w:r w:rsidRPr="00973161">
        <w:t>La Conférence mondiale des radiocommunications (Dubaï, 2023),</w:t>
      </w:r>
    </w:p>
    <w:p w14:paraId="5292C6A0" w14:textId="77777777" w:rsidR="008428CC" w:rsidRPr="00973161" w:rsidRDefault="008428CC" w:rsidP="003D4DB6">
      <w:pPr>
        <w:pStyle w:val="Call"/>
      </w:pPr>
      <w:r w:rsidRPr="00973161">
        <w:t>considérant</w:t>
      </w:r>
    </w:p>
    <w:p w14:paraId="63DAC9E8" w14:textId="2063628B" w:rsidR="008428CC" w:rsidRPr="00973161" w:rsidRDefault="008428CC" w:rsidP="003D4DB6">
      <w:r w:rsidRPr="00973161">
        <w:rPr>
          <w:i/>
          <w:iCs/>
        </w:rPr>
        <w:t>a)</w:t>
      </w:r>
      <w:r w:rsidR="00254761" w:rsidRPr="00973161">
        <w:tab/>
      </w:r>
      <w:r w:rsidRPr="00973161">
        <w:t>qu</w:t>
      </w:r>
      <w:r w:rsidR="00CE4958" w:rsidRPr="00973161">
        <w:t>'</w:t>
      </w:r>
      <w:r w:rsidRPr="00973161">
        <w:t>il est nécessaire d</w:t>
      </w:r>
      <w:r w:rsidR="00CE4958" w:rsidRPr="00973161">
        <w:t>'</w:t>
      </w:r>
      <w:r w:rsidRPr="00973161">
        <w:t>encourager la mise au point et la mise en œuvre de nouvelles technologies dans le service fixe par satellite (SFS) pour les applications large bande</w:t>
      </w:r>
      <w:r w:rsidR="00757EC3" w:rsidRPr="00973161">
        <w:t xml:space="preserve"> et dans le service de radiodiffusion par satellite (SRS) pour les applications de télévision à ultra-haute définition</w:t>
      </w:r>
      <w:r w:rsidRPr="00973161">
        <w:t>;</w:t>
      </w:r>
    </w:p>
    <w:p w14:paraId="5B80A4B1" w14:textId="6489595C" w:rsidR="008428CC" w:rsidRPr="00973161" w:rsidRDefault="008428CC" w:rsidP="003D4DB6">
      <w:r w:rsidRPr="00973161">
        <w:rPr>
          <w:i/>
          <w:iCs/>
        </w:rPr>
        <w:t>b)</w:t>
      </w:r>
      <w:r w:rsidRPr="00973161">
        <w:tab/>
        <w:t>que les systèmes du SFS reposant sur l</w:t>
      </w:r>
      <w:r w:rsidR="00CE4958" w:rsidRPr="00973161">
        <w:t>'</w:t>
      </w:r>
      <w:r w:rsidRPr="00973161">
        <w:t>utilisation des nouvelles technologies associées aux systèmes à satellites géostationnaires</w:t>
      </w:r>
      <w:r w:rsidR="00757EC3" w:rsidRPr="00973161">
        <w:t xml:space="preserve"> et non-géostationnaires</w:t>
      </w:r>
      <w:r w:rsidRPr="00973161">
        <w:t xml:space="preserve"> permettent d</w:t>
      </w:r>
      <w:r w:rsidR="00CE4958" w:rsidRPr="00973161">
        <w:t>'</w:t>
      </w:r>
      <w:r w:rsidRPr="00973161">
        <w:t>offrir des moyens de communication large bande à grande capacité et à faible coût, même dans les régions les plus isolées du monde</w:t>
      </w:r>
      <w:r w:rsidR="00757EC3" w:rsidRPr="00973161">
        <w:t>, et que les systèmes du SRS permettent d</w:t>
      </w:r>
      <w:r w:rsidR="00CE4958" w:rsidRPr="00973161">
        <w:t>'</w:t>
      </w:r>
      <w:r w:rsidR="00757EC3" w:rsidRPr="00973161">
        <w:t xml:space="preserve">offrir des moyens de </w:t>
      </w:r>
      <w:r w:rsidR="002B5B67" w:rsidRPr="00973161">
        <w:t>radiodiffusion</w:t>
      </w:r>
      <w:r w:rsidR="00757EC3" w:rsidRPr="00973161">
        <w:t xml:space="preserve"> large bande de qualité et à faible coût</w:t>
      </w:r>
      <w:r w:rsidRPr="00973161">
        <w:t>;</w:t>
      </w:r>
    </w:p>
    <w:p w14:paraId="7921741A" w14:textId="0F21D15B" w:rsidR="008428CC" w:rsidRPr="00973161" w:rsidRDefault="008428CC" w:rsidP="003D4DB6">
      <w:pPr>
        <w:rPr>
          <w:i/>
          <w:iCs/>
        </w:rPr>
      </w:pPr>
      <w:r w:rsidRPr="00973161">
        <w:rPr>
          <w:i/>
          <w:iCs/>
        </w:rPr>
        <w:t>c)</w:t>
      </w:r>
      <w:r w:rsidRPr="00973161">
        <w:rPr>
          <w:i/>
          <w:iCs/>
        </w:rPr>
        <w:tab/>
      </w:r>
      <w:r w:rsidR="003D4DB6" w:rsidRPr="00973161">
        <w:t>qu</w:t>
      </w:r>
      <w:r w:rsidR="00CE4958" w:rsidRPr="00973161">
        <w:t>'</w:t>
      </w:r>
      <w:r w:rsidR="003D4DB6" w:rsidRPr="00973161">
        <w:t xml:space="preserve">en raison des caractéristiques orbitales des systèmes à satellites non géostationnaires, les constellations sont capables </w:t>
      </w:r>
      <w:r w:rsidR="00757EC3" w:rsidRPr="00973161">
        <w:t>de fournir</w:t>
      </w:r>
      <w:r w:rsidR="003D4DB6" w:rsidRPr="00973161">
        <w:t xml:space="preserve"> des services </w:t>
      </w:r>
      <w:r w:rsidR="00757EC3" w:rsidRPr="00973161">
        <w:t xml:space="preserve">dans le monde entier et </w:t>
      </w:r>
      <w:r w:rsidR="003D4DB6" w:rsidRPr="00973161">
        <w:t>qu</w:t>
      </w:r>
      <w:r w:rsidR="00CE4958" w:rsidRPr="00973161">
        <w:t>'</w:t>
      </w:r>
      <w:r w:rsidR="003D4DB6" w:rsidRPr="00973161">
        <w:t xml:space="preserve">il faut donc harmoniser </w:t>
      </w:r>
      <w:r w:rsidR="001F20E7" w:rsidRPr="00973161">
        <w:t xml:space="preserve">les dispositions </w:t>
      </w:r>
      <w:r w:rsidR="005A6D59" w:rsidRPr="00973161">
        <w:t>réglementaires applicables aux</w:t>
      </w:r>
      <w:r w:rsidR="003D4DB6" w:rsidRPr="00973161">
        <w:t xml:space="preserve"> radiocommunications</w:t>
      </w:r>
      <w:r w:rsidRPr="00973161">
        <w:t>;</w:t>
      </w:r>
    </w:p>
    <w:p w14:paraId="713B0B37" w14:textId="5DA726A7" w:rsidR="008428CC" w:rsidRPr="00973161" w:rsidRDefault="003D4DB6" w:rsidP="003D4DB6">
      <w:r w:rsidRPr="00973161">
        <w:rPr>
          <w:i/>
          <w:iCs/>
        </w:rPr>
        <w:t>d</w:t>
      </w:r>
      <w:r w:rsidR="008428CC" w:rsidRPr="00973161">
        <w:rPr>
          <w:i/>
          <w:iCs/>
        </w:rPr>
        <w:t>)</w:t>
      </w:r>
      <w:r w:rsidR="008428CC" w:rsidRPr="00973161">
        <w:tab/>
        <w:t>que le Règlement des radiocommunications devrait permettre la mise en œuvre des nouvelles applications des techniques de radiocommunication pour garantir l</w:t>
      </w:r>
      <w:r w:rsidR="00CE4958" w:rsidRPr="00973161">
        <w:t>'</w:t>
      </w:r>
      <w:r w:rsidR="008428CC" w:rsidRPr="00973161">
        <w:t>exploitation du plus grand nombre possible de systèmes, afin de garantir l</w:t>
      </w:r>
      <w:r w:rsidR="00CE4958" w:rsidRPr="00973161">
        <w:t>'</w:t>
      </w:r>
      <w:r w:rsidR="008428CC" w:rsidRPr="00973161">
        <w:t>efficacité d</w:t>
      </w:r>
      <w:r w:rsidR="00CE4958" w:rsidRPr="00973161">
        <w:t>'</w:t>
      </w:r>
      <w:r w:rsidR="008428CC" w:rsidRPr="00973161">
        <w:t>utilisation du spectre;</w:t>
      </w:r>
    </w:p>
    <w:p w14:paraId="0EF6B011" w14:textId="64055983" w:rsidR="003D4DB6" w:rsidRPr="00973161" w:rsidRDefault="003D4DB6" w:rsidP="003D4DB6">
      <w:r w:rsidRPr="00973161">
        <w:rPr>
          <w:i/>
          <w:iCs/>
        </w:rPr>
        <w:t>e</w:t>
      </w:r>
      <w:r w:rsidR="008428CC" w:rsidRPr="00973161">
        <w:rPr>
          <w:i/>
          <w:iCs/>
        </w:rPr>
        <w:t>)</w:t>
      </w:r>
      <w:r w:rsidR="008428CC" w:rsidRPr="00973161">
        <w:tab/>
      </w:r>
      <w:r w:rsidRPr="00973161">
        <w:t>qu</w:t>
      </w:r>
      <w:r w:rsidR="00CE4958" w:rsidRPr="00973161">
        <w:t>'</w:t>
      </w:r>
      <w:r w:rsidRPr="00973161">
        <w:t xml:space="preserve">il y a une </w:t>
      </w:r>
      <w:r w:rsidR="001F20E7" w:rsidRPr="00973161">
        <w:t>inadéquation</w:t>
      </w:r>
      <w:r w:rsidRPr="00973161">
        <w:t xml:space="preserve"> </w:t>
      </w:r>
      <w:r w:rsidR="001F20E7" w:rsidRPr="00973161">
        <w:t xml:space="preserve">entre </w:t>
      </w:r>
      <w:r w:rsidRPr="00973161">
        <w:t xml:space="preserve">la largeur de bande utilisable </w:t>
      </w:r>
      <w:r w:rsidR="00AD4014" w:rsidRPr="00973161">
        <w:t>sur la</w:t>
      </w:r>
      <w:r w:rsidRPr="00973161">
        <w:t xml:space="preserve"> liaison descendante du SFS en Région 3 dans la gamme de fréquences 17-20 GHz </w:t>
      </w:r>
      <w:r w:rsidR="001F20E7" w:rsidRPr="00973161">
        <w:t>et</w:t>
      </w:r>
      <w:r w:rsidRPr="00973161">
        <w:t xml:space="preserve"> la bande de fréquences 27-30 GHz pour </w:t>
      </w:r>
      <w:r w:rsidR="00AD4014" w:rsidRPr="00973161">
        <w:t>la</w:t>
      </w:r>
      <w:r w:rsidRPr="00973161">
        <w:t xml:space="preserve"> liaison</w:t>
      </w:r>
      <w:r w:rsidR="00AD4014" w:rsidRPr="00973161">
        <w:t xml:space="preserve"> </w:t>
      </w:r>
      <w:r w:rsidRPr="00973161">
        <w:t>montante;</w:t>
      </w:r>
    </w:p>
    <w:p w14:paraId="28CD2DA1" w14:textId="3ED17DA4" w:rsidR="003D4DB6" w:rsidRPr="00973161" w:rsidRDefault="003D4DB6" w:rsidP="003D4DB6">
      <w:r w:rsidRPr="00973161">
        <w:rPr>
          <w:i/>
          <w:iCs/>
        </w:rPr>
        <w:t>f)</w:t>
      </w:r>
      <w:r w:rsidRPr="00973161">
        <w:tab/>
        <w:t>que</w:t>
      </w:r>
      <w:r w:rsidR="00AD4014" w:rsidRPr="00973161">
        <w:t xml:space="preserve"> </w:t>
      </w:r>
      <w:r w:rsidRPr="00973161">
        <w:t>dans la Région 3, la bande de fréquences 17,3-18,1 GHz est attribuée à titre primaire au SFS (Terre vers espace), sous réserve de l</w:t>
      </w:r>
      <w:r w:rsidR="00CE4958" w:rsidRPr="00973161">
        <w:t>'</w:t>
      </w:r>
      <w:r w:rsidRPr="00973161">
        <w:t xml:space="preserve">application du numéro </w:t>
      </w:r>
      <w:r w:rsidRPr="00973161">
        <w:rPr>
          <w:rStyle w:val="Artref"/>
          <w:b/>
          <w:bCs/>
        </w:rPr>
        <w:t>5.516</w:t>
      </w:r>
      <w:r w:rsidRPr="00973161">
        <w:t>;</w:t>
      </w:r>
    </w:p>
    <w:p w14:paraId="625C4ED4" w14:textId="6208170D" w:rsidR="003D4DB6" w:rsidRPr="00973161" w:rsidRDefault="003D4DB6" w:rsidP="003D4DB6">
      <w:r w:rsidRPr="00973161">
        <w:rPr>
          <w:i/>
          <w:iCs/>
        </w:rPr>
        <w:t>g)</w:t>
      </w:r>
      <w:r w:rsidRPr="00973161">
        <w:tab/>
        <w:t>qu</w:t>
      </w:r>
      <w:r w:rsidR="00CE4958" w:rsidRPr="00973161">
        <w:t>'</w:t>
      </w:r>
      <w:r w:rsidR="001F20E7" w:rsidRPr="00973161">
        <w:t>il n</w:t>
      </w:r>
      <w:r w:rsidR="00CE4958" w:rsidRPr="00973161">
        <w:t>'</w:t>
      </w:r>
      <w:r w:rsidR="001F20E7" w:rsidRPr="00973161">
        <w:t xml:space="preserve">existe </w:t>
      </w:r>
      <w:r w:rsidRPr="00973161">
        <w:t xml:space="preserve">aucune disposition pertinente </w:t>
      </w:r>
      <w:r w:rsidR="001F20E7" w:rsidRPr="00973161">
        <w:t>applicable</w:t>
      </w:r>
      <w:r w:rsidRPr="00973161">
        <w:t xml:space="preserve"> au SFS non</w:t>
      </w:r>
      <w:r w:rsidR="00AD4014" w:rsidRPr="00973161">
        <w:t xml:space="preserve">-géostationnaire </w:t>
      </w:r>
      <w:r w:rsidRPr="00973161">
        <w:t>dans l</w:t>
      </w:r>
      <w:r w:rsidR="00AD4014" w:rsidRPr="00973161">
        <w:t>a bande de fr</w:t>
      </w:r>
      <w:r w:rsidRPr="00973161">
        <w:t>équence</w:t>
      </w:r>
      <w:r w:rsidR="00AD4014" w:rsidRPr="00973161">
        <w:t>s</w:t>
      </w:r>
      <w:r w:rsidRPr="00973161">
        <w:t xml:space="preserve"> 17,7-17,8 GHz;</w:t>
      </w:r>
    </w:p>
    <w:p w14:paraId="5E074A7F" w14:textId="71856BDE" w:rsidR="008428CC" w:rsidRPr="00973161" w:rsidRDefault="003D4DB6" w:rsidP="003D4DB6">
      <w:r w:rsidRPr="00973161">
        <w:rPr>
          <w:i/>
          <w:iCs/>
        </w:rPr>
        <w:t>h)</w:t>
      </w:r>
      <w:r w:rsidRPr="00973161">
        <w:tab/>
        <w:t>que l</w:t>
      </w:r>
      <w:r w:rsidR="00CE4958" w:rsidRPr="00973161">
        <w:t>'</w:t>
      </w:r>
      <w:r w:rsidRPr="00973161">
        <w:t xml:space="preserve">attribution à titre secondaire au service de radiolocalisation </w:t>
      </w:r>
      <w:r w:rsidR="006E41C5" w:rsidRPr="00973161">
        <w:t>dans la</w:t>
      </w:r>
      <w:r w:rsidRPr="00973161">
        <w:t xml:space="preserve"> bande </w:t>
      </w:r>
      <w:r w:rsidR="006E41C5" w:rsidRPr="00973161">
        <w:t xml:space="preserve">de fréquences </w:t>
      </w:r>
      <w:r w:rsidRPr="00973161">
        <w:t xml:space="preserve">17,3-17,7 GHz peut causer des brouillages inacceptables aux liaisons de connexion </w:t>
      </w:r>
      <w:r w:rsidR="006E41C5" w:rsidRPr="00973161">
        <w:t>du SRS et a</w:t>
      </w:r>
      <w:r w:rsidRPr="00973161">
        <w:t>ux liaisons descendantes du SRS</w:t>
      </w:r>
      <w:r w:rsidR="008428CC" w:rsidRPr="00973161">
        <w:t>,</w:t>
      </w:r>
    </w:p>
    <w:p w14:paraId="38B6546D" w14:textId="5DB1EFC5" w:rsidR="008428CC" w:rsidRPr="00973161" w:rsidRDefault="008428CC" w:rsidP="003D4DB6">
      <w:pPr>
        <w:pStyle w:val="Call"/>
      </w:pPr>
      <w:r w:rsidRPr="00973161">
        <w:lastRenderedPageBreak/>
        <w:t>notant</w:t>
      </w:r>
    </w:p>
    <w:p w14:paraId="78F91106" w14:textId="3F323007" w:rsidR="003D4DB6" w:rsidRPr="00973161" w:rsidRDefault="008428CC" w:rsidP="003D4DB6">
      <w:r w:rsidRPr="00973161">
        <w:rPr>
          <w:i/>
          <w:iCs/>
        </w:rPr>
        <w:t>a)</w:t>
      </w:r>
      <w:r w:rsidRPr="00973161">
        <w:tab/>
      </w:r>
      <w:r w:rsidR="003D4DB6" w:rsidRPr="00973161">
        <w:t xml:space="preserve">que des </w:t>
      </w:r>
      <w:r w:rsidR="006E41C5" w:rsidRPr="00973161">
        <w:t>technologies</w:t>
      </w:r>
      <w:r w:rsidR="003D4DB6" w:rsidRPr="00973161">
        <w:t xml:space="preserve"> ont été mises au point pour </w:t>
      </w:r>
      <w:r w:rsidR="000A648C" w:rsidRPr="00973161">
        <w:t xml:space="preserve">assurer </w:t>
      </w:r>
      <w:r w:rsidR="003D4DB6" w:rsidRPr="00973161">
        <w:t xml:space="preserve">une utilisation plus efficace du spectre et permettre le partage bidirectionnel </w:t>
      </w:r>
      <w:r w:rsidR="006E41C5" w:rsidRPr="00973161">
        <w:t>et unidirectionnel</w:t>
      </w:r>
      <w:r w:rsidR="003D4DB6" w:rsidRPr="00973161">
        <w:t>;</w:t>
      </w:r>
    </w:p>
    <w:p w14:paraId="060F079F" w14:textId="036942C1" w:rsidR="003D4DB6" w:rsidRPr="00973161" w:rsidRDefault="003D4DB6" w:rsidP="003D4DB6">
      <w:r w:rsidRPr="00973161">
        <w:rPr>
          <w:i/>
          <w:iCs/>
        </w:rPr>
        <w:t>b)</w:t>
      </w:r>
      <w:r w:rsidRPr="00973161">
        <w:tab/>
        <w:t>que le partage bidirectionnel entre le SFS (Terre vers espace) et le SFS (espace vers Terre) est déjà envisagé dans la</w:t>
      </w:r>
      <w:r w:rsidR="004A4B70" w:rsidRPr="00973161">
        <w:t xml:space="preserve"> </w:t>
      </w:r>
      <w:r w:rsidRPr="00973161">
        <w:t>[les] Région[s] 1 [et 2] pour la bande de fréquences 17,3-17,7 GHz;</w:t>
      </w:r>
    </w:p>
    <w:p w14:paraId="09A41CBB" w14:textId="584AF540" w:rsidR="003D4DB6" w:rsidRPr="00973161" w:rsidRDefault="003D4DB6" w:rsidP="003D4DB6">
      <w:r w:rsidRPr="00973161">
        <w:rPr>
          <w:i/>
          <w:iCs/>
        </w:rPr>
        <w:t>c)</w:t>
      </w:r>
      <w:r w:rsidRPr="00973161">
        <w:tab/>
        <w:t>que l</w:t>
      </w:r>
      <w:r w:rsidR="00CE4958" w:rsidRPr="00973161">
        <w:t>'</w:t>
      </w:r>
      <w:r w:rsidRPr="00973161">
        <w:t>extension à la Région 3 de l</w:t>
      </w:r>
      <w:r w:rsidR="00CE4958" w:rsidRPr="00973161">
        <w:t>'</w:t>
      </w:r>
      <w:r w:rsidRPr="00973161">
        <w:t>attribution au SFS (espace vers Terre) dans la bande de fréquences 17,3-17,7 GHz et de l</w:t>
      </w:r>
      <w:r w:rsidR="00CE4958" w:rsidRPr="00973161">
        <w:t>'</w:t>
      </w:r>
      <w:r w:rsidRPr="00973161">
        <w:t>attribution au SRS (espace vers Terre) dans la bande de fréquences 17,3-17,8 GHz contribuera à une harmonisation mondiale;</w:t>
      </w:r>
    </w:p>
    <w:p w14:paraId="77EEEDB9" w14:textId="18D094E5" w:rsidR="003D4DB6" w:rsidRPr="00973161" w:rsidRDefault="003D4DB6" w:rsidP="003D4DB6">
      <w:r w:rsidRPr="00973161">
        <w:rPr>
          <w:i/>
          <w:iCs/>
        </w:rPr>
        <w:t>d)</w:t>
      </w:r>
      <w:r w:rsidRPr="00973161">
        <w:tab/>
        <w:t>qu</w:t>
      </w:r>
      <w:r w:rsidR="00CE4958" w:rsidRPr="00973161">
        <w:t>'</w:t>
      </w:r>
      <w:r w:rsidRPr="00973161">
        <w:t>il n</w:t>
      </w:r>
      <w:r w:rsidR="00CE4958" w:rsidRPr="00973161">
        <w:t>'</w:t>
      </w:r>
      <w:r w:rsidRPr="00973161">
        <w:t>y a pas d</w:t>
      </w:r>
      <w:r w:rsidR="00CE4958" w:rsidRPr="00973161">
        <w:t>'</w:t>
      </w:r>
      <w:r w:rsidRPr="00973161">
        <w:t xml:space="preserve">autre service primaire dans la bande de fréquences 17,3-17,7 GHz hormis le SFS (Terre vers espace) </w:t>
      </w:r>
      <w:r w:rsidR="00BB3DC4" w:rsidRPr="00973161">
        <w:t xml:space="preserve">en </w:t>
      </w:r>
      <w:r w:rsidRPr="00973161">
        <w:t>Région 3;</w:t>
      </w:r>
    </w:p>
    <w:p w14:paraId="7543076D" w14:textId="7403336B" w:rsidR="008428CC" w:rsidRPr="00973161" w:rsidRDefault="003D4DB6" w:rsidP="003D4DB6">
      <w:r w:rsidRPr="00973161">
        <w:rPr>
          <w:i/>
          <w:iCs/>
        </w:rPr>
        <w:t>e)</w:t>
      </w:r>
      <w:r w:rsidRPr="00973161">
        <w:tab/>
        <w:t xml:space="preserve">que la bande de fréquences 17,3-17,7 GHz est attribuée au service de radiolocalisation à titre secondaire dans toutes les Régions, y compris </w:t>
      </w:r>
      <w:r w:rsidR="00BB3DC4" w:rsidRPr="00973161">
        <w:t>en</w:t>
      </w:r>
      <w:r w:rsidRPr="00973161">
        <w:t xml:space="preserve"> Région 3</w:t>
      </w:r>
      <w:r w:rsidR="008428CC" w:rsidRPr="00973161">
        <w:t>,</w:t>
      </w:r>
    </w:p>
    <w:p w14:paraId="0EE619B3" w14:textId="7A3BBEFD" w:rsidR="008428CC" w:rsidRPr="00973161" w:rsidRDefault="008428CC" w:rsidP="003D4DB6">
      <w:pPr>
        <w:pStyle w:val="Call"/>
      </w:pPr>
      <w:r w:rsidRPr="00973161">
        <w:t>décide</w:t>
      </w:r>
    </w:p>
    <w:p w14:paraId="5E5E1E2E" w14:textId="31E7464E" w:rsidR="008428CC" w:rsidRPr="00973161" w:rsidRDefault="003D4DB6" w:rsidP="003D4DB6">
      <w:r w:rsidRPr="00973161">
        <w:t xml:space="preserve">que les études visées dans </w:t>
      </w:r>
      <w:r w:rsidR="00BB3DC4" w:rsidRPr="00973161">
        <w:t xml:space="preserve">le </w:t>
      </w:r>
      <w:r w:rsidRPr="00973161">
        <w:rPr>
          <w:i/>
          <w:iCs/>
        </w:rPr>
        <w:t>décide d</w:t>
      </w:r>
      <w:r w:rsidR="00CE4958" w:rsidRPr="00973161">
        <w:rPr>
          <w:i/>
          <w:iCs/>
        </w:rPr>
        <w:t>'</w:t>
      </w:r>
      <w:r w:rsidRPr="00973161">
        <w:rPr>
          <w:i/>
          <w:iCs/>
        </w:rPr>
        <w:t>inviter l</w:t>
      </w:r>
      <w:r w:rsidR="00CE4958" w:rsidRPr="00973161">
        <w:rPr>
          <w:i/>
          <w:iCs/>
        </w:rPr>
        <w:t>'</w:t>
      </w:r>
      <w:r w:rsidRPr="00973161">
        <w:rPr>
          <w:i/>
          <w:iCs/>
        </w:rPr>
        <w:t>UIT-R</w:t>
      </w:r>
      <w:r w:rsidRPr="00973161">
        <w:t xml:space="preserve"> ci-dessous </w:t>
      </w:r>
      <w:r w:rsidR="00392BA5" w:rsidRPr="00973161">
        <w:t xml:space="preserve">permettront de protéger </w:t>
      </w:r>
      <w:r w:rsidRPr="00973161">
        <w:t>les services de radiocommunication auxquels la bande de fréquences est attribuée à titre primaire, en particulier les assignations aux liaisons de connexion du SRS figurant dans l</w:t>
      </w:r>
      <w:r w:rsidR="00CE4958" w:rsidRPr="00973161">
        <w:t>'</w:t>
      </w:r>
      <w:r w:rsidRPr="00973161">
        <w:t xml:space="preserve">Appendice </w:t>
      </w:r>
      <w:r w:rsidRPr="00973161">
        <w:rPr>
          <w:rStyle w:val="Appref"/>
          <w:b/>
          <w:bCs/>
        </w:rPr>
        <w:t>30A</w:t>
      </w:r>
      <w:r w:rsidRPr="00973161">
        <w:t>,</w:t>
      </w:r>
    </w:p>
    <w:p w14:paraId="562B9FC8" w14:textId="2C594F0B" w:rsidR="008428CC" w:rsidRPr="00973161" w:rsidRDefault="003D4DB6" w:rsidP="003D4DB6">
      <w:pPr>
        <w:pStyle w:val="Call"/>
      </w:pPr>
      <w:r w:rsidRPr="00973161">
        <w:t>décide d</w:t>
      </w:r>
      <w:r w:rsidR="00CE4958" w:rsidRPr="00973161">
        <w:t>'</w:t>
      </w:r>
      <w:r w:rsidRPr="00973161">
        <w:t>inviter l</w:t>
      </w:r>
      <w:r w:rsidR="00CE4958" w:rsidRPr="00973161">
        <w:t>'</w:t>
      </w:r>
      <w:r w:rsidRPr="00973161">
        <w:t>UIT-R à mener et à achever à temps pour la CMR-27</w:t>
      </w:r>
    </w:p>
    <w:p w14:paraId="2DDA5336" w14:textId="750FA044" w:rsidR="007A4476" w:rsidRPr="00973161" w:rsidRDefault="008428CC" w:rsidP="003D4DB6">
      <w:r w:rsidRPr="00973161">
        <w:t>1</w:t>
      </w:r>
      <w:r w:rsidRPr="00973161">
        <w:tab/>
      </w:r>
      <w:r w:rsidR="00392BA5" w:rsidRPr="00973161">
        <w:t>des é</w:t>
      </w:r>
      <w:r w:rsidR="003D4DB6" w:rsidRPr="00973161">
        <w:t xml:space="preserve">tudes de partage et de compatibilité entre le SFS (espace vers Terre), le SRS (espace vers Terre) et le SFS (Terre vers espace) </w:t>
      </w:r>
      <w:r w:rsidR="00392BA5" w:rsidRPr="00973161">
        <w:t>visés au numéro</w:t>
      </w:r>
      <w:r w:rsidR="003D4DB6" w:rsidRPr="00973161">
        <w:t xml:space="preserve"> </w:t>
      </w:r>
      <w:r w:rsidR="003D4DB6" w:rsidRPr="00973161">
        <w:rPr>
          <w:rStyle w:val="Artref"/>
          <w:b/>
          <w:bCs/>
        </w:rPr>
        <w:t>5.516</w:t>
      </w:r>
      <w:r w:rsidR="00392BA5" w:rsidRPr="00973161">
        <w:t xml:space="preserve">, </w:t>
      </w:r>
      <w:r w:rsidR="003D4DB6" w:rsidRPr="00973161">
        <w:t>afin d</w:t>
      </w:r>
      <w:r w:rsidR="00CE4958" w:rsidRPr="00973161">
        <w:t>'</w:t>
      </w:r>
      <w:r w:rsidR="003D4DB6" w:rsidRPr="00973161">
        <w:t xml:space="preserve">envisager une nouvelle attribution éventuelle à titre primaire au SFS (espace vers Terre) dans la bande de fréquences 17,3-17,7 GHz </w:t>
      </w:r>
      <w:r w:rsidR="00392BA5" w:rsidRPr="00973161">
        <w:t>en</w:t>
      </w:r>
      <w:r w:rsidR="003D4DB6" w:rsidRPr="00973161">
        <w:t xml:space="preserve"> Région 3 </w:t>
      </w:r>
      <w:r w:rsidR="00392BA5" w:rsidRPr="00973161">
        <w:t>et au</w:t>
      </w:r>
      <w:r w:rsidR="003D4DB6" w:rsidRPr="00973161">
        <w:t xml:space="preserve"> SRS (espace vers Terre) dans la bande de fréquences 17,3-17,8 GHz </w:t>
      </w:r>
      <w:r w:rsidR="00392BA5" w:rsidRPr="00973161">
        <w:t>en</w:t>
      </w:r>
      <w:r w:rsidR="003D4DB6" w:rsidRPr="00973161">
        <w:t xml:space="preserve"> Région 3, tout en assurant la protection des attributions existantes à titre primaire </w:t>
      </w:r>
      <w:r w:rsidR="00392BA5" w:rsidRPr="00973161">
        <w:t>dans les mêmes</w:t>
      </w:r>
      <w:r w:rsidR="003D4DB6" w:rsidRPr="00973161">
        <w:t xml:space="preserve"> bande</w:t>
      </w:r>
      <w:r w:rsidR="00392BA5" w:rsidRPr="00973161">
        <w:t>s</w:t>
      </w:r>
      <w:r w:rsidR="003D4DB6" w:rsidRPr="00973161">
        <w:t xml:space="preserve"> de fréquences et dans les bandes </w:t>
      </w:r>
      <w:r w:rsidR="00392BA5" w:rsidRPr="00973161">
        <w:t xml:space="preserve">de fréquences </w:t>
      </w:r>
      <w:r w:rsidR="003D4DB6" w:rsidRPr="00973161">
        <w:t xml:space="preserve">adjacentes, sans nuire aux attributions existantes au SFS (Terre vers espace) </w:t>
      </w:r>
      <w:r w:rsidR="00392BA5" w:rsidRPr="00973161">
        <w:t xml:space="preserve">visées au </w:t>
      </w:r>
      <w:r w:rsidR="003D4DB6" w:rsidRPr="00973161">
        <w:t xml:space="preserve">numéro </w:t>
      </w:r>
      <w:r w:rsidR="003D4DB6" w:rsidRPr="00973161">
        <w:rPr>
          <w:rStyle w:val="Artref"/>
          <w:b/>
          <w:bCs/>
        </w:rPr>
        <w:t>5.516</w:t>
      </w:r>
      <w:r w:rsidR="003D4DB6" w:rsidRPr="00973161">
        <w:t>, y compris les assignations aux liaisons de connexion du SRS figurant dans l</w:t>
      </w:r>
      <w:r w:rsidR="00CE4958" w:rsidRPr="00973161">
        <w:t>'</w:t>
      </w:r>
      <w:r w:rsidR="003D4DB6" w:rsidRPr="00973161">
        <w:t xml:space="preserve">Appendice </w:t>
      </w:r>
      <w:r w:rsidR="003D4DB6" w:rsidRPr="00973161">
        <w:rPr>
          <w:rStyle w:val="Artref"/>
          <w:b/>
          <w:bCs/>
        </w:rPr>
        <w:t>30A</w:t>
      </w:r>
      <w:r w:rsidR="007A4476" w:rsidRPr="00973161">
        <w:t>;</w:t>
      </w:r>
    </w:p>
    <w:p w14:paraId="56BB56BE" w14:textId="51ADAB68" w:rsidR="008428CC" w:rsidRPr="00973161" w:rsidRDefault="008428CC" w:rsidP="003D4DB6">
      <w:r w:rsidRPr="00973161">
        <w:t>2</w:t>
      </w:r>
      <w:r w:rsidRPr="00973161">
        <w:tab/>
      </w:r>
      <w:r w:rsidR="003D4DB6" w:rsidRPr="00973161">
        <w:t>d</w:t>
      </w:r>
      <w:r w:rsidR="00392BA5" w:rsidRPr="00973161">
        <w:t xml:space="preserve">es </w:t>
      </w:r>
      <w:r w:rsidR="003D4DB6" w:rsidRPr="00973161">
        <w:t>études sur les mesures propres à protéger les services primaires vis-à-vis de l</w:t>
      </w:r>
      <w:r w:rsidR="00CE4958" w:rsidRPr="00973161">
        <w:t>'</w:t>
      </w:r>
      <w:r w:rsidR="003D4DB6" w:rsidRPr="00973161">
        <w:t xml:space="preserve">attribution </w:t>
      </w:r>
      <w:r w:rsidR="006E20A1" w:rsidRPr="00973161">
        <w:t xml:space="preserve">à titre </w:t>
      </w:r>
      <w:r w:rsidR="003D4DB6" w:rsidRPr="00973161">
        <w:t>secondaire au service de radiolocalisation dans la bande de fréquences 17,3</w:t>
      </w:r>
      <w:r w:rsidR="008D6247" w:rsidRPr="00973161">
        <w:noBreakHyphen/>
      </w:r>
      <w:r w:rsidR="003D4DB6" w:rsidRPr="00973161">
        <w:t>17,7</w:t>
      </w:r>
      <w:r w:rsidR="008D6247" w:rsidRPr="00973161">
        <w:t> </w:t>
      </w:r>
      <w:r w:rsidR="003D4DB6" w:rsidRPr="00973161">
        <w:t>GHz en Région 3 et d</w:t>
      </w:r>
      <w:r w:rsidR="00CE4958" w:rsidRPr="00973161">
        <w:t>'</w:t>
      </w:r>
      <w:r w:rsidR="003D4DB6" w:rsidRPr="00973161">
        <w:t>élaborer des dispositions pertinentes applicables aux systèmes à satellites non géostationnaires du SFS dans le sens espace vers Terre dans la bande de fréquences 17,3-17,8 GHz dans toutes les Régions</w:t>
      </w:r>
      <w:r w:rsidR="007A4476" w:rsidRPr="00973161">
        <w:t>,</w:t>
      </w:r>
    </w:p>
    <w:p w14:paraId="7A0E8B1F" w14:textId="146C0120" w:rsidR="008428CC" w:rsidRPr="00973161" w:rsidRDefault="003D4DB6" w:rsidP="003D4DB6">
      <w:pPr>
        <w:pStyle w:val="Call"/>
      </w:pPr>
      <w:r w:rsidRPr="00973161">
        <w:t>décide d</w:t>
      </w:r>
      <w:r w:rsidR="00CE4958" w:rsidRPr="00973161">
        <w:t>'</w:t>
      </w:r>
      <w:r w:rsidRPr="00973161">
        <w:t>inviter la CMR-27</w:t>
      </w:r>
    </w:p>
    <w:p w14:paraId="53CB151A" w14:textId="451347EC" w:rsidR="008428CC" w:rsidRPr="00973161" w:rsidRDefault="003D4DB6" w:rsidP="003D4DB6">
      <w:r w:rsidRPr="00973161">
        <w:t>à examiner les résultats des études de l</w:t>
      </w:r>
      <w:r w:rsidR="00CE4958" w:rsidRPr="00973161">
        <w:t>'</w:t>
      </w:r>
      <w:r w:rsidRPr="00973161">
        <w:t>UIT-R susmentionnées et à prendre les mesures nécessaires, selon qu</w:t>
      </w:r>
      <w:r w:rsidR="00CE4958" w:rsidRPr="00973161">
        <w:t>'</w:t>
      </w:r>
      <w:r w:rsidRPr="00973161">
        <w:t>il conviendra, en ce qui concerne les questions suivantes:</w:t>
      </w:r>
    </w:p>
    <w:p w14:paraId="17BB16B8" w14:textId="40D63A07" w:rsidR="003D4DB6" w:rsidRPr="00973161" w:rsidRDefault="008428CC" w:rsidP="00E17377">
      <w:pPr>
        <w:pStyle w:val="enumlev1"/>
      </w:pPr>
      <w:r w:rsidRPr="00973161">
        <w:t>1</w:t>
      </w:r>
      <w:r w:rsidR="00E17377" w:rsidRPr="00973161">
        <w:t>)</w:t>
      </w:r>
      <w:r w:rsidRPr="00973161">
        <w:tab/>
      </w:r>
      <w:r w:rsidR="003D4DB6" w:rsidRPr="00973161">
        <w:t xml:space="preserve">une nouvelle attribution possible à titre primaire au SFS (espace vers Terre) dans la bande de fréquences 17,3-17,7 GHz </w:t>
      </w:r>
      <w:r w:rsidR="006E20A1" w:rsidRPr="00973161">
        <w:t>en</w:t>
      </w:r>
      <w:r w:rsidR="003D4DB6" w:rsidRPr="00973161">
        <w:t xml:space="preserve"> Région 3;</w:t>
      </w:r>
    </w:p>
    <w:p w14:paraId="6B1631DA" w14:textId="319D7A3C" w:rsidR="008428CC" w:rsidRPr="00973161" w:rsidRDefault="003D4DB6" w:rsidP="00E17377">
      <w:pPr>
        <w:pStyle w:val="enumlev1"/>
      </w:pPr>
      <w:r w:rsidRPr="00973161">
        <w:t>2</w:t>
      </w:r>
      <w:r w:rsidR="00E17377" w:rsidRPr="00973161">
        <w:t>)</w:t>
      </w:r>
      <w:r w:rsidRPr="00973161">
        <w:tab/>
        <w:t xml:space="preserve">une nouvelle attribution possible à titre primaire au SRS (espace vers Terre) dans la bande de fréquences 17,3-17,8 GHz </w:t>
      </w:r>
      <w:r w:rsidR="006E20A1" w:rsidRPr="00973161">
        <w:t>en</w:t>
      </w:r>
      <w:r w:rsidRPr="00973161">
        <w:t xml:space="preserve"> Région 3</w:t>
      </w:r>
      <w:r w:rsidR="007A4476" w:rsidRPr="00973161">
        <w:t>;</w:t>
      </w:r>
    </w:p>
    <w:p w14:paraId="2E58ED51" w14:textId="41CFCA90" w:rsidR="003D4DB6" w:rsidRPr="00973161" w:rsidRDefault="008428CC" w:rsidP="00E17377">
      <w:pPr>
        <w:pStyle w:val="enumlev1"/>
      </w:pPr>
      <w:r w:rsidRPr="00973161">
        <w:t>3</w:t>
      </w:r>
      <w:r w:rsidR="00E17377" w:rsidRPr="00973161">
        <w:t>)</w:t>
      </w:r>
      <w:r w:rsidRPr="00973161">
        <w:tab/>
      </w:r>
      <w:r w:rsidR="003D4DB6" w:rsidRPr="00973161">
        <w:t>assurer la protection des attributions existantes à titre primaire dans l</w:t>
      </w:r>
      <w:r w:rsidR="006E20A1" w:rsidRPr="00973161">
        <w:t>es</w:t>
      </w:r>
      <w:r w:rsidR="003D4DB6" w:rsidRPr="00973161">
        <w:t xml:space="preserve"> même</w:t>
      </w:r>
      <w:r w:rsidR="006E20A1" w:rsidRPr="00973161">
        <w:t>s</w:t>
      </w:r>
      <w:r w:rsidR="003D4DB6" w:rsidRPr="00973161">
        <w:t xml:space="preserve"> bande</w:t>
      </w:r>
      <w:r w:rsidR="006E20A1" w:rsidRPr="00973161">
        <w:t>s</w:t>
      </w:r>
      <w:r w:rsidR="003D4DB6" w:rsidRPr="00973161">
        <w:t xml:space="preserve"> de fréquences et dans les bandes </w:t>
      </w:r>
      <w:r w:rsidR="006E20A1" w:rsidRPr="00973161">
        <w:t xml:space="preserve">de fréquences </w:t>
      </w:r>
      <w:r w:rsidR="003D4DB6" w:rsidRPr="00973161">
        <w:t xml:space="preserve">adjacentes, sans </w:t>
      </w:r>
      <w:r w:rsidR="000A648C" w:rsidRPr="00973161">
        <w:t xml:space="preserve">porter préjudice </w:t>
      </w:r>
      <w:r w:rsidR="003D4DB6" w:rsidRPr="00973161">
        <w:t xml:space="preserve">aux attributions existantes </w:t>
      </w:r>
      <w:r w:rsidR="006E20A1" w:rsidRPr="00973161">
        <w:t>d</w:t>
      </w:r>
      <w:r w:rsidR="003D4DB6" w:rsidRPr="00973161">
        <w:t xml:space="preserve">u SFS (Terre vers espace) </w:t>
      </w:r>
      <w:r w:rsidR="006E20A1" w:rsidRPr="00973161">
        <w:t>visées au</w:t>
      </w:r>
      <w:r w:rsidR="003D4DB6" w:rsidRPr="00973161">
        <w:t xml:space="preserve"> numéro </w:t>
      </w:r>
      <w:r w:rsidR="003D4DB6" w:rsidRPr="00973161">
        <w:rPr>
          <w:rStyle w:val="Artref"/>
          <w:b/>
          <w:bCs/>
        </w:rPr>
        <w:t>5.516</w:t>
      </w:r>
      <w:r w:rsidR="003D4DB6" w:rsidRPr="00973161">
        <w:t>, y compris les assignations aux liaisons de connexion du SRS figurant dans l</w:t>
      </w:r>
      <w:r w:rsidR="00CE4958" w:rsidRPr="00973161">
        <w:t>'</w:t>
      </w:r>
      <w:r w:rsidR="003D4DB6" w:rsidRPr="00973161">
        <w:t xml:space="preserve">Appendice </w:t>
      </w:r>
      <w:r w:rsidR="003D4DB6" w:rsidRPr="00973161">
        <w:rPr>
          <w:rStyle w:val="Appref"/>
          <w:b/>
          <w:bCs/>
        </w:rPr>
        <w:t>30A</w:t>
      </w:r>
      <w:r w:rsidR="003D4DB6" w:rsidRPr="00973161">
        <w:t>;</w:t>
      </w:r>
    </w:p>
    <w:p w14:paraId="2495106C" w14:textId="108915DA" w:rsidR="003D4DB6" w:rsidRPr="00973161" w:rsidRDefault="003D4DB6" w:rsidP="00E17377">
      <w:pPr>
        <w:pStyle w:val="enumlev1"/>
      </w:pPr>
      <w:r w:rsidRPr="00973161">
        <w:lastRenderedPageBreak/>
        <w:t>4</w:t>
      </w:r>
      <w:r w:rsidR="00E17377" w:rsidRPr="00973161">
        <w:t>)</w:t>
      </w:r>
      <w:r w:rsidRPr="00973161">
        <w:tab/>
      </w:r>
      <w:r w:rsidR="006E20A1" w:rsidRPr="00973161">
        <w:t xml:space="preserve">des </w:t>
      </w:r>
      <w:r w:rsidRPr="00973161">
        <w:t>mesure</w:t>
      </w:r>
      <w:r w:rsidR="006E20A1" w:rsidRPr="00973161">
        <w:t>s</w:t>
      </w:r>
      <w:r w:rsidRPr="00973161">
        <w:t xml:space="preserve"> possibles</w:t>
      </w:r>
      <w:r w:rsidR="006E20A1" w:rsidRPr="00973161">
        <w:t xml:space="preserve"> pour </w:t>
      </w:r>
      <w:r w:rsidRPr="00973161">
        <w:t>protéger les services primaires vis-à-vis de l</w:t>
      </w:r>
      <w:r w:rsidR="00CE4958" w:rsidRPr="00973161">
        <w:t>'</w:t>
      </w:r>
      <w:r w:rsidRPr="00973161">
        <w:t>attribution</w:t>
      </w:r>
      <w:r w:rsidR="006E20A1" w:rsidRPr="00973161">
        <w:t xml:space="preserve"> à titre</w:t>
      </w:r>
      <w:r w:rsidRPr="00973161">
        <w:t xml:space="preserve"> secondaire au service de radiolocalisation dans la bande de fréquences 17,3</w:t>
      </w:r>
      <w:r w:rsidR="008D6247" w:rsidRPr="00973161">
        <w:noBreakHyphen/>
      </w:r>
      <w:r w:rsidRPr="00973161">
        <w:t>17,7</w:t>
      </w:r>
      <w:r w:rsidR="008D6247" w:rsidRPr="00973161">
        <w:t> </w:t>
      </w:r>
      <w:r w:rsidRPr="00973161">
        <w:t>GHz en Région 3;</w:t>
      </w:r>
    </w:p>
    <w:p w14:paraId="5CAAD5BC" w14:textId="7F4353C7" w:rsidR="008428CC" w:rsidRPr="00973161" w:rsidRDefault="003D4DB6" w:rsidP="00E17377">
      <w:pPr>
        <w:pStyle w:val="enumlev1"/>
      </w:pPr>
      <w:r w:rsidRPr="00973161">
        <w:t>5</w:t>
      </w:r>
      <w:r w:rsidR="00E17377" w:rsidRPr="00973161">
        <w:t>)</w:t>
      </w:r>
      <w:r w:rsidRPr="00973161">
        <w:tab/>
      </w:r>
      <w:r w:rsidR="006E20A1" w:rsidRPr="00973161">
        <w:t>l</w:t>
      </w:r>
      <w:r w:rsidR="00CE4958" w:rsidRPr="00973161">
        <w:t>'</w:t>
      </w:r>
      <w:r w:rsidRPr="00973161">
        <w:t>élaboration éventuelle de dispositions pertinentes applicables aux systèmes à satellites non géostationnaires du SFS dans le sens espace vers Terre dans la bande de fréquences 17,3-17,8 GHz dans toutes les Régions</w:t>
      </w:r>
      <w:r w:rsidR="008428CC" w:rsidRPr="00973161">
        <w:t>,</w:t>
      </w:r>
    </w:p>
    <w:p w14:paraId="680CBBE9" w14:textId="0B107D2C" w:rsidR="008428CC" w:rsidRPr="00973161" w:rsidRDefault="003D4DB6" w:rsidP="003D4DB6">
      <w:pPr>
        <w:pStyle w:val="Call"/>
      </w:pPr>
      <w:r w:rsidRPr="00973161">
        <w:t>invite les administrations</w:t>
      </w:r>
    </w:p>
    <w:p w14:paraId="5E03EB31" w14:textId="510466B5" w:rsidR="007A4476" w:rsidRPr="00973161" w:rsidRDefault="003D4DB6" w:rsidP="003D4DB6">
      <w:r w:rsidRPr="00973161">
        <w:t xml:space="preserve">à participer activement aux études </w:t>
      </w:r>
      <w:r w:rsidR="006E20A1" w:rsidRPr="00973161">
        <w:t>visées</w:t>
      </w:r>
      <w:r w:rsidRPr="00973161">
        <w:t xml:space="preserve"> dans </w:t>
      </w:r>
      <w:r w:rsidR="006E20A1" w:rsidRPr="00973161">
        <w:t xml:space="preserve">le </w:t>
      </w:r>
      <w:r w:rsidRPr="00973161">
        <w:rPr>
          <w:i/>
          <w:iCs/>
        </w:rPr>
        <w:t>décide d</w:t>
      </w:r>
      <w:r w:rsidR="00CE4958" w:rsidRPr="00973161">
        <w:rPr>
          <w:i/>
          <w:iCs/>
        </w:rPr>
        <w:t>'</w:t>
      </w:r>
      <w:r w:rsidRPr="00973161">
        <w:rPr>
          <w:i/>
          <w:iCs/>
        </w:rPr>
        <w:t>inviter l</w:t>
      </w:r>
      <w:r w:rsidR="00CE4958" w:rsidRPr="00973161">
        <w:rPr>
          <w:i/>
          <w:iCs/>
        </w:rPr>
        <w:t>'</w:t>
      </w:r>
      <w:r w:rsidRPr="00973161">
        <w:rPr>
          <w:i/>
          <w:iCs/>
        </w:rPr>
        <w:t>UIT-R à mener et à achever à temps pour la CMR-27</w:t>
      </w:r>
      <w:r w:rsidRPr="00973161">
        <w:t xml:space="preserve"> et</w:t>
      </w:r>
      <w:r w:rsidR="006E20A1" w:rsidRPr="00973161">
        <w:t xml:space="preserve"> à</w:t>
      </w:r>
      <w:r w:rsidRPr="00973161">
        <w:t xml:space="preserve"> fournir les caractéristiques techniques et opérationnelles des systèmes concernés en soumettant des contributions à l</w:t>
      </w:r>
      <w:r w:rsidR="00CE4958" w:rsidRPr="00973161">
        <w:t>'</w:t>
      </w:r>
      <w:r w:rsidRPr="00973161">
        <w:t>UIT-R.</w:t>
      </w:r>
    </w:p>
    <w:p w14:paraId="41598381" w14:textId="41B5390A" w:rsidR="00106137" w:rsidRPr="00973161" w:rsidRDefault="00831541" w:rsidP="00F17DB4">
      <w:pPr>
        <w:pStyle w:val="Reasons"/>
        <w:spacing w:after="240"/>
      </w:pPr>
      <w:r w:rsidRPr="00973161">
        <w:rPr>
          <w:b/>
        </w:rPr>
        <w:t>Motifs:</w:t>
      </w:r>
      <w:r w:rsidRPr="00973161">
        <w:tab/>
      </w:r>
      <w:r w:rsidR="003D4DB6" w:rsidRPr="00973161">
        <w:t>Voir le tableau ci-après, établi à l</w:t>
      </w:r>
      <w:r w:rsidR="00CE4958" w:rsidRPr="00973161">
        <w:t>'</w:t>
      </w:r>
      <w:r w:rsidR="003D4DB6" w:rsidRPr="00973161">
        <w:t xml:space="preserve">aide du </w:t>
      </w:r>
      <w:r w:rsidR="006E20A1" w:rsidRPr="00973161">
        <w:t>gabarit</w:t>
      </w:r>
      <w:r w:rsidR="003D4DB6" w:rsidRPr="00973161">
        <w:t xml:space="preserve"> figurant dans l</w:t>
      </w:r>
      <w:r w:rsidR="00CE4958" w:rsidRPr="00973161">
        <w:t>'</w:t>
      </w:r>
      <w:r w:rsidR="003D4DB6" w:rsidRPr="00973161">
        <w:t xml:space="preserve">Annexe 2 de la Résolution </w:t>
      </w:r>
      <w:r w:rsidR="003D4DB6" w:rsidRPr="00973161">
        <w:rPr>
          <w:b/>
          <w:bCs/>
        </w:rPr>
        <w:t>804 (Rév.CMR-19)</w:t>
      </w:r>
      <w:r w:rsidR="003D4DB6" w:rsidRPr="00973161">
        <w:t>.</w:t>
      </w:r>
    </w:p>
    <w:tbl>
      <w:tblPr>
        <w:tblStyle w:val="TableGrid"/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627"/>
        <w:gridCol w:w="5096"/>
      </w:tblGrid>
      <w:tr w:rsidR="00E5630B" w:rsidRPr="00973161" w14:paraId="059B94E0" w14:textId="77777777" w:rsidTr="00E5630B"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B3AB" w14:textId="77777777" w:rsidR="00E5630B" w:rsidRPr="00973161" w:rsidRDefault="00E5630B" w:rsidP="00E5630B">
            <w:pPr>
              <w:rPr>
                <w:b/>
                <w:bCs/>
              </w:rPr>
            </w:pPr>
            <w:r w:rsidRPr="00973161">
              <w:rPr>
                <w:b/>
                <w:bCs/>
              </w:rPr>
              <w:t>Objet:</w:t>
            </w:r>
          </w:p>
          <w:p w14:paraId="45205CF9" w14:textId="7DF80BAA" w:rsidR="00E5630B" w:rsidRPr="00973161" w:rsidRDefault="00E5630B" w:rsidP="00F17DB4">
            <w:pPr>
              <w:spacing w:after="120"/>
              <w:rPr>
                <w:b/>
                <w:bCs/>
                <w:i/>
                <w:iCs/>
              </w:rPr>
            </w:pPr>
            <w:r w:rsidRPr="00973161">
              <w:t>Envisager une nouvelle attribution possible à titre primaire au service fixe par satellite (espace vers Terre) dans la bande de fréquences 17,3-17,7 GHz en Région 3 et une nouvelle attribution possible à titre primaire au service de radiodiffusion par satellite (espace vers Terre) dans la bande de fréquences 17,3-17,8 GHz en Région 3, tout en assurant la protection des services primaires existants dans les mêmes bandes de fréquences et dans les bandes de fréquences adjacentes; et mener à bien des études sur les mesures propres à protéger les services primaires vis-à-vis de l'attribution à titre secondaire au service de radiolocalisation dans la bande de fréquences 17,3</w:t>
            </w:r>
            <w:r w:rsidR="008D6247" w:rsidRPr="00973161">
              <w:noBreakHyphen/>
            </w:r>
            <w:r w:rsidRPr="00973161">
              <w:t>17,7 GHz en Région 3, et élaborer des dispositions pertinentes applicables aux systèmes à satellites non géostationnaires du SFS (espace vers Terre) dans la bande de fréquences 17,3</w:t>
            </w:r>
            <w:r w:rsidR="008D6247" w:rsidRPr="00973161">
              <w:noBreakHyphen/>
            </w:r>
            <w:r w:rsidRPr="00973161">
              <w:t>17,8</w:t>
            </w:r>
            <w:r w:rsidR="008D6247" w:rsidRPr="00973161">
              <w:t> </w:t>
            </w:r>
            <w:r w:rsidRPr="00973161">
              <w:t>GHz dans toutes les Régions.</w:t>
            </w:r>
          </w:p>
        </w:tc>
      </w:tr>
      <w:tr w:rsidR="00E5630B" w:rsidRPr="00973161" w14:paraId="05198EA2" w14:textId="77777777" w:rsidTr="00E5630B"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12A89" w14:textId="2DBF4B6E" w:rsidR="00E5630B" w:rsidRPr="00973161" w:rsidRDefault="00E5630B" w:rsidP="00F17DB4">
            <w:pPr>
              <w:spacing w:after="120"/>
              <w:rPr>
                <w:b/>
                <w:bCs/>
                <w:i/>
                <w:iCs/>
              </w:rPr>
            </w:pPr>
            <w:r w:rsidRPr="00973161">
              <w:rPr>
                <w:b/>
                <w:bCs/>
              </w:rPr>
              <w:t>Origine:</w:t>
            </w:r>
            <w:r w:rsidRPr="00973161">
              <w:t xml:space="preserve"> </w:t>
            </w:r>
            <w:r w:rsidRPr="00973161">
              <w:rPr>
                <w:bCs/>
              </w:rPr>
              <w:t>APT</w:t>
            </w:r>
          </w:p>
        </w:tc>
      </w:tr>
      <w:tr w:rsidR="00106137" w:rsidRPr="00973161" w14:paraId="10A31078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6BDFD" w14:textId="77777777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t>Proposition</w:t>
            </w:r>
            <w:r w:rsidRPr="00973161">
              <w:rPr>
                <w:b/>
                <w:bCs/>
              </w:rPr>
              <w:t>:</w:t>
            </w:r>
          </w:p>
          <w:p w14:paraId="5D834962" w14:textId="5E1CBD9A" w:rsidR="00106137" w:rsidRPr="00973161" w:rsidRDefault="006E20A1" w:rsidP="00F17DB4">
            <w:pPr>
              <w:spacing w:after="120"/>
              <w:rPr>
                <w:i/>
                <w:iCs/>
              </w:rPr>
            </w:pPr>
            <w:r w:rsidRPr="00973161">
              <w:rPr>
                <w:i/>
                <w:iCs/>
              </w:rPr>
              <w:t>Envisager une nouvelle attribution possible à titre primaire au service fixe par satellite (espace vers Terre) dans la bande de fréquences 17,3-17,7 GHz en Région 3 et une nouvelle attribution possible à titre primaire au service de radiodiffusion par satellite (espace vers Terre) dans la bande de fréquences 17,3-17,8 GHz en Région 3, tout en assurant la protection des services primaires existants dans les mêmes bandes de fréquences et dans les bandes de fréquences adjacentes; mener à bien des études sur les mesures propres à protéger les services primaires vis</w:t>
            </w:r>
            <w:r w:rsidR="00C85A85" w:rsidRPr="00973161">
              <w:rPr>
                <w:i/>
                <w:iCs/>
              </w:rPr>
              <w:noBreakHyphen/>
            </w:r>
            <w:r w:rsidRPr="00973161">
              <w:rPr>
                <w:i/>
                <w:iCs/>
              </w:rPr>
              <w:t>à-vis de l</w:t>
            </w:r>
            <w:r w:rsidR="00CE4958" w:rsidRPr="00973161">
              <w:rPr>
                <w:i/>
                <w:iCs/>
              </w:rPr>
              <w:t>'</w:t>
            </w:r>
            <w:r w:rsidRPr="00973161">
              <w:rPr>
                <w:i/>
                <w:iCs/>
              </w:rPr>
              <w:t>attribution à titre secondaire au service de radiolocalisation dans la bande de fréquences 17,3-17,7 GHz en Région 3 et élaborer des dispositions pertinentes applicables aux systèmes à satellites non géostationnaires du SFS (espace vers Terre) dans la bande de fréquences 17,3-17,8 GHz dans toutes les Régions</w:t>
            </w:r>
            <w:r w:rsidR="00C85A85" w:rsidRPr="00973161">
              <w:rPr>
                <w:i/>
                <w:iCs/>
              </w:rPr>
              <w:t>.</w:t>
            </w:r>
          </w:p>
        </w:tc>
      </w:tr>
      <w:tr w:rsidR="00106137" w:rsidRPr="00973161" w14:paraId="18D44149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B733B" w14:textId="77777777" w:rsidR="00106137" w:rsidRPr="00973161" w:rsidRDefault="00106137" w:rsidP="00C85A85">
            <w:pPr>
              <w:keepNext/>
              <w:keepLines/>
              <w:rPr>
                <w:b/>
                <w:bCs/>
              </w:rPr>
            </w:pPr>
            <w:r w:rsidRPr="00973161">
              <w:rPr>
                <w:b/>
                <w:bCs/>
              </w:rPr>
              <w:t>Contexte/motif:</w:t>
            </w:r>
          </w:p>
          <w:p w14:paraId="081411CC" w14:textId="6C6B2416" w:rsidR="003D4DB6" w:rsidRPr="00973161" w:rsidRDefault="008933F5" w:rsidP="00C85A85">
            <w:pPr>
              <w:keepNext/>
              <w:keepLines/>
              <w:rPr>
                <w:bCs/>
                <w:iCs/>
              </w:rPr>
            </w:pPr>
            <w:r w:rsidRPr="00973161">
              <w:rPr>
                <w:bCs/>
                <w:iCs/>
              </w:rPr>
              <w:t xml:space="preserve">Au cours des </w:t>
            </w:r>
            <w:r w:rsidR="003D4DB6" w:rsidRPr="00973161">
              <w:rPr>
                <w:bCs/>
                <w:iCs/>
              </w:rPr>
              <w:t xml:space="preserve">dernières années, </w:t>
            </w:r>
            <w:r w:rsidRPr="00973161">
              <w:rPr>
                <w:bCs/>
                <w:iCs/>
              </w:rPr>
              <w:t xml:space="preserve">les </w:t>
            </w:r>
            <w:r w:rsidR="003D4DB6" w:rsidRPr="00973161">
              <w:rPr>
                <w:bCs/>
                <w:iCs/>
              </w:rPr>
              <w:t xml:space="preserve">communications large bande par satellite </w:t>
            </w:r>
            <w:r w:rsidRPr="00973161">
              <w:rPr>
                <w:bCs/>
                <w:iCs/>
              </w:rPr>
              <w:t xml:space="preserve">sont devenues de plus en plus nécessaires </w:t>
            </w:r>
            <w:r w:rsidR="003D4DB6" w:rsidRPr="00973161">
              <w:rPr>
                <w:bCs/>
                <w:iCs/>
              </w:rPr>
              <w:t xml:space="preserve">pour fournir des services large bande à haut débit et </w:t>
            </w:r>
            <w:r w:rsidR="00CE4958" w:rsidRPr="00973161">
              <w:rPr>
                <w:bCs/>
                <w:iCs/>
              </w:rPr>
              <w:t xml:space="preserve">à </w:t>
            </w:r>
            <w:r w:rsidR="003D4DB6" w:rsidRPr="00973161">
              <w:rPr>
                <w:bCs/>
                <w:iCs/>
              </w:rPr>
              <w:t>grande capacité aux domiciles, aux véhicules, aux avions et aux navires</w:t>
            </w:r>
            <w:r w:rsidRPr="00973161">
              <w:rPr>
                <w:bCs/>
                <w:iCs/>
              </w:rPr>
              <w:t xml:space="preserve">, </w:t>
            </w:r>
            <w:r w:rsidR="003D4DB6" w:rsidRPr="00973161">
              <w:rPr>
                <w:bCs/>
                <w:iCs/>
              </w:rPr>
              <w:t xml:space="preserve">les attributions au service fixe par satellite (SFS) dans la bande Ka </w:t>
            </w:r>
            <w:r w:rsidR="004211CF" w:rsidRPr="00973161">
              <w:rPr>
                <w:bCs/>
                <w:iCs/>
              </w:rPr>
              <w:t>étant</w:t>
            </w:r>
            <w:r w:rsidR="003D4DB6" w:rsidRPr="00973161">
              <w:rPr>
                <w:bCs/>
                <w:iCs/>
              </w:rPr>
              <w:t xml:space="preserve"> largement utilisées par les satellites </w:t>
            </w:r>
            <w:r w:rsidR="004211CF" w:rsidRPr="00973161">
              <w:rPr>
                <w:bCs/>
                <w:iCs/>
              </w:rPr>
              <w:t>géostationnaires</w:t>
            </w:r>
            <w:r w:rsidR="003D4DB6" w:rsidRPr="00973161">
              <w:rPr>
                <w:bCs/>
                <w:iCs/>
              </w:rPr>
              <w:t xml:space="preserve"> et non </w:t>
            </w:r>
            <w:r w:rsidR="004211CF" w:rsidRPr="00973161">
              <w:rPr>
                <w:bCs/>
                <w:iCs/>
              </w:rPr>
              <w:t xml:space="preserve">géostationnaires </w:t>
            </w:r>
            <w:r w:rsidR="003D4DB6" w:rsidRPr="00973161">
              <w:rPr>
                <w:bCs/>
                <w:iCs/>
              </w:rPr>
              <w:t xml:space="preserve">pour répondre aux besoins des clients. </w:t>
            </w:r>
            <w:r w:rsidR="00C85A85" w:rsidRPr="00973161">
              <w:rPr>
                <w:bCs/>
                <w:iCs/>
              </w:rPr>
              <w:t>Étant</w:t>
            </w:r>
            <w:r w:rsidR="003D4DB6" w:rsidRPr="00973161">
              <w:rPr>
                <w:bCs/>
                <w:iCs/>
              </w:rPr>
              <w:t xml:space="preserve"> donné qu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il existe une inadéquation entre les fréquences attribuées au SFS dans le sens Terre vers espace et dans le sens espace vers Terre </w:t>
            </w:r>
            <w:r w:rsidR="00CE4958" w:rsidRPr="00973161">
              <w:rPr>
                <w:bCs/>
                <w:iCs/>
              </w:rPr>
              <w:t>en</w:t>
            </w:r>
            <w:r w:rsidR="003D4DB6" w:rsidRPr="00973161">
              <w:rPr>
                <w:bCs/>
                <w:iCs/>
              </w:rPr>
              <w:t xml:space="preserve"> Région 3, il est essentiel </w:t>
            </w:r>
            <w:r w:rsidR="000809CA" w:rsidRPr="00973161">
              <w:rPr>
                <w:bCs/>
                <w:iCs/>
              </w:rPr>
              <w:t>de dégager davantage de</w:t>
            </w:r>
            <w:r w:rsidR="003D4DB6" w:rsidRPr="00973161">
              <w:rPr>
                <w:bCs/>
                <w:iCs/>
              </w:rPr>
              <w:t xml:space="preserve"> capacité </w:t>
            </w:r>
            <w:r w:rsidR="00F545AA" w:rsidRPr="00973161">
              <w:rPr>
                <w:bCs/>
                <w:iCs/>
              </w:rPr>
              <w:t>en</w:t>
            </w:r>
            <w:r w:rsidR="003D4DB6" w:rsidRPr="00973161">
              <w:rPr>
                <w:bCs/>
                <w:iCs/>
              </w:rPr>
              <w:t xml:space="preserve"> liaison descendante dans la </w:t>
            </w:r>
            <w:r w:rsidR="003D4DB6" w:rsidRPr="00973161">
              <w:rPr>
                <w:bCs/>
                <w:iCs/>
              </w:rPr>
              <w:lastRenderedPageBreak/>
              <w:t>bande Ka. Cela permettra d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utiliser efficacement les ressources </w:t>
            </w:r>
            <w:r w:rsidR="004211CF" w:rsidRPr="00973161">
              <w:rPr>
                <w:bCs/>
                <w:iCs/>
              </w:rPr>
              <w:t>orbitales et spectrales</w:t>
            </w:r>
            <w:r w:rsidR="003D4DB6" w:rsidRPr="00973161">
              <w:rPr>
                <w:bCs/>
                <w:iCs/>
              </w:rPr>
              <w:t xml:space="preserve"> pour répondre à la demande </w:t>
            </w:r>
            <w:r w:rsidR="00F545AA" w:rsidRPr="00973161">
              <w:rPr>
                <w:bCs/>
                <w:iCs/>
              </w:rPr>
              <w:t xml:space="preserve">liée aux </w:t>
            </w:r>
            <w:r w:rsidR="003D4DB6" w:rsidRPr="00973161">
              <w:rPr>
                <w:bCs/>
                <w:iCs/>
              </w:rPr>
              <w:t>applications satellitaires actuelles et nouvelles.</w:t>
            </w:r>
          </w:p>
          <w:p w14:paraId="04FB816D" w14:textId="50A08B94" w:rsidR="003D4DB6" w:rsidRPr="00973161" w:rsidRDefault="00F545AA" w:rsidP="00E5630B">
            <w:pPr>
              <w:rPr>
                <w:bCs/>
                <w:iCs/>
              </w:rPr>
            </w:pPr>
            <w:r w:rsidRPr="00973161">
              <w:rPr>
                <w:bCs/>
                <w:iCs/>
              </w:rPr>
              <w:t>En</w:t>
            </w:r>
            <w:r w:rsidR="003D4DB6" w:rsidRPr="00973161">
              <w:rPr>
                <w:bCs/>
                <w:iCs/>
              </w:rPr>
              <w:t xml:space="preserve"> Région 3, la bande de fréquences 17,3-17,8 GHz est utilisée par des systèmes à satellites géostationnaires du SFS (Terre vers espace)</w:t>
            </w:r>
            <w:r w:rsidR="000809CA" w:rsidRPr="00973161">
              <w:rPr>
                <w:bCs/>
                <w:iCs/>
              </w:rPr>
              <w:t xml:space="preserve">, seulement pour les </w:t>
            </w:r>
            <w:r w:rsidR="003D4DB6" w:rsidRPr="00973161">
              <w:rPr>
                <w:bCs/>
                <w:iCs/>
              </w:rPr>
              <w:t>liaisons de connexion du SRS, sous réserve de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application du numéro </w:t>
            </w:r>
            <w:r w:rsidR="003D4DB6" w:rsidRPr="00973161">
              <w:rPr>
                <w:b/>
                <w:iCs/>
              </w:rPr>
              <w:t>5.516</w:t>
            </w:r>
            <w:r w:rsidRPr="00973161">
              <w:rPr>
                <w:bCs/>
                <w:iCs/>
              </w:rPr>
              <w:t xml:space="preserve"> du RR</w:t>
            </w:r>
            <w:r w:rsidR="003D4DB6" w:rsidRPr="00973161">
              <w:rPr>
                <w:bCs/>
                <w:iCs/>
              </w:rPr>
              <w:t xml:space="preserve">. Cette bande de fréquences est utilisée </w:t>
            </w:r>
            <w:r w:rsidRPr="00973161">
              <w:rPr>
                <w:bCs/>
                <w:iCs/>
              </w:rPr>
              <w:t>en</w:t>
            </w:r>
            <w:r w:rsidR="003D4DB6" w:rsidRPr="00973161">
              <w:rPr>
                <w:bCs/>
                <w:iCs/>
              </w:rPr>
              <w:t xml:space="preserve"> Région 2 par les systèmes à satellites géostationnaires du SRS (espace vers Terre), sous réserve de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application du numéro </w:t>
            </w:r>
            <w:r w:rsidR="003D4DB6" w:rsidRPr="00973161">
              <w:rPr>
                <w:b/>
                <w:iCs/>
              </w:rPr>
              <w:t>5.515</w:t>
            </w:r>
            <w:r w:rsidRPr="00973161">
              <w:rPr>
                <w:bCs/>
                <w:iCs/>
              </w:rPr>
              <w:t xml:space="preserve"> du RR</w:t>
            </w:r>
            <w:r w:rsidR="003D4DB6" w:rsidRPr="00973161">
              <w:rPr>
                <w:bCs/>
                <w:iCs/>
              </w:rPr>
              <w:t>.</w:t>
            </w:r>
          </w:p>
          <w:p w14:paraId="3FA0DC8F" w14:textId="74EE7FDD" w:rsidR="003D4DB6" w:rsidRPr="00973161" w:rsidRDefault="00246DD3" w:rsidP="00E5630B">
            <w:pPr>
              <w:rPr>
                <w:bCs/>
                <w:iCs/>
              </w:rPr>
            </w:pPr>
            <w:r w:rsidRPr="00973161">
              <w:rPr>
                <w:bCs/>
                <w:iCs/>
              </w:rPr>
              <w:t>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extension à la Région 3 de</w:t>
            </w:r>
            <w:r w:rsidR="003D4DB6" w:rsidRPr="00973161">
              <w:rPr>
                <w:bCs/>
                <w:iCs/>
              </w:rPr>
              <w:t xml:space="preserve">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>attribution au SFS (espace vers Terre) dans la bande de fréquences 17,3-17,7 GHz</w:t>
            </w:r>
            <w:r w:rsidRPr="00973161">
              <w:rPr>
                <w:bCs/>
                <w:iCs/>
              </w:rPr>
              <w:t>,</w:t>
            </w:r>
            <w:r w:rsidR="003D4DB6" w:rsidRPr="00973161">
              <w:rPr>
                <w:bCs/>
                <w:iCs/>
              </w:rPr>
              <w:t xml:space="preserve"> qui a été attribuée à la Région 1 et qui est étudiée au titre du point 1.19 de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>ordre du jour de la CMR-23 pour la Région 2, contribuera à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>harmonisation à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échelle mondiale. De </w:t>
            </w:r>
            <w:r w:rsidRPr="00973161">
              <w:rPr>
                <w:bCs/>
                <w:iCs/>
              </w:rPr>
              <w:t xml:space="preserve">la même </w:t>
            </w:r>
            <w:r w:rsidR="003D4DB6" w:rsidRPr="00973161">
              <w:rPr>
                <w:bCs/>
                <w:iCs/>
              </w:rPr>
              <w:t>m</w:t>
            </w:r>
            <w:r w:rsidRPr="00973161">
              <w:rPr>
                <w:bCs/>
                <w:iCs/>
              </w:rPr>
              <w:t>anière</w:t>
            </w:r>
            <w:r w:rsidR="003D4DB6" w:rsidRPr="00973161">
              <w:rPr>
                <w:bCs/>
                <w:iCs/>
              </w:rPr>
              <w:t xml:space="preserve">, </w:t>
            </w:r>
            <w:r w:rsidRPr="00973161">
              <w:rPr>
                <w:bCs/>
                <w:iCs/>
              </w:rPr>
              <w:t>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identification d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une a</w:t>
            </w:r>
            <w:r w:rsidR="003D4DB6" w:rsidRPr="00973161">
              <w:rPr>
                <w:bCs/>
                <w:iCs/>
              </w:rPr>
              <w:t xml:space="preserve">ttribution dans la bande de fréquences 17,3-17,8 GHz au SRS (espace vers Terre) en Région 3 contribuera </w:t>
            </w:r>
            <w:r w:rsidRPr="00973161">
              <w:rPr>
                <w:bCs/>
                <w:iCs/>
              </w:rPr>
              <w:t xml:space="preserve">à assurer </w:t>
            </w:r>
            <w:r w:rsidR="00CE4958" w:rsidRPr="00973161">
              <w:rPr>
                <w:bCs/>
                <w:iCs/>
              </w:rPr>
              <w:t xml:space="preserve">une </w:t>
            </w:r>
            <w:r w:rsidR="003D4DB6" w:rsidRPr="00973161">
              <w:rPr>
                <w:bCs/>
                <w:iCs/>
              </w:rPr>
              <w:t xml:space="preserve">harmonisation. Afin de protéger les liaisons de connexion du SRS, </w:t>
            </w:r>
            <w:r w:rsidRPr="00973161">
              <w:rPr>
                <w:bCs/>
                <w:iCs/>
              </w:rPr>
              <w:t>il est nécessaire de mener à bien des</w:t>
            </w:r>
            <w:r w:rsidR="003D4DB6" w:rsidRPr="00973161">
              <w:rPr>
                <w:bCs/>
                <w:iCs/>
              </w:rPr>
              <w:t xml:space="preserve"> études sur les mesures à prendre pour protéger les services primaires vis-à-vis de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attribution à titre secondaire au service de radiolocalisation </w:t>
            </w:r>
            <w:r w:rsidRPr="00973161">
              <w:rPr>
                <w:bCs/>
                <w:iCs/>
              </w:rPr>
              <w:t xml:space="preserve">dans la bande de fréquences </w:t>
            </w:r>
            <w:r w:rsidR="003D4DB6" w:rsidRPr="00973161">
              <w:rPr>
                <w:bCs/>
                <w:iCs/>
              </w:rPr>
              <w:t>17,3-17,7 GHz en Région 3. Aucune disposition pertinente ne s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 xml:space="preserve">applique au SFS non OSG dans la </w:t>
            </w:r>
            <w:r w:rsidRPr="00973161">
              <w:rPr>
                <w:bCs/>
                <w:iCs/>
              </w:rPr>
              <w:t>bande de fréquences</w:t>
            </w:r>
            <w:r w:rsidR="003D4DB6" w:rsidRPr="00973161">
              <w:rPr>
                <w:bCs/>
                <w:iCs/>
              </w:rPr>
              <w:t xml:space="preserve"> 17,3-17,8 GHz, </w:t>
            </w:r>
            <w:r w:rsidRPr="00973161">
              <w:rPr>
                <w:bCs/>
                <w:iCs/>
              </w:rPr>
              <w:t>de sorte que 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élaboration de</w:t>
            </w:r>
            <w:r w:rsidR="003D4DB6" w:rsidRPr="00973161">
              <w:rPr>
                <w:bCs/>
                <w:iCs/>
              </w:rPr>
              <w:t xml:space="preserve"> dispositions pertinentes </w:t>
            </w:r>
            <w:r w:rsidRPr="00973161">
              <w:rPr>
                <w:bCs/>
                <w:iCs/>
              </w:rPr>
              <w:t xml:space="preserve">à cet égard </w:t>
            </w:r>
            <w:r w:rsidR="003D4DB6" w:rsidRPr="00973161">
              <w:rPr>
                <w:bCs/>
                <w:iCs/>
              </w:rPr>
              <w:t>contribuera au partage des fréquences dans cette bande à l</w:t>
            </w:r>
            <w:r w:rsidR="00CE4958" w:rsidRPr="00973161">
              <w:rPr>
                <w:bCs/>
                <w:iCs/>
              </w:rPr>
              <w:t>'</w:t>
            </w:r>
            <w:r w:rsidR="003D4DB6" w:rsidRPr="00973161">
              <w:rPr>
                <w:bCs/>
                <w:iCs/>
              </w:rPr>
              <w:t>échelle mondiale.</w:t>
            </w:r>
          </w:p>
          <w:p w14:paraId="193A2900" w14:textId="42429058" w:rsidR="003D4DB6" w:rsidRPr="00973161" w:rsidRDefault="003D4DB6" w:rsidP="00E5630B">
            <w:pPr>
              <w:rPr>
                <w:bCs/>
                <w:iCs/>
              </w:rPr>
            </w:pPr>
            <w:r w:rsidRPr="00973161">
              <w:rPr>
                <w:bCs/>
                <w:iCs/>
              </w:rPr>
              <w:t xml:space="preserve">De même, </w:t>
            </w:r>
            <w:r w:rsidR="007A091B" w:rsidRPr="00973161">
              <w:rPr>
                <w:bCs/>
                <w:iCs/>
              </w:rPr>
              <w:t xml:space="preserve">au cours des </w:t>
            </w:r>
            <w:r w:rsidRPr="00973161">
              <w:rPr>
                <w:bCs/>
                <w:iCs/>
              </w:rPr>
              <w:t xml:space="preserve">dernières années, </w:t>
            </w:r>
            <w:r w:rsidR="007A091B" w:rsidRPr="00973161">
              <w:rPr>
                <w:bCs/>
                <w:iCs/>
              </w:rPr>
              <w:t>les</w:t>
            </w:r>
            <w:r w:rsidRPr="00973161">
              <w:rPr>
                <w:bCs/>
                <w:iCs/>
              </w:rPr>
              <w:t xml:space="preserve"> systèmes de radiodiffusion par satellite à large bande </w:t>
            </w:r>
            <w:r w:rsidR="007A091B" w:rsidRPr="00973161">
              <w:rPr>
                <w:bCs/>
                <w:iCs/>
              </w:rPr>
              <w:t xml:space="preserve">sont devenus de plus en plus nécessaires </w:t>
            </w:r>
            <w:r w:rsidRPr="00973161">
              <w:rPr>
                <w:bCs/>
                <w:iCs/>
              </w:rPr>
              <w:t xml:space="preserve">pour fournir des services de </w:t>
            </w:r>
            <w:r w:rsidR="007A091B" w:rsidRPr="00973161">
              <w:rPr>
                <w:bCs/>
                <w:iCs/>
              </w:rPr>
              <w:t xml:space="preserve">télévision à ultra haute définition </w:t>
            </w:r>
            <w:r w:rsidRPr="00973161">
              <w:rPr>
                <w:bCs/>
                <w:iCs/>
              </w:rPr>
              <w:t xml:space="preserve">(vidéos immersives, Recommandation UIT-R BT.2020) et des </w:t>
            </w:r>
            <w:r w:rsidR="007A091B" w:rsidRPr="00973161">
              <w:rPr>
                <w:bCs/>
                <w:iCs/>
              </w:rPr>
              <w:t>signaux audio</w:t>
            </w:r>
            <w:r w:rsidRPr="00973161">
              <w:rPr>
                <w:bCs/>
                <w:iCs/>
              </w:rPr>
              <w:t xml:space="preserve"> de qualité aux domiciles. </w:t>
            </w:r>
            <w:r w:rsidR="007A091B" w:rsidRPr="00973161">
              <w:rPr>
                <w:bCs/>
                <w:iCs/>
              </w:rPr>
              <w:t>L</w:t>
            </w:r>
            <w:r w:rsidR="00CE4958" w:rsidRPr="00973161">
              <w:rPr>
                <w:bCs/>
                <w:iCs/>
              </w:rPr>
              <w:t>'</w:t>
            </w:r>
            <w:r w:rsidR="007A091B" w:rsidRPr="00973161">
              <w:rPr>
                <w:bCs/>
                <w:iCs/>
              </w:rPr>
              <w:t xml:space="preserve">attribution de la bande de fréquences </w:t>
            </w:r>
            <w:r w:rsidRPr="00973161">
              <w:rPr>
                <w:bCs/>
                <w:iCs/>
              </w:rPr>
              <w:t xml:space="preserve">17,3-17,8 GHz au SRS en Région 3 permettra de </w:t>
            </w:r>
            <w:r w:rsidR="007A091B" w:rsidRPr="00973161">
              <w:rPr>
                <w:bCs/>
                <w:iCs/>
              </w:rPr>
              <w:t xml:space="preserve">répondre à ce besoin </w:t>
            </w:r>
            <w:r w:rsidRPr="00973161">
              <w:rPr>
                <w:bCs/>
                <w:iCs/>
              </w:rPr>
              <w:t>et contribuera à 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harmonisation</w:t>
            </w:r>
            <w:r w:rsidR="007A091B" w:rsidRPr="00973161">
              <w:rPr>
                <w:bCs/>
                <w:iCs/>
              </w:rPr>
              <w:t>,</w:t>
            </w:r>
            <w:r w:rsidRPr="00973161">
              <w:rPr>
                <w:bCs/>
                <w:iCs/>
              </w:rPr>
              <w:t xml:space="preserve"> étant donné que la bande de fréquences 17,3-17,7 GHz a été attribuée au SRS en Région 2.</w:t>
            </w:r>
          </w:p>
          <w:p w14:paraId="6743B0AD" w14:textId="6A119CCF" w:rsidR="003D4DB6" w:rsidRPr="00973161" w:rsidRDefault="003D4DB6" w:rsidP="00E5630B">
            <w:pPr>
              <w:rPr>
                <w:bCs/>
                <w:iCs/>
              </w:rPr>
            </w:pPr>
            <w:r w:rsidRPr="00973161">
              <w:rPr>
                <w:bCs/>
                <w:iCs/>
              </w:rPr>
              <w:t xml:space="preserve">Afin de protéger les liaisons de connexion du SRS, </w:t>
            </w:r>
            <w:r w:rsidR="007A091B" w:rsidRPr="00973161">
              <w:rPr>
                <w:bCs/>
                <w:iCs/>
              </w:rPr>
              <w:t>il est nécessaire de mettre au point des</w:t>
            </w:r>
            <w:r w:rsidRPr="00973161">
              <w:rPr>
                <w:bCs/>
                <w:iCs/>
              </w:rPr>
              <w:t xml:space="preserve"> mesures visant à protéger les services primaires vis-à-vis de 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 xml:space="preserve">attribution à titre secondaire au service de radiolocalisation </w:t>
            </w:r>
            <w:r w:rsidR="007A091B" w:rsidRPr="00973161">
              <w:rPr>
                <w:bCs/>
                <w:iCs/>
              </w:rPr>
              <w:t>dans la bande de fréquences</w:t>
            </w:r>
            <w:r w:rsidRPr="00973161">
              <w:rPr>
                <w:bCs/>
                <w:iCs/>
              </w:rPr>
              <w:t xml:space="preserve"> 17,3-17,7 GHz en Région 3.</w:t>
            </w:r>
          </w:p>
          <w:p w14:paraId="64407BA4" w14:textId="4B4ABB78" w:rsidR="00106137" w:rsidRPr="00973161" w:rsidRDefault="003D4DB6" w:rsidP="00F17DB4">
            <w:pPr>
              <w:spacing w:after="120"/>
              <w:rPr>
                <w:b/>
                <w:i/>
              </w:rPr>
            </w:pPr>
            <w:r w:rsidRPr="00973161">
              <w:rPr>
                <w:bCs/>
                <w:iCs/>
              </w:rPr>
              <w:t xml:space="preserve">Il convient de souligner que </w:t>
            </w:r>
            <w:r w:rsidR="007A091B" w:rsidRPr="00973161">
              <w:rPr>
                <w:bCs/>
                <w:iCs/>
              </w:rPr>
              <w:t>la bande de fréquences</w:t>
            </w:r>
            <w:r w:rsidRPr="00973161">
              <w:rPr>
                <w:bCs/>
                <w:iCs/>
              </w:rPr>
              <w:t xml:space="preserve"> 17,3-17,7 GHz est attribuée au SFS en Région</w:t>
            </w:r>
            <w:r w:rsidR="00C85A85" w:rsidRPr="00973161">
              <w:rPr>
                <w:bCs/>
                <w:iCs/>
              </w:rPr>
              <w:t> </w:t>
            </w:r>
            <w:r w:rsidRPr="00973161">
              <w:rPr>
                <w:bCs/>
                <w:iCs/>
              </w:rPr>
              <w:t>1, mais</w:t>
            </w:r>
            <w:r w:rsidR="00CE4958" w:rsidRPr="00973161">
              <w:rPr>
                <w:bCs/>
                <w:iCs/>
              </w:rPr>
              <w:t xml:space="preserve"> qu'</w:t>
            </w:r>
            <w:r w:rsidRPr="00973161">
              <w:rPr>
                <w:bCs/>
                <w:iCs/>
              </w:rPr>
              <w:t>aucune disposition pertinente ne s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 xml:space="preserve">applique au SFS non </w:t>
            </w:r>
            <w:r w:rsidR="007A091B" w:rsidRPr="00973161">
              <w:rPr>
                <w:bCs/>
                <w:iCs/>
              </w:rPr>
              <w:t>géostationnaire</w:t>
            </w:r>
            <w:r w:rsidRPr="00973161">
              <w:rPr>
                <w:bCs/>
                <w:iCs/>
              </w:rPr>
              <w:t xml:space="preserve"> en Région 1. De plus, aucune disposition ne s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 xml:space="preserve">applique au SFS </w:t>
            </w:r>
            <w:r w:rsidR="007A091B" w:rsidRPr="00973161">
              <w:rPr>
                <w:bCs/>
                <w:iCs/>
              </w:rPr>
              <w:t>non géostationnaire dans la bande de fréquences</w:t>
            </w:r>
            <w:r w:rsidRPr="00973161">
              <w:rPr>
                <w:bCs/>
                <w:iCs/>
              </w:rPr>
              <w:t xml:space="preserve"> 17,7-17,8 GHz. Par conséquent, il est nécessaire d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 xml:space="preserve">élaborer des dispositions réglementaires applicables au SFS </w:t>
            </w:r>
            <w:r w:rsidR="007A091B" w:rsidRPr="00973161">
              <w:rPr>
                <w:bCs/>
                <w:iCs/>
              </w:rPr>
              <w:t xml:space="preserve">non géostationnaire dans la bande de fréquences </w:t>
            </w:r>
            <w:r w:rsidRPr="00973161">
              <w:rPr>
                <w:bCs/>
                <w:iCs/>
              </w:rPr>
              <w:t>17,3-17,8 GHz à 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échelle mondiale.</w:t>
            </w:r>
          </w:p>
        </w:tc>
      </w:tr>
      <w:tr w:rsidR="00106137" w:rsidRPr="00973161" w14:paraId="4F608573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946EB" w14:textId="77777777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lastRenderedPageBreak/>
              <w:t>Services de radiocommunication concernés</w:t>
            </w:r>
            <w:r w:rsidRPr="00973161">
              <w:rPr>
                <w:b/>
                <w:bCs/>
              </w:rPr>
              <w:t>:</w:t>
            </w:r>
          </w:p>
          <w:p w14:paraId="27825E18" w14:textId="1354FE5F" w:rsidR="00106137" w:rsidRPr="00973161" w:rsidRDefault="003D4DB6" w:rsidP="00F17DB4">
            <w:pPr>
              <w:spacing w:after="120"/>
              <w:rPr>
                <w:bCs/>
                <w:iCs/>
              </w:rPr>
            </w:pPr>
            <w:r w:rsidRPr="00973161">
              <w:rPr>
                <w:bCs/>
                <w:iCs/>
              </w:rPr>
              <w:t>Les services de radiocommunication concernés dans la bande de fréquences 17,3-17,8 GHz.</w:t>
            </w:r>
          </w:p>
        </w:tc>
      </w:tr>
      <w:tr w:rsidR="00106137" w:rsidRPr="00973161" w14:paraId="03190AB1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C7899" w14:textId="77777777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t>Indication des difficultés éventuelles</w:t>
            </w:r>
            <w:r w:rsidRPr="00973161">
              <w:rPr>
                <w:b/>
                <w:bCs/>
              </w:rPr>
              <w:t>:</w:t>
            </w:r>
          </w:p>
          <w:p w14:paraId="3EDB6E08" w14:textId="7440E980" w:rsidR="00106137" w:rsidRPr="00973161" w:rsidRDefault="00190367" w:rsidP="00F17DB4">
            <w:pPr>
              <w:spacing w:after="120"/>
              <w:rPr>
                <w:b/>
                <w:i/>
              </w:rPr>
            </w:pPr>
            <w:r w:rsidRPr="00973161">
              <w:rPr>
                <w:bCs/>
                <w:iCs/>
              </w:rPr>
              <w:t>À</w:t>
            </w:r>
            <w:r w:rsidR="003D4DB6" w:rsidRPr="00973161">
              <w:rPr>
                <w:bCs/>
                <w:iCs/>
              </w:rPr>
              <w:t xml:space="preserve"> déterminer</w:t>
            </w:r>
          </w:p>
        </w:tc>
      </w:tr>
      <w:tr w:rsidR="00106137" w:rsidRPr="00973161" w14:paraId="04D5CDD5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BDD59" w14:textId="77777777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t>Études précédentes ou en cours sur la question</w:t>
            </w:r>
            <w:r w:rsidRPr="00973161">
              <w:rPr>
                <w:b/>
                <w:bCs/>
              </w:rPr>
              <w:t>:</w:t>
            </w:r>
          </w:p>
          <w:p w14:paraId="2C279041" w14:textId="74EDB1BC" w:rsidR="00106137" w:rsidRPr="00973161" w:rsidRDefault="003D4DB6" w:rsidP="00F17DB4">
            <w:pPr>
              <w:spacing w:after="120"/>
              <w:rPr>
                <w:bCs/>
                <w:iCs/>
              </w:rPr>
            </w:pPr>
            <w:r w:rsidRPr="00973161">
              <w:rPr>
                <w:bCs/>
                <w:iCs/>
              </w:rPr>
              <w:t>Point 1.19 de l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ordre du jour de la CMR-23</w:t>
            </w:r>
          </w:p>
        </w:tc>
      </w:tr>
      <w:tr w:rsidR="00106137" w:rsidRPr="00973161" w14:paraId="50B63834" w14:textId="77777777" w:rsidTr="004178D0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60B0B" w14:textId="77777777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t>Études devant être réalisées par</w:t>
            </w:r>
            <w:r w:rsidRPr="00973161">
              <w:rPr>
                <w:b/>
                <w:bCs/>
              </w:rPr>
              <w:t>:</w:t>
            </w:r>
          </w:p>
          <w:p w14:paraId="2F227459" w14:textId="6D464820" w:rsidR="00106137" w:rsidRPr="00973161" w:rsidRDefault="003D4DB6" w:rsidP="00F17DB4">
            <w:pPr>
              <w:spacing w:after="120"/>
              <w:rPr>
                <w:bCs/>
                <w:iCs/>
                <w:color w:val="000000"/>
              </w:rPr>
            </w:pPr>
            <w:r w:rsidRPr="00973161">
              <w:rPr>
                <w:bCs/>
                <w:iCs/>
                <w:color w:val="000000"/>
              </w:rPr>
              <w:t>GT 4A de l</w:t>
            </w:r>
            <w:r w:rsidR="00CE4958" w:rsidRPr="00973161">
              <w:rPr>
                <w:bCs/>
                <w:iCs/>
                <w:color w:val="000000"/>
              </w:rPr>
              <w:t>'</w:t>
            </w:r>
            <w:r w:rsidRPr="00973161">
              <w:rPr>
                <w:bCs/>
                <w:iCs/>
                <w:color w:val="000000"/>
              </w:rPr>
              <w:t>UIT-R</w:t>
            </w:r>
            <w:r w:rsidR="007A091B" w:rsidRPr="00973161">
              <w:rPr>
                <w:bCs/>
                <w:iCs/>
                <w:color w:val="000000"/>
              </w:rPr>
              <w:t>,</w:t>
            </w:r>
            <w:r w:rsidRPr="00973161">
              <w:rPr>
                <w:bCs/>
                <w:iCs/>
                <w:color w:val="000000"/>
              </w:rPr>
              <w:t xml:space="preserve"> en tant que groupe responsable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EF300" w14:textId="77777777" w:rsidR="00106137" w:rsidRPr="00973161" w:rsidRDefault="00106137" w:rsidP="00E5630B">
            <w:pPr>
              <w:rPr>
                <w:b/>
                <w:bCs/>
              </w:rPr>
            </w:pPr>
            <w:r w:rsidRPr="00973161">
              <w:rPr>
                <w:b/>
                <w:bCs/>
                <w:i/>
                <w:iCs/>
              </w:rPr>
              <w:t>avec la participation de</w:t>
            </w:r>
            <w:r w:rsidRPr="00973161">
              <w:rPr>
                <w:b/>
                <w:bCs/>
              </w:rPr>
              <w:t>:</w:t>
            </w:r>
          </w:p>
          <w:p w14:paraId="57D63B85" w14:textId="4C046CC3" w:rsidR="003D4DB6" w:rsidRPr="00973161" w:rsidRDefault="003D4DB6" w:rsidP="00E5630B">
            <w:pPr>
              <w:rPr>
                <w:bCs/>
                <w:iCs/>
                <w:color w:val="000000"/>
              </w:rPr>
            </w:pPr>
            <w:r w:rsidRPr="00973161">
              <w:rPr>
                <w:bCs/>
                <w:iCs/>
                <w:color w:val="000000"/>
              </w:rPr>
              <w:t xml:space="preserve">Autres </w:t>
            </w:r>
            <w:r w:rsidR="007A091B" w:rsidRPr="00973161">
              <w:rPr>
                <w:bCs/>
                <w:iCs/>
                <w:color w:val="000000"/>
              </w:rPr>
              <w:t>GT concernés</w:t>
            </w:r>
            <w:r w:rsidRPr="00973161">
              <w:rPr>
                <w:bCs/>
                <w:iCs/>
                <w:color w:val="000000"/>
              </w:rPr>
              <w:t xml:space="preserve">, Administrations, Membres de Secteur </w:t>
            </w:r>
          </w:p>
        </w:tc>
      </w:tr>
      <w:tr w:rsidR="00106137" w:rsidRPr="00973161" w14:paraId="48F7F24B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70964" w14:textId="3A7D1FAF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lastRenderedPageBreak/>
              <w:t>Commissions d</w:t>
            </w:r>
            <w:r w:rsidR="00CE4958" w:rsidRPr="00973161">
              <w:rPr>
                <w:b/>
                <w:bCs/>
                <w:i/>
                <w:iCs/>
              </w:rPr>
              <w:t>'</w:t>
            </w:r>
            <w:r w:rsidRPr="00973161">
              <w:rPr>
                <w:b/>
                <w:bCs/>
                <w:i/>
                <w:iCs/>
              </w:rPr>
              <w:t>études de l</w:t>
            </w:r>
            <w:r w:rsidR="00CE4958" w:rsidRPr="00973161">
              <w:rPr>
                <w:b/>
                <w:bCs/>
                <w:i/>
                <w:iCs/>
              </w:rPr>
              <w:t>'</w:t>
            </w:r>
            <w:r w:rsidRPr="00973161">
              <w:rPr>
                <w:b/>
                <w:bCs/>
                <w:i/>
                <w:iCs/>
              </w:rPr>
              <w:t>UIT-R concernées</w:t>
            </w:r>
            <w:r w:rsidRPr="00973161">
              <w:rPr>
                <w:b/>
                <w:bCs/>
              </w:rPr>
              <w:t>:</w:t>
            </w:r>
          </w:p>
          <w:p w14:paraId="32502DC0" w14:textId="2AD0D209" w:rsidR="00106137" w:rsidRPr="00973161" w:rsidRDefault="003D4DB6" w:rsidP="00F17DB4">
            <w:pPr>
              <w:spacing w:after="120"/>
              <w:rPr>
                <w:bCs/>
                <w:iCs/>
              </w:rPr>
            </w:pPr>
            <w:r w:rsidRPr="00973161">
              <w:rPr>
                <w:bCs/>
                <w:iCs/>
              </w:rPr>
              <w:t>CE 4, CE 5, CE 7</w:t>
            </w:r>
          </w:p>
        </w:tc>
      </w:tr>
      <w:tr w:rsidR="00106137" w:rsidRPr="00973161" w14:paraId="60A5BD97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1563" w14:textId="31919A12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t>Répercussions au niveau des ressources de l</w:t>
            </w:r>
            <w:r w:rsidR="00CE4958" w:rsidRPr="00973161">
              <w:rPr>
                <w:b/>
                <w:bCs/>
                <w:i/>
                <w:iCs/>
              </w:rPr>
              <w:t>'</w:t>
            </w:r>
            <w:r w:rsidRPr="00973161">
              <w:rPr>
                <w:b/>
                <w:bCs/>
                <w:i/>
                <w:iCs/>
              </w:rPr>
              <w:t>UIT, y compris incidences financières</w:t>
            </w:r>
            <w:r w:rsidRPr="00973161">
              <w:rPr>
                <w:b/>
                <w:bCs/>
                <w:i/>
                <w:iCs/>
              </w:rPr>
              <w:br/>
              <w:t>(voir le numéro 126 de la Convention)</w:t>
            </w:r>
            <w:r w:rsidRPr="00973161">
              <w:rPr>
                <w:b/>
                <w:bCs/>
              </w:rPr>
              <w:t>:</w:t>
            </w:r>
          </w:p>
          <w:p w14:paraId="6F9C779D" w14:textId="0BEC7F2D" w:rsidR="00106137" w:rsidRPr="00973161" w:rsidRDefault="003D4DB6" w:rsidP="00F17DB4">
            <w:pPr>
              <w:spacing w:after="120"/>
              <w:rPr>
                <w:bCs/>
                <w:iCs/>
              </w:rPr>
            </w:pPr>
            <w:r w:rsidRPr="00973161">
              <w:rPr>
                <w:bCs/>
                <w:iCs/>
              </w:rPr>
              <w:t>Aucune incidence financière directe n</w:t>
            </w:r>
            <w:r w:rsidR="00CE4958" w:rsidRPr="00973161">
              <w:rPr>
                <w:bCs/>
                <w:iCs/>
              </w:rPr>
              <w:t>'</w:t>
            </w:r>
            <w:r w:rsidRPr="00973161">
              <w:rPr>
                <w:bCs/>
                <w:iCs/>
              </w:rPr>
              <w:t>a été identifiée à ce jour.</w:t>
            </w:r>
          </w:p>
        </w:tc>
      </w:tr>
      <w:tr w:rsidR="00106137" w:rsidRPr="00973161" w14:paraId="11CB1685" w14:textId="77777777" w:rsidTr="004178D0"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AA306" w14:textId="77777777" w:rsidR="00C85A85" w:rsidRPr="00973161" w:rsidRDefault="00106137" w:rsidP="00C85A85">
            <w:pPr>
              <w:rPr>
                <w:b/>
                <w:bCs/>
              </w:rPr>
            </w:pPr>
            <w:r w:rsidRPr="00973161">
              <w:rPr>
                <w:b/>
                <w:bCs/>
                <w:i/>
                <w:iCs/>
              </w:rPr>
              <w:t>Proposition régionale commune</w:t>
            </w:r>
            <w:r w:rsidRPr="00973161">
              <w:rPr>
                <w:b/>
                <w:bCs/>
              </w:rPr>
              <w:t>:</w:t>
            </w:r>
            <w:bookmarkStart w:id="8" w:name="_Hlk149137042"/>
          </w:p>
          <w:p w14:paraId="516737ED" w14:textId="2C7D4988" w:rsidR="00106137" w:rsidRPr="00973161" w:rsidRDefault="00190367" w:rsidP="00C85A85">
            <w:pPr>
              <w:rPr>
                <w:b/>
                <w:iCs/>
              </w:rPr>
            </w:pPr>
            <w:r w:rsidRPr="00973161">
              <w:t>À</w:t>
            </w:r>
            <w:bookmarkEnd w:id="8"/>
            <w:r w:rsidR="00E5630B" w:rsidRPr="00973161">
              <w:t> </w:t>
            </w:r>
            <w:r w:rsidR="003D4DB6" w:rsidRPr="00973161">
              <w:t>déterminer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F05C0" w14:textId="77777777" w:rsidR="00C85A85" w:rsidRPr="00973161" w:rsidRDefault="00106137" w:rsidP="00E5630B">
            <w:pPr>
              <w:rPr>
                <w:b/>
                <w:bCs/>
              </w:rPr>
            </w:pPr>
            <w:r w:rsidRPr="00973161">
              <w:rPr>
                <w:b/>
                <w:bCs/>
                <w:i/>
                <w:iCs/>
              </w:rPr>
              <w:t>Proposition soumise par plusieurs pays</w:t>
            </w:r>
            <w:r w:rsidRPr="00973161">
              <w:rPr>
                <w:b/>
                <w:bCs/>
              </w:rPr>
              <w:t>:</w:t>
            </w:r>
          </w:p>
          <w:p w14:paraId="7FD9526A" w14:textId="05DFAFFC" w:rsidR="00106137" w:rsidRPr="00973161" w:rsidRDefault="00190367" w:rsidP="00E5630B">
            <w:pPr>
              <w:rPr>
                <w:b/>
                <w:bCs/>
              </w:rPr>
            </w:pPr>
            <w:r w:rsidRPr="00973161">
              <w:t>À</w:t>
            </w:r>
            <w:r w:rsidR="00E5630B" w:rsidRPr="00973161">
              <w:t> </w:t>
            </w:r>
            <w:r w:rsidR="003D4DB6" w:rsidRPr="00973161">
              <w:t>déterminer</w:t>
            </w:r>
          </w:p>
          <w:p w14:paraId="3F4694E6" w14:textId="27200F19" w:rsidR="00106137" w:rsidRPr="00973161" w:rsidRDefault="00106137" w:rsidP="00F17DB4">
            <w:pPr>
              <w:spacing w:after="120"/>
              <w:rPr>
                <w:b/>
                <w:bCs/>
              </w:rPr>
            </w:pPr>
            <w:r w:rsidRPr="00973161">
              <w:rPr>
                <w:b/>
                <w:bCs/>
                <w:i/>
                <w:iCs/>
              </w:rPr>
              <w:t>Nombre de pays</w:t>
            </w:r>
            <w:r w:rsidRPr="00973161">
              <w:rPr>
                <w:b/>
                <w:bCs/>
              </w:rPr>
              <w:t>:</w:t>
            </w:r>
            <w:r w:rsidR="00C85A85" w:rsidRPr="00973161">
              <w:rPr>
                <w:b/>
                <w:bCs/>
              </w:rPr>
              <w:t xml:space="preserve"> </w:t>
            </w:r>
            <w:r w:rsidR="00190367" w:rsidRPr="00973161">
              <w:t xml:space="preserve">À </w:t>
            </w:r>
            <w:r w:rsidR="003D4DB6" w:rsidRPr="00973161">
              <w:t>déterminer</w:t>
            </w:r>
          </w:p>
        </w:tc>
      </w:tr>
      <w:tr w:rsidR="00106137" w:rsidRPr="00973161" w14:paraId="6793419D" w14:textId="77777777" w:rsidTr="004178D0"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F1E89" w14:textId="3A005BB9" w:rsidR="00106137" w:rsidRPr="00973161" w:rsidRDefault="00106137" w:rsidP="00E5630B">
            <w:r w:rsidRPr="00973161">
              <w:rPr>
                <w:b/>
                <w:bCs/>
                <w:i/>
                <w:iCs/>
              </w:rPr>
              <w:t>Observations</w:t>
            </w:r>
          </w:p>
        </w:tc>
      </w:tr>
    </w:tbl>
    <w:p w14:paraId="174907B1" w14:textId="2674F8A4" w:rsidR="00106137" w:rsidRPr="00973161" w:rsidRDefault="00106137" w:rsidP="003D4DB6">
      <w:pPr>
        <w:jc w:val="center"/>
      </w:pPr>
      <w:r w:rsidRPr="00973161">
        <w:t>______________</w:t>
      </w:r>
    </w:p>
    <w:sectPr w:rsidR="00106137" w:rsidRPr="0097316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176B" w14:textId="77777777" w:rsidR="00CB685A" w:rsidRPr="00E5630B" w:rsidRDefault="00CB685A">
      <w:r w:rsidRPr="00E5630B">
        <w:separator/>
      </w:r>
    </w:p>
  </w:endnote>
  <w:endnote w:type="continuationSeparator" w:id="0">
    <w:p w14:paraId="180727E8" w14:textId="77777777" w:rsidR="00CB685A" w:rsidRPr="00E5630B" w:rsidRDefault="00CB685A">
      <w:r w:rsidRPr="00E563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A687" w14:textId="44E8455E" w:rsidR="00936D25" w:rsidRPr="00005061" w:rsidRDefault="000454A4">
    <w:pPr>
      <w:rPr>
        <w:lang w:val="en-US"/>
      </w:rPr>
    </w:pPr>
    <w:r>
      <w:fldChar w:fldCharType="begin"/>
    </w:r>
    <w:r w:rsidRPr="00005061">
      <w:rPr>
        <w:lang w:val="en-US"/>
      </w:rPr>
      <w:instrText xml:space="preserve"> FILENAME \p  \* MERGEFORMAT </w:instrText>
    </w:r>
    <w:r>
      <w:fldChar w:fldCharType="separate"/>
    </w:r>
    <w:r w:rsidR="00973161">
      <w:rPr>
        <w:noProof/>
        <w:lang w:val="en-US"/>
      </w:rPr>
      <w:t>P:\FRA\ITU-R\CONF-R\CMR23\000\062ADD27ADD20F.docx</w:t>
    </w:r>
    <w:r>
      <w:fldChar w:fldCharType="end"/>
    </w:r>
    <w:r w:rsidR="00936D25" w:rsidRPr="00005061">
      <w:rPr>
        <w:lang w:val="en-US"/>
      </w:rPr>
      <w:tab/>
    </w:r>
    <w:r w:rsidR="00936D25" w:rsidRPr="00E5630B">
      <w:fldChar w:fldCharType="begin"/>
    </w:r>
    <w:r w:rsidR="00936D25" w:rsidRPr="00E5630B">
      <w:instrText xml:space="preserve"> SAVEDATE \@ DD.MM.YY </w:instrText>
    </w:r>
    <w:r w:rsidR="00936D25" w:rsidRPr="00E5630B">
      <w:fldChar w:fldCharType="separate"/>
    </w:r>
    <w:r w:rsidR="00973161">
      <w:rPr>
        <w:noProof/>
      </w:rPr>
      <w:t>30.10.23</w:t>
    </w:r>
    <w:r w:rsidR="00936D25" w:rsidRPr="00E5630B">
      <w:fldChar w:fldCharType="end"/>
    </w:r>
    <w:r w:rsidR="00936D25" w:rsidRPr="00005061">
      <w:rPr>
        <w:lang w:val="en-US"/>
      </w:rPr>
      <w:tab/>
    </w:r>
    <w:r w:rsidR="00936D25" w:rsidRPr="00E5630B">
      <w:fldChar w:fldCharType="begin"/>
    </w:r>
    <w:r w:rsidR="00936D25" w:rsidRPr="00E5630B">
      <w:instrText xml:space="preserve"> PRINTDATE \@ DD.MM.YY </w:instrText>
    </w:r>
    <w:r w:rsidR="00936D25" w:rsidRPr="00E5630B">
      <w:fldChar w:fldCharType="separate"/>
    </w:r>
    <w:r w:rsidR="00973161">
      <w:rPr>
        <w:noProof/>
      </w:rPr>
      <w:t>05.06.03</w:t>
    </w:r>
    <w:r w:rsidR="00936D25" w:rsidRPr="00E563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84BE" w14:textId="06347F86" w:rsidR="00936D25" w:rsidRPr="00005061" w:rsidRDefault="00936D25" w:rsidP="007B2C34">
    <w:pPr>
      <w:pStyle w:val="Footer"/>
      <w:rPr>
        <w:noProof w:val="0"/>
        <w:lang w:val="en-US"/>
      </w:rPr>
    </w:pPr>
    <w:r w:rsidRPr="00E5630B">
      <w:rPr>
        <w:noProof w:val="0"/>
      </w:rPr>
      <w:fldChar w:fldCharType="begin"/>
    </w:r>
    <w:r w:rsidRPr="00005061">
      <w:rPr>
        <w:noProof w:val="0"/>
        <w:lang w:val="en-US"/>
      </w:rPr>
      <w:instrText xml:space="preserve"> FILENAME \p  \* MERGEFORMAT </w:instrText>
    </w:r>
    <w:r w:rsidRPr="00E5630B">
      <w:rPr>
        <w:noProof w:val="0"/>
      </w:rPr>
      <w:fldChar w:fldCharType="separate"/>
    </w:r>
    <w:r w:rsidR="00973161">
      <w:rPr>
        <w:lang w:val="en-US"/>
      </w:rPr>
      <w:t>P:\FRA\ITU-R\CONF-R\CMR23\000\062ADD27ADD20F.docx</w:t>
    </w:r>
    <w:r w:rsidRPr="00E5630B">
      <w:rPr>
        <w:noProof w:val="0"/>
      </w:rPr>
      <w:fldChar w:fldCharType="end"/>
    </w:r>
    <w:r w:rsidR="00D853AC" w:rsidRPr="00005061">
      <w:rPr>
        <w:noProof w:val="0"/>
        <w:lang w:val="en-US"/>
      </w:rPr>
      <w:t xml:space="preserve"> (529014)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2AF4" w14:textId="33CBE48B" w:rsidR="00D853AC" w:rsidRPr="00005061" w:rsidRDefault="00D853AC" w:rsidP="00D853AC">
    <w:pPr>
      <w:pStyle w:val="Footer"/>
      <w:rPr>
        <w:noProof w:val="0"/>
        <w:lang w:val="en-US"/>
      </w:rPr>
    </w:pPr>
    <w:r w:rsidRPr="00E5630B">
      <w:rPr>
        <w:noProof w:val="0"/>
      </w:rPr>
      <w:fldChar w:fldCharType="begin"/>
    </w:r>
    <w:r w:rsidRPr="00005061">
      <w:rPr>
        <w:noProof w:val="0"/>
        <w:lang w:val="en-US"/>
      </w:rPr>
      <w:instrText xml:space="preserve"> FILENAME \p  \* MERGEFORMAT </w:instrText>
    </w:r>
    <w:r w:rsidRPr="00E5630B">
      <w:rPr>
        <w:noProof w:val="0"/>
      </w:rPr>
      <w:fldChar w:fldCharType="separate"/>
    </w:r>
    <w:r w:rsidR="00973161">
      <w:rPr>
        <w:lang w:val="en-US"/>
      </w:rPr>
      <w:t>P:\FRA\ITU-R\CONF-R\CMR23\000\062ADD27ADD20F.docx</w:t>
    </w:r>
    <w:r w:rsidRPr="00E5630B">
      <w:rPr>
        <w:noProof w:val="0"/>
      </w:rPr>
      <w:fldChar w:fldCharType="end"/>
    </w:r>
    <w:r w:rsidRPr="00005061">
      <w:rPr>
        <w:noProof w:val="0"/>
        <w:lang w:val="en-US"/>
      </w:rPr>
      <w:t xml:space="preserve"> (529014)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7AD5" w14:textId="77777777" w:rsidR="00CB685A" w:rsidRPr="00E5630B" w:rsidRDefault="00CB685A">
      <w:r w:rsidRPr="00E5630B">
        <w:rPr>
          <w:b/>
        </w:rPr>
        <w:t>_______________</w:t>
      </w:r>
    </w:p>
  </w:footnote>
  <w:footnote w:type="continuationSeparator" w:id="0">
    <w:p w14:paraId="31D3E1E3" w14:textId="77777777" w:rsidR="00CB685A" w:rsidRPr="00E5630B" w:rsidRDefault="00CB685A">
      <w:r w:rsidRPr="00E563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6501" w14:textId="711C7262" w:rsidR="004F1F8E" w:rsidRPr="00E5630B" w:rsidRDefault="004F1F8E" w:rsidP="004F1F8E">
    <w:pPr>
      <w:pStyle w:val="Header"/>
    </w:pPr>
    <w:r w:rsidRPr="00E5630B">
      <w:fldChar w:fldCharType="begin"/>
    </w:r>
    <w:r w:rsidRPr="00E5630B">
      <w:instrText xml:space="preserve"> PAGE </w:instrText>
    </w:r>
    <w:r w:rsidRPr="00E5630B">
      <w:fldChar w:fldCharType="separate"/>
    </w:r>
    <w:r w:rsidR="00B55C64" w:rsidRPr="00E5630B">
      <w:t>6</w:t>
    </w:r>
    <w:r w:rsidRPr="00E5630B">
      <w:fldChar w:fldCharType="end"/>
    </w:r>
  </w:p>
  <w:p w14:paraId="3C49A4FD" w14:textId="77777777" w:rsidR="004F1F8E" w:rsidRPr="00E5630B" w:rsidRDefault="00225CF2" w:rsidP="00FD7AA3">
    <w:pPr>
      <w:pStyle w:val="Header"/>
    </w:pPr>
    <w:r w:rsidRPr="00E5630B">
      <w:t>WRC</w:t>
    </w:r>
    <w:r w:rsidR="00D3426F" w:rsidRPr="00E5630B">
      <w:t>23</w:t>
    </w:r>
    <w:r w:rsidR="004F1F8E" w:rsidRPr="00E5630B">
      <w:t>/</w:t>
    </w:r>
    <w:r w:rsidR="006A4B45" w:rsidRPr="00E5630B">
      <w:t>62(Add.27)(Add.20)-</w:t>
    </w:r>
    <w:r w:rsidR="00010B43" w:rsidRPr="00E5630B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24890322">
    <w:abstractNumId w:val="0"/>
  </w:num>
  <w:num w:numId="2" w16cid:durableId="19491198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061"/>
    <w:rsid w:val="00007EC7"/>
    <w:rsid w:val="00010B43"/>
    <w:rsid w:val="00013A84"/>
    <w:rsid w:val="00016648"/>
    <w:rsid w:val="0003522F"/>
    <w:rsid w:val="000454A4"/>
    <w:rsid w:val="00063A1F"/>
    <w:rsid w:val="000809CA"/>
    <w:rsid w:val="00080E2C"/>
    <w:rsid w:val="00081366"/>
    <w:rsid w:val="000863B3"/>
    <w:rsid w:val="000A4755"/>
    <w:rsid w:val="000A55AE"/>
    <w:rsid w:val="000A648C"/>
    <w:rsid w:val="000B2E0C"/>
    <w:rsid w:val="000B3D0C"/>
    <w:rsid w:val="000D56AF"/>
    <w:rsid w:val="00106137"/>
    <w:rsid w:val="001167B9"/>
    <w:rsid w:val="001267A0"/>
    <w:rsid w:val="0015203F"/>
    <w:rsid w:val="00160C64"/>
    <w:rsid w:val="0018169B"/>
    <w:rsid w:val="00190367"/>
    <w:rsid w:val="0019352B"/>
    <w:rsid w:val="001960D0"/>
    <w:rsid w:val="001A11F6"/>
    <w:rsid w:val="001F17E8"/>
    <w:rsid w:val="001F20E7"/>
    <w:rsid w:val="00204306"/>
    <w:rsid w:val="00225CF2"/>
    <w:rsid w:val="00232FD2"/>
    <w:rsid w:val="00246DD3"/>
    <w:rsid w:val="00254761"/>
    <w:rsid w:val="0026554E"/>
    <w:rsid w:val="002865B3"/>
    <w:rsid w:val="002A4622"/>
    <w:rsid w:val="002A6F8F"/>
    <w:rsid w:val="002B17E5"/>
    <w:rsid w:val="002B5B67"/>
    <w:rsid w:val="002C0EBF"/>
    <w:rsid w:val="002C28A4"/>
    <w:rsid w:val="002D7E0A"/>
    <w:rsid w:val="00315AFE"/>
    <w:rsid w:val="003411F6"/>
    <w:rsid w:val="003606A6"/>
    <w:rsid w:val="0036650C"/>
    <w:rsid w:val="00392BA5"/>
    <w:rsid w:val="00393ACD"/>
    <w:rsid w:val="003A583E"/>
    <w:rsid w:val="003D4DB6"/>
    <w:rsid w:val="003E112B"/>
    <w:rsid w:val="003E1D1C"/>
    <w:rsid w:val="003E7B05"/>
    <w:rsid w:val="003F3719"/>
    <w:rsid w:val="003F6F2D"/>
    <w:rsid w:val="004211CF"/>
    <w:rsid w:val="00427C87"/>
    <w:rsid w:val="00463955"/>
    <w:rsid w:val="00466211"/>
    <w:rsid w:val="00483196"/>
    <w:rsid w:val="004834A9"/>
    <w:rsid w:val="004A4B70"/>
    <w:rsid w:val="004D01FC"/>
    <w:rsid w:val="004E28C3"/>
    <w:rsid w:val="004F1F8E"/>
    <w:rsid w:val="00512A32"/>
    <w:rsid w:val="005343DA"/>
    <w:rsid w:val="00560874"/>
    <w:rsid w:val="00585D18"/>
    <w:rsid w:val="00586CF2"/>
    <w:rsid w:val="005A6D59"/>
    <w:rsid w:val="005A7C75"/>
    <w:rsid w:val="005C3768"/>
    <w:rsid w:val="005C6C3F"/>
    <w:rsid w:val="00613635"/>
    <w:rsid w:val="0062093D"/>
    <w:rsid w:val="00622556"/>
    <w:rsid w:val="00637ECF"/>
    <w:rsid w:val="00647B59"/>
    <w:rsid w:val="00690C7B"/>
    <w:rsid w:val="006A4B45"/>
    <w:rsid w:val="006C1A08"/>
    <w:rsid w:val="006D4724"/>
    <w:rsid w:val="006E20A1"/>
    <w:rsid w:val="006E41C5"/>
    <w:rsid w:val="006F5FA2"/>
    <w:rsid w:val="0070076C"/>
    <w:rsid w:val="00701BAE"/>
    <w:rsid w:val="00721F04"/>
    <w:rsid w:val="00730E95"/>
    <w:rsid w:val="007426B9"/>
    <w:rsid w:val="00757EC3"/>
    <w:rsid w:val="00764342"/>
    <w:rsid w:val="00774362"/>
    <w:rsid w:val="00786598"/>
    <w:rsid w:val="00790C74"/>
    <w:rsid w:val="00793C64"/>
    <w:rsid w:val="007A04E8"/>
    <w:rsid w:val="007A091B"/>
    <w:rsid w:val="007A4476"/>
    <w:rsid w:val="007B2C34"/>
    <w:rsid w:val="007F282B"/>
    <w:rsid w:val="007F4467"/>
    <w:rsid w:val="00830086"/>
    <w:rsid w:val="00831541"/>
    <w:rsid w:val="008428CC"/>
    <w:rsid w:val="00851625"/>
    <w:rsid w:val="00863C0A"/>
    <w:rsid w:val="00877366"/>
    <w:rsid w:val="008933F5"/>
    <w:rsid w:val="008A3120"/>
    <w:rsid w:val="008A4B97"/>
    <w:rsid w:val="008B3C07"/>
    <w:rsid w:val="008C5B8E"/>
    <w:rsid w:val="008C5DD5"/>
    <w:rsid w:val="008C7123"/>
    <w:rsid w:val="008D41BE"/>
    <w:rsid w:val="008D58D3"/>
    <w:rsid w:val="008D6247"/>
    <w:rsid w:val="008E3BC9"/>
    <w:rsid w:val="00923064"/>
    <w:rsid w:val="00930FFD"/>
    <w:rsid w:val="00936D25"/>
    <w:rsid w:val="00941EA5"/>
    <w:rsid w:val="00964700"/>
    <w:rsid w:val="00966C16"/>
    <w:rsid w:val="00973161"/>
    <w:rsid w:val="0098732F"/>
    <w:rsid w:val="009951CD"/>
    <w:rsid w:val="009A045F"/>
    <w:rsid w:val="009A6A2B"/>
    <w:rsid w:val="009C7E7C"/>
    <w:rsid w:val="00A00473"/>
    <w:rsid w:val="00A03C9B"/>
    <w:rsid w:val="00A37105"/>
    <w:rsid w:val="00A606C3"/>
    <w:rsid w:val="00A7563B"/>
    <w:rsid w:val="00A83B09"/>
    <w:rsid w:val="00A84541"/>
    <w:rsid w:val="00A8473B"/>
    <w:rsid w:val="00AD4014"/>
    <w:rsid w:val="00AE36A0"/>
    <w:rsid w:val="00B00294"/>
    <w:rsid w:val="00B3749C"/>
    <w:rsid w:val="00B55C64"/>
    <w:rsid w:val="00B64FD0"/>
    <w:rsid w:val="00BA5BD0"/>
    <w:rsid w:val="00BB1D82"/>
    <w:rsid w:val="00BB3DC4"/>
    <w:rsid w:val="00BC217E"/>
    <w:rsid w:val="00BD51C5"/>
    <w:rsid w:val="00BF26E7"/>
    <w:rsid w:val="00C1305F"/>
    <w:rsid w:val="00C53FCA"/>
    <w:rsid w:val="00C71DEB"/>
    <w:rsid w:val="00C76BAF"/>
    <w:rsid w:val="00C814B9"/>
    <w:rsid w:val="00C85A85"/>
    <w:rsid w:val="00CB685A"/>
    <w:rsid w:val="00CD516F"/>
    <w:rsid w:val="00CE4958"/>
    <w:rsid w:val="00D119A7"/>
    <w:rsid w:val="00D25FBA"/>
    <w:rsid w:val="00D32B28"/>
    <w:rsid w:val="00D3426F"/>
    <w:rsid w:val="00D42954"/>
    <w:rsid w:val="00D66EAC"/>
    <w:rsid w:val="00D730DF"/>
    <w:rsid w:val="00D7556D"/>
    <w:rsid w:val="00D772F0"/>
    <w:rsid w:val="00D77BDC"/>
    <w:rsid w:val="00D853AC"/>
    <w:rsid w:val="00DC402B"/>
    <w:rsid w:val="00DE0932"/>
    <w:rsid w:val="00DF15E8"/>
    <w:rsid w:val="00E03A27"/>
    <w:rsid w:val="00E049F1"/>
    <w:rsid w:val="00E04CE1"/>
    <w:rsid w:val="00E17377"/>
    <w:rsid w:val="00E31A00"/>
    <w:rsid w:val="00E37A25"/>
    <w:rsid w:val="00E537FF"/>
    <w:rsid w:val="00E5630B"/>
    <w:rsid w:val="00E60CB2"/>
    <w:rsid w:val="00E6539B"/>
    <w:rsid w:val="00E70A31"/>
    <w:rsid w:val="00E723A7"/>
    <w:rsid w:val="00E73FB4"/>
    <w:rsid w:val="00EA3F38"/>
    <w:rsid w:val="00EA5AB6"/>
    <w:rsid w:val="00EC7615"/>
    <w:rsid w:val="00ED16AA"/>
    <w:rsid w:val="00ED1932"/>
    <w:rsid w:val="00ED6B8D"/>
    <w:rsid w:val="00EE3D7B"/>
    <w:rsid w:val="00EF662E"/>
    <w:rsid w:val="00F10064"/>
    <w:rsid w:val="00F148F1"/>
    <w:rsid w:val="00F17DB4"/>
    <w:rsid w:val="00F545AA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E2B88D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qFormat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rsid w:val="00E31A00"/>
    <w:rPr>
      <w:rFonts w:ascii="Times New Roman" w:hAnsi="Times New Roman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E31A00"/>
    <w:rPr>
      <w:rFonts w:ascii="Times New Roman Bold" w:hAnsi="Times New Roman Bold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qFormat/>
    <w:locked/>
    <w:rsid w:val="00E31A00"/>
    <w:rPr>
      <w:rFonts w:ascii="Times New Roman" w:hAnsi="Times New Roman"/>
      <w:i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428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8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28CC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8CC"/>
    <w:rPr>
      <w:rFonts w:ascii="Times New Roman" w:hAnsi="Times New Roman"/>
      <w:b/>
      <w:bCs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106137"/>
    <w:rPr>
      <w:rFonts w:ascii="Times New Roman Bold" w:hAnsi="Times New Roman Bold"/>
      <w:b/>
      <w:sz w:val="28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106137"/>
    <w:rPr>
      <w:rFonts w:ascii="Times New Roman" w:hAnsi="Times New Roman"/>
      <w:b/>
      <w:sz w:val="24"/>
      <w:lang w:val="fr-FR" w:eastAsia="en-US"/>
    </w:rPr>
  </w:style>
  <w:style w:type="paragraph" w:styleId="Revision">
    <w:name w:val="Revision"/>
    <w:hidden/>
    <w:uiPriority w:val="99"/>
    <w:semiHidden/>
    <w:rsid w:val="00A7563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R23-WRC23-C-0062!A27-A20!MSW-F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EC1FA-904D-4D7F-BCD5-3A0836DC2F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531156-2C18-4C39-B6E0-B43362E0206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492505-B427-4D96-B2A6-B370B91F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2543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R23-WRC23-C-0062!A27-A20!MSW-F</vt:lpstr>
    </vt:vector>
  </TitlesOfParts>
  <Manager>Secrétariat général - Pool</Manager>
  <Company>Union internationale des télécommunications (UIT)</Company>
  <LinksUpToDate>false</LinksUpToDate>
  <CharactersWithSpaces>16497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R23-WRC23-C-0062!A27-A20!MSW-F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12</cp:revision>
  <cp:lastPrinted>2003-06-05T19:34:00Z</cp:lastPrinted>
  <dcterms:created xsi:type="dcterms:W3CDTF">2023-10-25T12:18:00Z</dcterms:created>
  <dcterms:modified xsi:type="dcterms:W3CDTF">2023-10-30T13:06:00Z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