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75210E11" w14:textId="77777777" w:rsidTr="00C1305F">
        <w:trPr>
          <w:cantSplit/>
        </w:trPr>
        <w:tc>
          <w:tcPr>
            <w:tcW w:w="1418" w:type="dxa"/>
            <w:vAlign w:val="center"/>
          </w:tcPr>
          <w:p w14:paraId="4C0EFCC2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2A92003" wp14:editId="0D3DF4A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6038B32" w14:textId="34A7DD59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8E377D" w:rsidRPr="008E377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0FFEC83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fr-CH" w:eastAsia="fr-CH"/>
              </w:rPr>
              <w:drawing>
                <wp:inline distT="0" distB="0" distL="0" distR="0" wp14:anchorId="1CDF5647" wp14:editId="3EFDB0B1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4FF8FCE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0259006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C130023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25440B8E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E0B20FB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BFD08B6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5FF6D51E" w14:textId="77777777" w:rsidTr="00BB1D82">
        <w:trPr>
          <w:cantSplit/>
        </w:trPr>
        <w:tc>
          <w:tcPr>
            <w:tcW w:w="6911" w:type="dxa"/>
            <w:gridSpan w:val="2"/>
          </w:tcPr>
          <w:p w14:paraId="3E7C0D78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81D87FD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Addendum 19 au</w:t>
            </w:r>
            <w:r>
              <w:rPr>
                <w:rFonts w:ascii="Verdana" w:hAnsi="Verdana"/>
                <w:b/>
                <w:sz w:val="20"/>
                <w:lang w:val="fr-CH"/>
              </w:rPr>
              <w:br/>
              <w:t>Document 62(Add.27)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081BE697" w14:textId="77777777" w:rsidTr="00BB1D82">
        <w:trPr>
          <w:cantSplit/>
        </w:trPr>
        <w:tc>
          <w:tcPr>
            <w:tcW w:w="6911" w:type="dxa"/>
            <w:gridSpan w:val="2"/>
          </w:tcPr>
          <w:p w14:paraId="1B5AC26F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03E1CA56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26 septembre 2023</w:t>
            </w:r>
          </w:p>
        </w:tc>
      </w:tr>
      <w:tr w:rsidR="00690C7B" w:rsidRPr="00E60CB2" w14:paraId="5A8D0620" w14:textId="77777777" w:rsidTr="00BB1D82">
        <w:trPr>
          <w:cantSplit/>
        </w:trPr>
        <w:tc>
          <w:tcPr>
            <w:tcW w:w="6911" w:type="dxa"/>
            <w:gridSpan w:val="2"/>
          </w:tcPr>
          <w:p w14:paraId="3169DBD0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452293CD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3E4D17FD" w14:textId="77777777" w:rsidTr="00C11970">
        <w:trPr>
          <w:cantSplit/>
        </w:trPr>
        <w:tc>
          <w:tcPr>
            <w:tcW w:w="10031" w:type="dxa"/>
            <w:gridSpan w:val="4"/>
          </w:tcPr>
          <w:p w14:paraId="6F30CD9E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052AE51D" w14:textId="77777777" w:rsidTr="0050008E">
        <w:trPr>
          <w:cantSplit/>
        </w:trPr>
        <w:tc>
          <w:tcPr>
            <w:tcW w:w="10031" w:type="dxa"/>
            <w:gridSpan w:val="4"/>
          </w:tcPr>
          <w:p w14:paraId="2E9E2CD6" w14:textId="77777777" w:rsidR="00690C7B" w:rsidRPr="00E60CB2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E60CB2" w14:paraId="0B94BB79" w14:textId="77777777" w:rsidTr="0050008E">
        <w:trPr>
          <w:cantSplit/>
        </w:trPr>
        <w:tc>
          <w:tcPr>
            <w:tcW w:w="10031" w:type="dxa"/>
            <w:gridSpan w:val="4"/>
          </w:tcPr>
          <w:p w14:paraId="59A43511" w14:textId="53DEC17C" w:rsidR="00690C7B" w:rsidRPr="00E60CB2" w:rsidRDefault="008E377D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>
              <w:rPr>
                <w:lang w:val="fr-CH"/>
              </w:rPr>
              <w:t>PROPOSITIONS POUR LES TRAVAUX DE LA CONFÉRENCE</w:t>
            </w:r>
          </w:p>
        </w:tc>
      </w:tr>
      <w:tr w:rsidR="00690C7B" w:rsidRPr="00E60CB2" w14:paraId="75EC8F2A" w14:textId="77777777" w:rsidTr="0050008E">
        <w:trPr>
          <w:cantSplit/>
        </w:trPr>
        <w:tc>
          <w:tcPr>
            <w:tcW w:w="10031" w:type="dxa"/>
            <w:gridSpan w:val="4"/>
          </w:tcPr>
          <w:p w14:paraId="63E8D2D1" w14:textId="77777777" w:rsidR="00690C7B" w:rsidRPr="00E60CB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E60CB2" w14:paraId="37E8F0C6" w14:textId="77777777" w:rsidTr="0050008E">
        <w:trPr>
          <w:cantSplit/>
        </w:trPr>
        <w:tc>
          <w:tcPr>
            <w:tcW w:w="10031" w:type="dxa"/>
            <w:gridSpan w:val="4"/>
          </w:tcPr>
          <w:p w14:paraId="0F3D2609" w14:textId="77777777" w:rsidR="00690C7B" w:rsidRPr="00E60CB2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E60CB2">
              <w:t>Point 10 de l'ordre du jour</w:t>
            </w:r>
          </w:p>
        </w:tc>
      </w:tr>
    </w:tbl>
    <w:bookmarkEnd w:id="5"/>
    <w:p w14:paraId="7E69BD09" w14:textId="77777777" w:rsidR="009B5FA8" w:rsidRPr="002E6998" w:rsidRDefault="009B5FA8" w:rsidP="002E6998">
      <w:r w:rsidRPr="00F0043D">
        <w:t>10</w:t>
      </w:r>
      <w:r w:rsidRPr="00F0043D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F0043D">
        <w:rPr>
          <w:b/>
        </w:rPr>
        <w:t>804 (Rév.CMR-19)</w:t>
      </w:r>
      <w:r w:rsidRPr="00F0043D">
        <w:t>,</w:t>
      </w:r>
    </w:p>
    <w:p w14:paraId="3985EBB2" w14:textId="113D4D91" w:rsidR="003A583E" w:rsidRDefault="00D0686D" w:rsidP="00D0686D">
      <w:pPr>
        <w:pStyle w:val="Headingb"/>
        <w:rPr>
          <w:lang w:val="fr-CH"/>
        </w:rPr>
      </w:pPr>
      <w:r>
        <w:rPr>
          <w:lang w:val="fr-CH"/>
        </w:rPr>
        <w:t>Introduction</w:t>
      </w:r>
    </w:p>
    <w:p w14:paraId="4F2B48A0" w14:textId="6286F690" w:rsidR="00D0686D" w:rsidRPr="00A707FF" w:rsidRDefault="00A707FF" w:rsidP="00A707FF">
      <w:pPr>
        <w:rPr>
          <w:lang w:val="fr-CH"/>
        </w:rPr>
      </w:pPr>
      <w:r>
        <w:rPr>
          <w:lang w:val="fr-CH"/>
        </w:rPr>
        <w:t>Les Membres de l'APT ne sont pas favorables à l'inscription du point 2.8 de l'ordre du jour préliminaire de la CMR-27 à l'ordre du jour de la CMR-27 et sont favorables à la suppression de la Résolution </w:t>
      </w:r>
      <w:r>
        <w:rPr>
          <w:b/>
          <w:bCs/>
          <w:lang w:val="fr-CH"/>
        </w:rPr>
        <w:t>249 (CMR-19)</w:t>
      </w:r>
      <w:r>
        <w:rPr>
          <w:lang w:val="fr-CH"/>
        </w:rPr>
        <w:t>.</w:t>
      </w:r>
    </w:p>
    <w:p w14:paraId="4B38B869" w14:textId="7D93C0FC" w:rsidR="009B5FA8" w:rsidRDefault="00D0686D" w:rsidP="00CD40A7">
      <w:pPr>
        <w:pStyle w:val="Headingb"/>
        <w:rPr>
          <w:lang w:val="fr-CH"/>
        </w:rPr>
      </w:pPr>
      <w:r>
        <w:rPr>
          <w:lang w:val="fr-CH"/>
        </w:rPr>
        <w:t>Propositions</w:t>
      </w:r>
    </w:p>
    <w:p w14:paraId="61AFD504" w14:textId="77777777" w:rsidR="0015203F" w:rsidRPr="00E60CB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60CB2">
        <w:rPr>
          <w:lang w:val="fr-CH"/>
        </w:rPr>
        <w:br w:type="page"/>
      </w:r>
    </w:p>
    <w:p w14:paraId="318BF3FD" w14:textId="77777777" w:rsidR="001733EE" w:rsidRDefault="009B5FA8">
      <w:pPr>
        <w:pStyle w:val="Proposal"/>
      </w:pPr>
      <w:r>
        <w:lastRenderedPageBreak/>
        <w:t>SUP</w:t>
      </w:r>
      <w:r>
        <w:tab/>
        <w:t>ACP/62A27A19/1</w:t>
      </w:r>
    </w:p>
    <w:p w14:paraId="611BFC36" w14:textId="77777777" w:rsidR="009B5FA8" w:rsidRPr="0092164A" w:rsidRDefault="009B5FA8" w:rsidP="0092164A">
      <w:pPr>
        <w:pStyle w:val="ResNo"/>
      </w:pPr>
      <w:bookmarkStart w:id="6" w:name="_Toc35933819"/>
      <w:bookmarkStart w:id="7" w:name="_Toc39829235"/>
      <w:r w:rsidRPr="0092164A">
        <w:t xml:space="preserve">RÉSOLUTION </w:t>
      </w:r>
      <w:r w:rsidRPr="0092164A">
        <w:rPr>
          <w:rStyle w:val="href"/>
        </w:rPr>
        <w:t>249</w:t>
      </w:r>
      <w:r w:rsidRPr="0092164A">
        <w:t xml:space="preserve"> (CMR</w:t>
      </w:r>
      <w:r w:rsidRPr="0092164A">
        <w:noBreakHyphen/>
        <w:t>19)</w:t>
      </w:r>
      <w:bookmarkEnd w:id="6"/>
      <w:bookmarkEnd w:id="7"/>
    </w:p>
    <w:p w14:paraId="09A79284" w14:textId="77777777" w:rsidR="009B5FA8" w:rsidRPr="00CB4369" w:rsidRDefault="009B5FA8" w:rsidP="004C6F57">
      <w:pPr>
        <w:pStyle w:val="Restitle"/>
      </w:pPr>
      <w:bookmarkStart w:id="8" w:name="_Toc35933820"/>
      <w:bookmarkStart w:id="9" w:name="_Toc39829236"/>
      <w:r w:rsidRPr="00CB4369">
        <w:rPr>
          <w:color w:val="000000"/>
        </w:rPr>
        <w:t xml:space="preserve">Étude des questions techniques et opérationnelles ainsi que des dispositions réglementaires relatives aux </w:t>
      </w:r>
      <w:r w:rsidRPr="00CB4369">
        <w:t xml:space="preserve">transmissions espace-espace dans le sens </w:t>
      </w:r>
      <w:r w:rsidRPr="00CB4369">
        <w:rPr>
          <w:color w:val="000000"/>
        </w:rPr>
        <w:t xml:space="preserve">Terre vers espace dans les bandes de fréquences [1 610-1 645,5 et 1 646,5-1 660,5 MHz] et dans le sens espace vers Terre dans les bandes de fréquences [1 525-1 544 MHz], [1 545-1 559 MHz], [1 613,8-1 626,5 MHz] et [2 483,5-2 500 MHz] </w:t>
      </w:r>
      <w:r w:rsidRPr="00CB4369">
        <w:rPr>
          <w:color w:val="000000"/>
        </w:rPr>
        <w:br/>
      </w:r>
      <w:r w:rsidRPr="00CB4369">
        <w:t xml:space="preserve">entre les satellites non géostationnaires et géostationnaires </w:t>
      </w:r>
      <w:r w:rsidRPr="00CB4369">
        <w:br/>
        <w:t>fonctionnant dans le service mobile par satellite</w:t>
      </w:r>
      <w:r w:rsidRPr="00CB4369">
        <w:rPr>
          <w:rStyle w:val="FootnoteReference"/>
        </w:rPr>
        <w:footnoteReference w:customMarkFollows="1" w:id="1"/>
        <w:t>*</w:t>
      </w:r>
      <w:bookmarkEnd w:id="8"/>
      <w:bookmarkEnd w:id="9"/>
    </w:p>
    <w:p w14:paraId="5078C57C" w14:textId="5BA503C0" w:rsidR="00D0686D" w:rsidRPr="00A707FF" w:rsidRDefault="00D0686D" w:rsidP="00BD13D8">
      <w:pPr>
        <w:pStyle w:val="Reasons"/>
        <w:rPr>
          <w:lang w:val="fr-CH"/>
          <w:rPrChange w:id="10" w:author="Vignal, Hugo" w:date="2023-10-18T11:36:00Z">
            <w:rPr/>
          </w:rPrChange>
        </w:rPr>
      </w:pPr>
      <w:r w:rsidRPr="00D0686D">
        <w:rPr>
          <w:b/>
          <w:bCs/>
        </w:rPr>
        <w:t>Motifs:</w:t>
      </w:r>
      <w:r w:rsidR="00C95FAE">
        <w:rPr>
          <w:b/>
          <w:bCs/>
        </w:rPr>
        <w:tab/>
      </w:r>
      <w:r w:rsidR="00A707FF">
        <w:rPr>
          <w:lang w:val="fr-CH"/>
        </w:rPr>
        <w:t>Les Membres de l'APT ne sont pas favorables à l'inscription du point 2.8 de l'ordre du jour préliminaire de la CMR-27 à l'ordre du jour de la CMR-27 et sont favorables à la suppression de la Résolution </w:t>
      </w:r>
      <w:r w:rsidR="00A707FF">
        <w:rPr>
          <w:b/>
          <w:bCs/>
          <w:lang w:val="fr-CH"/>
        </w:rPr>
        <w:t>249 (CMR-19)</w:t>
      </w:r>
      <w:r w:rsidR="00A707FF">
        <w:rPr>
          <w:lang w:val="fr-CH"/>
        </w:rPr>
        <w:t>.</w:t>
      </w:r>
    </w:p>
    <w:p w14:paraId="6E2304B7" w14:textId="18634AF6" w:rsidR="00D0686D" w:rsidRDefault="00D0686D" w:rsidP="00384281">
      <w:pPr>
        <w:jc w:val="center"/>
      </w:pPr>
      <w:r>
        <w:t>______________</w:t>
      </w:r>
    </w:p>
    <w:sectPr w:rsidR="00D0686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1032" w14:textId="77777777" w:rsidR="002834B3" w:rsidRDefault="002834B3">
      <w:r>
        <w:separator/>
      </w:r>
    </w:p>
  </w:endnote>
  <w:endnote w:type="continuationSeparator" w:id="0">
    <w:p w14:paraId="07693967" w14:textId="77777777" w:rsidR="002834B3" w:rsidRDefault="0028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78E3" w14:textId="46588CF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522F">
      <w:rPr>
        <w:noProof/>
      </w:rPr>
      <w:t>25.10.23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149114738"/>
  <w:p w14:paraId="649D6455" w14:textId="519367E3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2164A">
      <w:rPr>
        <w:lang w:val="en-US"/>
      </w:rPr>
      <w:t>P:\FRA\ITU-R\CONF-R\CMR23\000\062ADD27ADD19F.docx</w:t>
    </w:r>
    <w:r>
      <w:fldChar w:fldCharType="end"/>
    </w:r>
    <w:r w:rsidR="00633D48" w:rsidRPr="00A707FF">
      <w:rPr>
        <w:lang w:val="en-US"/>
      </w:rPr>
      <w:t>(529013)</w:t>
    </w:r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A2B2" w14:textId="456613AC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2164A">
      <w:rPr>
        <w:lang w:val="en-US"/>
      </w:rPr>
      <w:t>P:\FRA\ITU-R\CONF-R\CMR23\000\062ADD27ADD19F.docx</w:t>
    </w:r>
    <w:r>
      <w:fldChar w:fldCharType="end"/>
    </w:r>
    <w:r w:rsidR="00633D48" w:rsidRPr="00A707FF">
      <w:rPr>
        <w:lang w:val="en-US"/>
      </w:rPr>
      <w:t>(529013)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0F33" w14:textId="77777777" w:rsidR="002834B3" w:rsidRDefault="002834B3">
      <w:r>
        <w:rPr>
          <w:b/>
        </w:rPr>
        <w:t>_______________</w:t>
      </w:r>
    </w:p>
  </w:footnote>
  <w:footnote w:type="continuationSeparator" w:id="0">
    <w:p w14:paraId="40F27A33" w14:textId="77777777" w:rsidR="002834B3" w:rsidRDefault="002834B3">
      <w:r>
        <w:continuationSeparator/>
      </w:r>
    </w:p>
  </w:footnote>
  <w:footnote w:id="1">
    <w:p w14:paraId="5E0B0020" w14:textId="77777777" w:rsidR="009B5FA8" w:rsidRDefault="009B5FA8" w:rsidP="004C6F57">
      <w:pPr>
        <w:pStyle w:val="FootnoteText"/>
      </w:pPr>
      <w:r>
        <w:rPr>
          <w:rStyle w:val="FootnoteReference"/>
        </w:rPr>
        <w:t>*</w:t>
      </w:r>
      <w:r>
        <w:tab/>
        <w:t>La présence de bandes de fréquences entre crochets dans la présente Résolution signifie que la CMR-23 examinera et reverra l'inclusion de ces bandes de fréquences entre crochets et prendra la décision qu'elle jugera appropriée.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855D" w14:textId="658176A6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E3BE5">
      <w:rPr>
        <w:noProof/>
      </w:rPr>
      <w:t>2</w:t>
    </w:r>
    <w:r>
      <w:fldChar w:fldCharType="end"/>
    </w:r>
  </w:p>
  <w:p w14:paraId="66B74362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62(Add.27)(Add.19)-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25536781">
    <w:abstractNumId w:val="0"/>
  </w:num>
  <w:num w:numId="2" w16cid:durableId="105273469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gnal, Hugo">
    <w15:presenceInfo w15:providerId="AD" w15:userId="S::hugo.vignal@itu.int::e1a4e462-64e9-4d7e-830c-5a34d25909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733EE"/>
    <w:rsid w:val="0018169B"/>
    <w:rsid w:val="0019352B"/>
    <w:rsid w:val="001960D0"/>
    <w:rsid w:val="001A11F6"/>
    <w:rsid w:val="001B6EAB"/>
    <w:rsid w:val="001F17E8"/>
    <w:rsid w:val="00204306"/>
    <w:rsid w:val="00225CF2"/>
    <w:rsid w:val="00232FD2"/>
    <w:rsid w:val="0026554E"/>
    <w:rsid w:val="002834B3"/>
    <w:rsid w:val="002A4622"/>
    <w:rsid w:val="002A522F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84281"/>
    <w:rsid w:val="00393ACD"/>
    <w:rsid w:val="003A583E"/>
    <w:rsid w:val="003E112B"/>
    <w:rsid w:val="003E1D1C"/>
    <w:rsid w:val="003E7B05"/>
    <w:rsid w:val="003F3719"/>
    <w:rsid w:val="003F6F2D"/>
    <w:rsid w:val="00466211"/>
    <w:rsid w:val="0047718A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3D48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47637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77D"/>
    <w:rsid w:val="008E3BC9"/>
    <w:rsid w:val="0092164A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5FA8"/>
    <w:rsid w:val="009C7E7C"/>
    <w:rsid w:val="00A00473"/>
    <w:rsid w:val="00A03C9B"/>
    <w:rsid w:val="00A37105"/>
    <w:rsid w:val="00A606C3"/>
    <w:rsid w:val="00A707FF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13D8"/>
    <w:rsid w:val="00BD51C5"/>
    <w:rsid w:val="00BF26E7"/>
    <w:rsid w:val="00C1305F"/>
    <w:rsid w:val="00C53FCA"/>
    <w:rsid w:val="00C71DEB"/>
    <w:rsid w:val="00C76BAF"/>
    <w:rsid w:val="00C814B9"/>
    <w:rsid w:val="00C95FAE"/>
    <w:rsid w:val="00CB685A"/>
    <w:rsid w:val="00CD40A7"/>
    <w:rsid w:val="00CD516F"/>
    <w:rsid w:val="00D0686D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0E67"/>
    <w:rsid w:val="00F711A7"/>
    <w:rsid w:val="00FA3BBF"/>
    <w:rsid w:val="00FC41F8"/>
    <w:rsid w:val="00FD7AA3"/>
    <w:rsid w:val="00FE3BE5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E523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07F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R23-WRC23-C-0062!A27-A19!MSW-F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44972-80C6-4E8F-AE89-F9561AEE0C5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A0D5B1-755E-4219-8263-BED72F1A4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57791-AED6-46AC-9A36-A2B98E6E86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R23-WRC23-C-0062!A27-A19!MSW-F</vt:lpstr>
    </vt:vector>
  </TitlesOfParts>
  <Manager>Secrétariat général - Pool</Manager>
  <Company>Union internationale des télécommunications (UIT)</Company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R23-WRC23-C-0062!A27-A19!MSW-F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3</cp:revision>
  <cp:lastPrinted>2003-06-05T19:34:00Z</cp:lastPrinted>
  <dcterms:created xsi:type="dcterms:W3CDTF">2023-10-25T06:23:00Z</dcterms:created>
  <dcterms:modified xsi:type="dcterms:W3CDTF">2023-10-25T06:26:00Z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