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69ED772D" w14:textId="77777777" w:rsidTr="00C1305F">
        <w:trPr>
          <w:cantSplit/>
        </w:trPr>
        <w:tc>
          <w:tcPr>
            <w:tcW w:w="1418" w:type="dxa"/>
            <w:vAlign w:val="center"/>
          </w:tcPr>
          <w:p w14:paraId="684B8412" w14:textId="77777777" w:rsidR="00C1305F" w:rsidRPr="008C7123" w:rsidRDefault="00C1305F" w:rsidP="00B11153">
            <w:pPr>
              <w:spacing w:before="0"/>
              <w:rPr>
                <w:rFonts w:ascii="Verdana" w:hAnsi="Verdana"/>
                <w:b/>
                <w:bCs/>
                <w:sz w:val="20"/>
                <w:lang w:val="fr-CH"/>
              </w:rPr>
            </w:pPr>
            <w:r>
              <w:rPr>
                <w:noProof/>
                <w:lang w:val="fr-CH"/>
              </w:rPr>
              <w:drawing>
                <wp:inline distT="0" distB="0" distL="0" distR="0" wp14:anchorId="244F3BD6" wp14:editId="0EB7424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4168673" w14:textId="605BDD00" w:rsidR="00C1305F" w:rsidRPr="008C7123" w:rsidRDefault="00C1305F" w:rsidP="00B11153">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6543C9" w:rsidRPr="006543C9">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5F30B06F" w14:textId="77777777" w:rsidR="00C1305F" w:rsidRPr="00E60CB2" w:rsidRDefault="00C1305F" w:rsidP="00B11153">
            <w:pPr>
              <w:spacing w:before="0"/>
              <w:rPr>
                <w:lang w:val="fr-CH"/>
              </w:rPr>
            </w:pPr>
            <w:bookmarkStart w:id="0" w:name="ditulogo"/>
            <w:bookmarkEnd w:id="0"/>
            <w:r>
              <w:rPr>
                <w:noProof/>
              </w:rPr>
              <w:drawing>
                <wp:inline distT="0" distB="0" distL="0" distR="0" wp14:anchorId="277781B4" wp14:editId="2EB7A84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67C1363A" w14:textId="77777777" w:rsidTr="0050008E">
        <w:trPr>
          <w:cantSplit/>
        </w:trPr>
        <w:tc>
          <w:tcPr>
            <w:tcW w:w="6911" w:type="dxa"/>
            <w:gridSpan w:val="2"/>
            <w:tcBorders>
              <w:bottom w:val="single" w:sz="12" w:space="0" w:color="auto"/>
            </w:tcBorders>
          </w:tcPr>
          <w:p w14:paraId="5601E5EB" w14:textId="77777777" w:rsidR="00BB1D82" w:rsidRPr="00E60CB2" w:rsidRDefault="00BB1D82" w:rsidP="00B11153">
            <w:pPr>
              <w:spacing w:before="0" w:after="48"/>
              <w:rPr>
                <w:b/>
                <w:smallCaps/>
                <w:szCs w:val="24"/>
                <w:lang w:val="fr-CH"/>
              </w:rPr>
            </w:pPr>
            <w:bookmarkStart w:id="1" w:name="dhead"/>
          </w:p>
        </w:tc>
        <w:tc>
          <w:tcPr>
            <w:tcW w:w="3120" w:type="dxa"/>
            <w:gridSpan w:val="2"/>
            <w:tcBorders>
              <w:bottom w:val="single" w:sz="12" w:space="0" w:color="auto"/>
            </w:tcBorders>
          </w:tcPr>
          <w:p w14:paraId="21DE49C8" w14:textId="77777777" w:rsidR="00BB1D82" w:rsidRPr="00E60CB2" w:rsidRDefault="00BB1D82" w:rsidP="00B11153">
            <w:pPr>
              <w:spacing w:before="0"/>
              <w:rPr>
                <w:rFonts w:ascii="Verdana" w:hAnsi="Verdana"/>
                <w:szCs w:val="24"/>
                <w:lang w:val="fr-CH"/>
              </w:rPr>
            </w:pPr>
          </w:p>
        </w:tc>
      </w:tr>
      <w:tr w:rsidR="00BB1D82" w:rsidRPr="00E60CB2" w14:paraId="42A10F21" w14:textId="77777777" w:rsidTr="00BB1D82">
        <w:trPr>
          <w:cantSplit/>
        </w:trPr>
        <w:tc>
          <w:tcPr>
            <w:tcW w:w="6911" w:type="dxa"/>
            <w:gridSpan w:val="2"/>
            <w:tcBorders>
              <w:top w:val="single" w:sz="12" w:space="0" w:color="auto"/>
            </w:tcBorders>
          </w:tcPr>
          <w:p w14:paraId="7A4A2E3A" w14:textId="77777777" w:rsidR="00BB1D82" w:rsidRPr="00E60CB2" w:rsidRDefault="00BB1D82" w:rsidP="00B11153">
            <w:pPr>
              <w:spacing w:before="0" w:after="48"/>
              <w:rPr>
                <w:rFonts w:ascii="Verdana" w:hAnsi="Verdana"/>
                <w:b/>
                <w:smallCaps/>
                <w:sz w:val="20"/>
                <w:lang w:val="fr-CH"/>
              </w:rPr>
            </w:pPr>
          </w:p>
        </w:tc>
        <w:tc>
          <w:tcPr>
            <w:tcW w:w="3120" w:type="dxa"/>
            <w:gridSpan w:val="2"/>
            <w:tcBorders>
              <w:top w:val="single" w:sz="12" w:space="0" w:color="auto"/>
            </w:tcBorders>
          </w:tcPr>
          <w:p w14:paraId="0ADC5B23" w14:textId="77777777" w:rsidR="00BB1D82" w:rsidRPr="00E60CB2" w:rsidRDefault="00BB1D82" w:rsidP="00B11153">
            <w:pPr>
              <w:spacing w:before="0"/>
              <w:rPr>
                <w:rFonts w:ascii="Verdana" w:hAnsi="Verdana"/>
                <w:sz w:val="20"/>
                <w:lang w:val="fr-CH"/>
              </w:rPr>
            </w:pPr>
          </w:p>
        </w:tc>
      </w:tr>
      <w:tr w:rsidR="00BB1D82" w:rsidRPr="00E60CB2" w14:paraId="1915CF46" w14:textId="77777777" w:rsidTr="00BB1D82">
        <w:trPr>
          <w:cantSplit/>
        </w:trPr>
        <w:tc>
          <w:tcPr>
            <w:tcW w:w="6911" w:type="dxa"/>
            <w:gridSpan w:val="2"/>
          </w:tcPr>
          <w:p w14:paraId="37CE2E6B" w14:textId="77777777" w:rsidR="00BB1D82" w:rsidRPr="00E60CB2" w:rsidRDefault="006D4724" w:rsidP="00B11153">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7BD79902" w14:textId="77777777" w:rsidR="00BB1D82" w:rsidRPr="00E60CB2" w:rsidRDefault="006D4724" w:rsidP="00B11153">
            <w:pPr>
              <w:spacing w:before="0"/>
              <w:rPr>
                <w:rFonts w:ascii="Verdana" w:hAnsi="Verdana"/>
                <w:sz w:val="20"/>
                <w:lang w:val="fr-CH"/>
              </w:rPr>
            </w:pPr>
            <w:r>
              <w:rPr>
                <w:rFonts w:ascii="Verdana" w:hAnsi="Verdana"/>
                <w:b/>
                <w:sz w:val="20"/>
                <w:lang w:val="fr-CH"/>
              </w:rPr>
              <w:t>Addendum 13 au</w:t>
            </w:r>
            <w:r>
              <w:rPr>
                <w:rFonts w:ascii="Verdana" w:hAnsi="Verdana"/>
                <w:b/>
                <w:sz w:val="20"/>
                <w:lang w:val="fr-CH"/>
              </w:rPr>
              <w:br/>
              <w:t>Document 62(Add.27)</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729966B0" w14:textId="77777777" w:rsidTr="00BB1D82">
        <w:trPr>
          <w:cantSplit/>
        </w:trPr>
        <w:tc>
          <w:tcPr>
            <w:tcW w:w="6911" w:type="dxa"/>
            <w:gridSpan w:val="2"/>
          </w:tcPr>
          <w:p w14:paraId="74BD797B" w14:textId="77777777" w:rsidR="00690C7B" w:rsidRPr="00E60CB2" w:rsidRDefault="00690C7B" w:rsidP="00B11153">
            <w:pPr>
              <w:spacing w:before="0"/>
              <w:rPr>
                <w:rFonts w:ascii="Verdana" w:hAnsi="Verdana"/>
                <w:b/>
                <w:sz w:val="20"/>
                <w:lang w:val="fr-CH"/>
              </w:rPr>
            </w:pPr>
          </w:p>
        </w:tc>
        <w:tc>
          <w:tcPr>
            <w:tcW w:w="3120" w:type="dxa"/>
            <w:gridSpan w:val="2"/>
          </w:tcPr>
          <w:p w14:paraId="23EA67B6" w14:textId="77777777" w:rsidR="00690C7B" w:rsidRPr="00E60CB2" w:rsidRDefault="00690C7B" w:rsidP="00B11153">
            <w:pPr>
              <w:spacing w:before="0"/>
              <w:rPr>
                <w:rFonts w:ascii="Verdana" w:hAnsi="Verdana"/>
                <w:b/>
                <w:sz w:val="20"/>
                <w:lang w:val="fr-CH"/>
              </w:rPr>
            </w:pPr>
            <w:r w:rsidRPr="00E60CB2">
              <w:rPr>
                <w:rFonts w:ascii="Verdana" w:hAnsi="Verdana"/>
                <w:b/>
                <w:sz w:val="20"/>
                <w:lang w:val="fr-CH"/>
              </w:rPr>
              <w:t>26 septembre 2023</w:t>
            </w:r>
          </w:p>
        </w:tc>
      </w:tr>
      <w:tr w:rsidR="00690C7B" w:rsidRPr="00E60CB2" w14:paraId="4F6977FD" w14:textId="77777777" w:rsidTr="00BB1D82">
        <w:trPr>
          <w:cantSplit/>
        </w:trPr>
        <w:tc>
          <w:tcPr>
            <w:tcW w:w="6911" w:type="dxa"/>
            <w:gridSpan w:val="2"/>
          </w:tcPr>
          <w:p w14:paraId="02056946" w14:textId="77777777" w:rsidR="00690C7B" w:rsidRPr="00E60CB2" w:rsidRDefault="00690C7B" w:rsidP="00B11153">
            <w:pPr>
              <w:spacing w:before="0" w:after="48"/>
              <w:rPr>
                <w:rFonts w:ascii="Verdana" w:hAnsi="Verdana"/>
                <w:b/>
                <w:smallCaps/>
                <w:sz w:val="20"/>
                <w:lang w:val="fr-CH"/>
              </w:rPr>
            </w:pPr>
          </w:p>
        </w:tc>
        <w:tc>
          <w:tcPr>
            <w:tcW w:w="3120" w:type="dxa"/>
            <w:gridSpan w:val="2"/>
          </w:tcPr>
          <w:p w14:paraId="24A4554F" w14:textId="77777777" w:rsidR="00690C7B" w:rsidRPr="00E60CB2" w:rsidRDefault="00690C7B" w:rsidP="00B11153">
            <w:pPr>
              <w:spacing w:before="0"/>
              <w:rPr>
                <w:rFonts w:ascii="Verdana" w:hAnsi="Verdana"/>
                <w:b/>
                <w:sz w:val="20"/>
                <w:lang w:val="fr-CH"/>
              </w:rPr>
            </w:pPr>
            <w:r w:rsidRPr="00E60CB2">
              <w:rPr>
                <w:rFonts w:ascii="Verdana" w:hAnsi="Verdana"/>
                <w:b/>
                <w:sz w:val="20"/>
                <w:lang w:val="fr-CH"/>
              </w:rPr>
              <w:t>Original: anglais</w:t>
            </w:r>
          </w:p>
        </w:tc>
      </w:tr>
      <w:tr w:rsidR="00690C7B" w:rsidRPr="00E60CB2" w14:paraId="07C81FCF" w14:textId="77777777" w:rsidTr="00C11970">
        <w:trPr>
          <w:cantSplit/>
        </w:trPr>
        <w:tc>
          <w:tcPr>
            <w:tcW w:w="10031" w:type="dxa"/>
            <w:gridSpan w:val="4"/>
          </w:tcPr>
          <w:p w14:paraId="1C2D0FE9" w14:textId="77777777" w:rsidR="00690C7B" w:rsidRPr="00E60CB2" w:rsidRDefault="00690C7B" w:rsidP="00B11153">
            <w:pPr>
              <w:spacing w:before="0"/>
              <w:rPr>
                <w:rFonts w:ascii="Verdana" w:hAnsi="Verdana"/>
                <w:b/>
                <w:sz w:val="20"/>
                <w:lang w:val="fr-CH"/>
              </w:rPr>
            </w:pPr>
          </w:p>
        </w:tc>
      </w:tr>
      <w:tr w:rsidR="00690C7B" w:rsidRPr="00E60CB2" w14:paraId="7597F3C8" w14:textId="77777777" w:rsidTr="0050008E">
        <w:trPr>
          <w:cantSplit/>
        </w:trPr>
        <w:tc>
          <w:tcPr>
            <w:tcW w:w="10031" w:type="dxa"/>
            <w:gridSpan w:val="4"/>
          </w:tcPr>
          <w:p w14:paraId="23790A96" w14:textId="77777777" w:rsidR="00690C7B" w:rsidRPr="00E60CB2" w:rsidRDefault="00690C7B" w:rsidP="00B11153">
            <w:pPr>
              <w:pStyle w:val="Source"/>
              <w:rPr>
                <w:lang w:val="fr-CH"/>
              </w:rPr>
            </w:pPr>
            <w:bookmarkStart w:id="2" w:name="dsource" w:colFirst="0" w:colLast="0"/>
            <w:r w:rsidRPr="00E60CB2">
              <w:rPr>
                <w:lang w:val="fr-CH"/>
              </w:rPr>
              <w:t>Propositions communes de la Télécommunauté Asie-Pacifique</w:t>
            </w:r>
          </w:p>
        </w:tc>
      </w:tr>
      <w:tr w:rsidR="00690C7B" w:rsidRPr="00E60CB2" w14:paraId="2812A655" w14:textId="77777777" w:rsidTr="0050008E">
        <w:trPr>
          <w:cantSplit/>
        </w:trPr>
        <w:tc>
          <w:tcPr>
            <w:tcW w:w="10031" w:type="dxa"/>
            <w:gridSpan w:val="4"/>
          </w:tcPr>
          <w:p w14:paraId="617030F2" w14:textId="172DF82B" w:rsidR="00690C7B" w:rsidRPr="00E60CB2" w:rsidRDefault="00E32D24" w:rsidP="00B11153">
            <w:pPr>
              <w:pStyle w:val="Title1"/>
              <w:rPr>
                <w:lang w:val="fr-CH"/>
              </w:rPr>
            </w:pPr>
            <w:bookmarkStart w:id="3" w:name="dtitle1" w:colFirst="0" w:colLast="0"/>
            <w:bookmarkEnd w:id="2"/>
            <w:r w:rsidRPr="000F196B">
              <w:rPr>
                <w:lang w:val="fr-CH"/>
              </w:rPr>
              <w:t>Propositions pour les travaux de la conférence</w:t>
            </w:r>
          </w:p>
        </w:tc>
      </w:tr>
      <w:tr w:rsidR="00690C7B" w:rsidRPr="00E60CB2" w14:paraId="5144028C" w14:textId="77777777" w:rsidTr="0050008E">
        <w:trPr>
          <w:cantSplit/>
        </w:trPr>
        <w:tc>
          <w:tcPr>
            <w:tcW w:w="10031" w:type="dxa"/>
            <w:gridSpan w:val="4"/>
          </w:tcPr>
          <w:p w14:paraId="6E83CC5D" w14:textId="77777777" w:rsidR="00690C7B" w:rsidRPr="00E60CB2" w:rsidRDefault="00690C7B" w:rsidP="00B11153">
            <w:pPr>
              <w:pStyle w:val="Title2"/>
              <w:rPr>
                <w:lang w:val="fr-CH"/>
              </w:rPr>
            </w:pPr>
            <w:bookmarkStart w:id="4" w:name="dtitle2" w:colFirst="0" w:colLast="0"/>
            <w:bookmarkEnd w:id="3"/>
          </w:p>
        </w:tc>
      </w:tr>
      <w:tr w:rsidR="00690C7B" w:rsidRPr="00E60CB2" w14:paraId="7D398129" w14:textId="77777777" w:rsidTr="0050008E">
        <w:trPr>
          <w:cantSplit/>
        </w:trPr>
        <w:tc>
          <w:tcPr>
            <w:tcW w:w="10031" w:type="dxa"/>
            <w:gridSpan w:val="4"/>
          </w:tcPr>
          <w:p w14:paraId="39228AF4" w14:textId="77777777" w:rsidR="00690C7B" w:rsidRPr="00E60CB2" w:rsidRDefault="00690C7B" w:rsidP="00B11153">
            <w:pPr>
              <w:pStyle w:val="Agendaitem"/>
            </w:pPr>
            <w:bookmarkStart w:id="5" w:name="dtitle3" w:colFirst="0" w:colLast="0"/>
            <w:bookmarkEnd w:id="4"/>
            <w:r w:rsidRPr="00E60CB2">
              <w:t>Point 10 de l'ordre du jour</w:t>
            </w:r>
          </w:p>
        </w:tc>
      </w:tr>
    </w:tbl>
    <w:bookmarkEnd w:id="5"/>
    <w:p w14:paraId="221D0FE3" w14:textId="77777777" w:rsidR="00465135" w:rsidRPr="002E6998" w:rsidRDefault="00465135" w:rsidP="00B11153">
      <w:r w:rsidRPr="00F0043D">
        <w:t>10</w:t>
      </w:r>
      <w:r w:rsidRPr="00F0043D">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F0043D">
        <w:rPr>
          <w:b/>
        </w:rPr>
        <w:t>804 (Rév.CMR-19)</w:t>
      </w:r>
      <w:r w:rsidRPr="00F0043D">
        <w:t>,</w:t>
      </w:r>
    </w:p>
    <w:p w14:paraId="4FF73308" w14:textId="51DA2B6B" w:rsidR="003A583E" w:rsidRDefault="00E32D24" w:rsidP="00B11153">
      <w:pPr>
        <w:pStyle w:val="Headingb"/>
        <w:rPr>
          <w:lang w:val="fr-CH"/>
        </w:rPr>
      </w:pPr>
      <w:r>
        <w:rPr>
          <w:lang w:val="fr-CH"/>
        </w:rPr>
        <w:t>Introduction</w:t>
      </w:r>
    </w:p>
    <w:p w14:paraId="6E9A83F9" w14:textId="1B31DBB1" w:rsidR="00E32D24" w:rsidRDefault="00B11153" w:rsidP="00B11153">
      <w:pPr>
        <w:rPr>
          <w:lang w:val="fr-CH"/>
        </w:rPr>
      </w:pPr>
      <w:r>
        <w:rPr>
          <w:lang w:val="fr-CH"/>
        </w:rPr>
        <w:t>Les membres de l'APT sont favorable</w:t>
      </w:r>
      <w:r w:rsidR="004E6229">
        <w:rPr>
          <w:lang w:val="fr-CH"/>
        </w:rPr>
        <w:t>s</w:t>
      </w:r>
      <w:r>
        <w:rPr>
          <w:lang w:val="fr-CH"/>
        </w:rPr>
        <w:t xml:space="preserve"> à l'inscription, à l'ordre du jour de la CMR-27, d'un point sur les m</w:t>
      </w:r>
      <w:r w:rsidRPr="00B11153">
        <w:rPr>
          <w:lang w:val="fr-CH"/>
        </w:rPr>
        <w:t xml:space="preserve">esures techniques et réglementaires visant à assurer la coexistence entre les </w:t>
      </w:r>
      <w:r w:rsidRPr="00334426">
        <w:rPr>
          <w:rStyle w:val="Artref"/>
        </w:rPr>
        <w:t xml:space="preserve">radars à synthèse d'ouverture </w:t>
      </w:r>
      <w:r>
        <w:rPr>
          <w:rStyle w:val="Artref"/>
        </w:rPr>
        <w:t>(</w:t>
      </w:r>
      <w:r w:rsidRPr="00B11153">
        <w:rPr>
          <w:lang w:val="fr-CH"/>
        </w:rPr>
        <w:t>SAR</w:t>
      </w:r>
      <w:r>
        <w:rPr>
          <w:lang w:val="fr-CH"/>
        </w:rPr>
        <w:t>)</w:t>
      </w:r>
      <w:r w:rsidRPr="00B11153">
        <w:rPr>
          <w:lang w:val="fr-CH"/>
        </w:rPr>
        <w:t xml:space="preserve"> spatioportés et le service de radiorepérage (SRR) dans la bande de fréquences</w:t>
      </w:r>
      <w:r w:rsidR="000E7983">
        <w:rPr>
          <w:lang w:val="fr-CH"/>
        </w:rPr>
        <w:t> </w:t>
      </w:r>
      <w:r w:rsidRPr="00B11153">
        <w:rPr>
          <w:lang w:val="fr-CH"/>
        </w:rPr>
        <w:t>9,2-10,4 GHz</w:t>
      </w:r>
      <w:r>
        <w:rPr>
          <w:lang w:val="fr-CH"/>
        </w:rPr>
        <w:t>.</w:t>
      </w:r>
    </w:p>
    <w:p w14:paraId="29B5AF5C" w14:textId="53E51329" w:rsidR="00E32D24" w:rsidRPr="00E60CB2" w:rsidRDefault="00E32D24" w:rsidP="00B11153">
      <w:pPr>
        <w:pStyle w:val="Headingb"/>
        <w:rPr>
          <w:lang w:val="fr-CH"/>
        </w:rPr>
      </w:pPr>
      <w:r>
        <w:rPr>
          <w:lang w:val="fr-CH"/>
        </w:rPr>
        <w:t>Propositions</w:t>
      </w:r>
    </w:p>
    <w:p w14:paraId="596DA341" w14:textId="77777777" w:rsidR="0015203F" w:rsidRPr="00E60CB2" w:rsidRDefault="0015203F" w:rsidP="00B11153">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5E1CDD49" w14:textId="77777777" w:rsidR="00A04247" w:rsidRDefault="00465135" w:rsidP="00B11153">
      <w:pPr>
        <w:pStyle w:val="Proposal"/>
      </w:pPr>
      <w:r>
        <w:lastRenderedPageBreak/>
        <w:t>ADD</w:t>
      </w:r>
      <w:r>
        <w:tab/>
        <w:t>ACP/62A27A13/1</w:t>
      </w:r>
    </w:p>
    <w:p w14:paraId="14623035" w14:textId="14A2513F" w:rsidR="00A04247" w:rsidRDefault="00465135" w:rsidP="00B11153">
      <w:pPr>
        <w:pStyle w:val="ResNo"/>
      </w:pPr>
      <w:bookmarkStart w:id="6" w:name="_Hlk147994177"/>
      <w:r>
        <w:t>Projet de nouvelle Résolution [ACP-</w:t>
      </w:r>
      <w:r w:rsidR="00E32D24" w:rsidRPr="00E32D24">
        <w:t>AI10-1] (</w:t>
      </w:r>
      <w:r w:rsidR="00E32D24">
        <w:t>CMR</w:t>
      </w:r>
      <w:r w:rsidR="00E32D24" w:rsidRPr="00E32D24">
        <w:t>-23)</w:t>
      </w:r>
      <w:r>
        <w:t>]</w:t>
      </w:r>
      <w:bookmarkEnd w:id="6"/>
    </w:p>
    <w:p w14:paraId="15E0304E" w14:textId="0A8C7028" w:rsidR="00A04247" w:rsidRDefault="00B11153" w:rsidP="00B11153">
      <w:pPr>
        <w:pStyle w:val="Restitle"/>
      </w:pPr>
      <w:r>
        <w:rPr>
          <w:rFonts w:ascii="Times New Roman"/>
        </w:rPr>
        <w:t>Ordre du jour de la Conf</w:t>
      </w:r>
      <w:r>
        <w:rPr>
          <w:rFonts w:ascii="Times New Roman"/>
        </w:rPr>
        <w:t>é</w:t>
      </w:r>
      <w:r>
        <w:rPr>
          <w:rFonts w:ascii="Times New Roman"/>
        </w:rPr>
        <w:t>rence mondiale des radiocommunications de 2027</w:t>
      </w:r>
    </w:p>
    <w:p w14:paraId="54A9EC03" w14:textId="2D5DDDE3" w:rsidR="00A04247" w:rsidRDefault="001E5B9F" w:rsidP="00B11153">
      <w:pPr>
        <w:pStyle w:val="Normalaftertitle"/>
      </w:pPr>
      <w:r w:rsidRPr="00F8785C">
        <w:t>La Conférence mondiale des radiocommunications (Dubaï, 2023),</w:t>
      </w:r>
    </w:p>
    <w:p w14:paraId="15D01A77" w14:textId="31F1B1A4" w:rsidR="00A04247" w:rsidRDefault="000F11BC" w:rsidP="001A1734">
      <w:r>
        <w:t>...</w:t>
      </w:r>
    </w:p>
    <w:p w14:paraId="38C22A29" w14:textId="1FE8FD2C" w:rsidR="000F11BC" w:rsidRDefault="000F11BC" w:rsidP="00B11153">
      <w:pPr>
        <w:pStyle w:val="Call"/>
      </w:pPr>
      <w:r>
        <w:t>décide</w:t>
      </w:r>
    </w:p>
    <w:p w14:paraId="06C7876A" w14:textId="0E5559FC" w:rsidR="000F11BC" w:rsidRDefault="00B11153" w:rsidP="00301B90">
      <w:r>
        <w:t>de</w:t>
      </w:r>
      <w:r w:rsidR="00301B90">
        <w:t xml:space="preserve"> </w:t>
      </w:r>
      <w:r w:rsidRPr="00B11153">
        <w:t>recommander au Conseil de convoquer en 202</w:t>
      </w:r>
      <w:r>
        <w:t>7</w:t>
      </w:r>
      <w:r w:rsidRPr="00B11153">
        <w:t xml:space="preserve"> une CMR d'une durée maximale de quatre semaines, dont l'ordre du jour sera le suivant</w:t>
      </w:r>
      <w:r>
        <w:t>:</w:t>
      </w:r>
    </w:p>
    <w:p w14:paraId="0DE12B65" w14:textId="78EA20BF" w:rsidR="000F11BC" w:rsidRPr="00301B90" w:rsidRDefault="000F11BC" w:rsidP="00301B90">
      <w:r w:rsidRPr="00301B90">
        <w:t>1</w:t>
      </w:r>
      <w:r w:rsidRPr="00301B90">
        <w:tab/>
      </w:r>
      <w:r w:rsidR="006822F3" w:rsidRPr="00301B90">
        <w:t>sur la base des propositions des administrations, compte tenu des résultats de la</w:t>
      </w:r>
      <w:r w:rsidR="0070067C">
        <w:t> </w:t>
      </w:r>
      <w:r w:rsidR="006822F3" w:rsidRPr="00301B90">
        <w:t>CMR</w:t>
      </w:r>
      <w:r w:rsidR="0070067C">
        <w:noBreakHyphen/>
      </w:r>
      <w:r w:rsidR="00B11153" w:rsidRPr="00301B90">
        <w:t>23</w:t>
      </w:r>
      <w:r w:rsidR="006822F3" w:rsidRPr="00301B90">
        <w:t xml:space="preserve"> ainsi que du rapport de la Réunion de préparation à la Conférence et compte dûment tenu des besoins des services existants ou futurs dans les bandes de fréquences considérées, examiner les points suivants et prendre les mesures appropriées</w:t>
      </w:r>
      <w:r w:rsidRPr="00301B90">
        <w:t>:</w:t>
      </w:r>
    </w:p>
    <w:p w14:paraId="72968C97" w14:textId="693143DA" w:rsidR="000F11BC" w:rsidRDefault="000F11BC" w:rsidP="00301B90">
      <w:r>
        <w:t>...</w:t>
      </w:r>
    </w:p>
    <w:p w14:paraId="32DE2FE3" w14:textId="5D407796" w:rsidR="000F11BC" w:rsidRDefault="000F11BC" w:rsidP="00301B90">
      <w:r w:rsidRPr="00301B90">
        <w:t>1.3</w:t>
      </w:r>
      <w:r w:rsidRPr="00301B90">
        <w:tab/>
      </w:r>
      <w:r w:rsidR="00334426" w:rsidRPr="00301B90">
        <w:t>étudier et concevoir des mesures techniques et réglementaires propres à assurer la coexistence entre les radars à synthèse d'ouverture (SAR) spatioportés du service d'exploration de la</w:t>
      </w:r>
      <w:r w:rsidR="0070067C">
        <w:t> </w:t>
      </w:r>
      <w:r w:rsidR="00334426" w:rsidRPr="00301B90">
        <w:t>Terre par satellite (active) et le service de radiorepérage dans la bande de fréquences</w:t>
      </w:r>
      <w:r w:rsidR="000E7983">
        <w:t> </w:t>
      </w:r>
      <w:r w:rsidR="00334426" w:rsidRPr="00301B90">
        <w:t>9</w:t>
      </w:r>
      <w:r w:rsidR="0070067C">
        <w:t> </w:t>
      </w:r>
      <w:r w:rsidR="00334426" w:rsidRPr="00301B90">
        <w:t>200</w:t>
      </w:r>
      <w:r w:rsidR="0070067C">
        <w:noBreakHyphen/>
      </w:r>
      <w:r w:rsidR="00334426" w:rsidRPr="00301B90">
        <w:t>10</w:t>
      </w:r>
      <w:r w:rsidR="0070067C">
        <w:t> </w:t>
      </w:r>
      <w:r w:rsidR="00334426" w:rsidRPr="00301B90">
        <w:t>400</w:t>
      </w:r>
      <w:r w:rsidR="0070067C">
        <w:t> </w:t>
      </w:r>
      <w:r w:rsidR="00334426" w:rsidRPr="00301B90">
        <w:t>MHz</w:t>
      </w:r>
      <w:r w:rsidR="00B11153" w:rsidRPr="00301B90">
        <w:t>, conformément à la Résolution</w:t>
      </w:r>
      <w:r w:rsidR="00B11153">
        <w:rPr>
          <w:rStyle w:val="Artref"/>
        </w:rPr>
        <w:t xml:space="preserve"> </w:t>
      </w:r>
      <w:r w:rsidR="00B11153" w:rsidRPr="00B11153">
        <w:rPr>
          <w:rStyle w:val="Artref"/>
          <w:b/>
          <w:bCs/>
        </w:rPr>
        <w:t>[</w:t>
      </w:r>
      <w:r w:rsidR="00B11153" w:rsidRPr="00B11153">
        <w:rPr>
          <w:b/>
          <w:bCs/>
        </w:rPr>
        <w:t>ACP-AI10-7] (CMR-23)</w:t>
      </w:r>
      <w:r w:rsidR="00B11153" w:rsidRPr="0070067C">
        <w:t>;</w:t>
      </w:r>
    </w:p>
    <w:p w14:paraId="148169D1" w14:textId="08CF584B" w:rsidR="000F11BC" w:rsidRDefault="000F11BC" w:rsidP="00547C62">
      <w:r>
        <w:t>...</w:t>
      </w:r>
    </w:p>
    <w:p w14:paraId="27615154" w14:textId="77777777" w:rsidR="000F11BC" w:rsidRDefault="000F11BC" w:rsidP="00B11153">
      <w:pPr>
        <w:pStyle w:val="Reasons"/>
      </w:pPr>
    </w:p>
    <w:p w14:paraId="6B9405DE" w14:textId="77777777" w:rsidR="00A04247" w:rsidRDefault="00465135" w:rsidP="00B11153">
      <w:pPr>
        <w:pStyle w:val="Proposal"/>
      </w:pPr>
      <w:r>
        <w:t>ADD</w:t>
      </w:r>
      <w:r>
        <w:tab/>
        <w:t>ACP/62A27A13/2</w:t>
      </w:r>
    </w:p>
    <w:p w14:paraId="41446099" w14:textId="1E0DC4BD" w:rsidR="00334426" w:rsidRDefault="00334426" w:rsidP="00B11153">
      <w:pPr>
        <w:pStyle w:val="ResNo"/>
      </w:pPr>
      <w:r w:rsidRPr="00334426">
        <w:t>PROJET DE NOUVELLE RÉSOLUTION [ACP-AI10-</w:t>
      </w:r>
      <w:r>
        <w:t>7</w:t>
      </w:r>
      <w:r w:rsidRPr="00334426">
        <w:t>] (CMR-23)]</w:t>
      </w:r>
    </w:p>
    <w:p w14:paraId="168B1739" w14:textId="123162EE" w:rsidR="00A04247" w:rsidRDefault="00334426" w:rsidP="00B11153">
      <w:pPr>
        <w:pStyle w:val="Restitle"/>
      </w:pPr>
      <w:r w:rsidRPr="00334426">
        <w:t xml:space="preserve">Études sur les mesures techniques et réglementaires propres à assurer la coexistence entre les radars à synthèse d'ouverture spatioportés </w:t>
      </w:r>
      <w:r w:rsidR="00B11153">
        <w:t>exploités</w:t>
      </w:r>
      <w:r w:rsidR="0070067C">
        <w:br/>
      </w:r>
      <w:r w:rsidR="00B11153">
        <w:t>dans le</w:t>
      </w:r>
      <w:r>
        <w:t xml:space="preserve"> </w:t>
      </w:r>
      <w:r w:rsidRPr="00334426">
        <w:t>service d'exploration de la Terre par satellite (active) et le service</w:t>
      </w:r>
      <w:r w:rsidR="0070067C">
        <w:br/>
      </w:r>
      <w:r w:rsidRPr="00334426">
        <w:t>de radiorepérage dans la bande de fréquences 9 200-10 400 MHz</w:t>
      </w:r>
    </w:p>
    <w:p w14:paraId="027511D9" w14:textId="6C7A5AE4" w:rsidR="00334426" w:rsidRPr="00334426" w:rsidRDefault="00334426" w:rsidP="00B11153">
      <w:pPr>
        <w:pStyle w:val="Normalaftertitle"/>
      </w:pPr>
      <w:r w:rsidRPr="00F8785C">
        <w:t>La Conférence mondiale des radiocommunications (Dubaï, 2023),</w:t>
      </w:r>
    </w:p>
    <w:p w14:paraId="71069356" w14:textId="44CAF9B0" w:rsidR="00A04247" w:rsidRDefault="000F11BC" w:rsidP="00B11153">
      <w:pPr>
        <w:pStyle w:val="Call"/>
      </w:pPr>
      <w:r>
        <w:t>considérant</w:t>
      </w:r>
    </w:p>
    <w:p w14:paraId="399D4B0B" w14:textId="77777777" w:rsidR="00334426" w:rsidRPr="00F8785C" w:rsidRDefault="00334426" w:rsidP="00B11153">
      <w:pPr>
        <w:rPr>
          <w:rFonts w:eastAsia="DengXian"/>
          <w:iCs/>
        </w:rPr>
      </w:pPr>
      <w:r w:rsidRPr="00F8785C">
        <w:rPr>
          <w:rFonts w:eastAsia="DengXian"/>
          <w:i/>
        </w:rPr>
        <w:t>a)</w:t>
      </w:r>
      <w:r w:rsidRPr="00F8785C">
        <w:rPr>
          <w:rFonts w:eastAsia="DengXian"/>
          <w:iCs/>
        </w:rPr>
        <w:tab/>
        <w:t>que le service d'exploration de la Terre par satellite (active) est utilisé pour diverses applications des capteurs spatioportés actifs, dont les radars à synthèse d'ouverture (SAR) constituent l'application la plus couramment utilisée;</w:t>
      </w:r>
    </w:p>
    <w:p w14:paraId="6254A55C" w14:textId="77777777" w:rsidR="00334426" w:rsidRPr="00F8785C" w:rsidRDefault="00334426" w:rsidP="00B11153">
      <w:pPr>
        <w:rPr>
          <w:rFonts w:eastAsia="DengXian"/>
          <w:iCs/>
          <w:lang w:eastAsia="zh-CN"/>
        </w:rPr>
      </w:pPr>
      <w:r w:rsidRPr="00F8785C">
        <w:rPr>
          <w:rFonts w:eastAsia="DengXian"/>
          <w:i/>
          <w:lang w:eastAsia="zh-CN"/>
        </w:rPr>
        <w:t>b)</w:t>
      </w:r>
      <w:r w:rsidRPr="00F8785C">
        <w:rPr>
          <w:rFonts w:eastAsia="DengXian"/>
          <w:iCs/>
          <w:lang w:eastAsia="zh-CN"/>
        </w:rPr>
        <w:tab/>
        <w:t xml:space="preserve">qu'à la suite des décisions prises par la CMR-07 et la CMR-15, l'attribution au service d'exploration de la Terre par satellite (active) dans la bande X a été étendue de la bande de fréquences 9 500-9 800 MHz à la bande de fréquences 9 200-10 400 MHz, qui est utilisée en partage avec le service de radiorepérage, </w:t>
      </w:r>
      <w:r w:rsidRPr="00F8785C">
        <w:rPr>
          <w:rFonts w:eastAsiaTheme="minorEastAsia"/>
          <w:lang w:eastAsia="zh-CN"/>
        </w:rPr>
        <w:t>y compris les services de radiolocalisation et de radionavigation;</w:t>
      </w:r>
    </w:p>
    <w:p w14:paraId="64589562" w14:textId="77777777" w:rsidR="00334426" w:rsidRPr="00F8785C" w:rsidRDefault="00334426" w:rsidP="00B11153">
      <w:pPr>
        <w:rPr>
          <w:rFonts w:eastAsiaTheme="minorEastAsia"/>
          <w:iCs/>
          <w:lang w:eastAsia="zh-CN"/>
        </w:rPr>
      </w:pPr>
      <w:r w:rsidRPr="00F8785C">
        <w:rPr>
          <w:rFonts w:eastAsia="DengXian"/>
          <w:i/>
          <w:lang w:eastAsia="zh-CN"/>
        </w:rPr>
        <w:lastRenderedPageBreak/>
        <w:t>c)</w:t>
      </w:r>
      <w:r w:rsidRPr="00F8785C">
        <w:rPr>
          <w:rFonts w:eastAsia="DengXian"/>
          <w:iCs/>
          <w:lang w:eastAsia="zh-CN"/>
        </w:rPr>
        <w:tab/>
      </w:r>
      <w:r w:rsidRPr="00F8785C">
        <w:rPr>
          <w:rFonts w:eastAsiaTheme="minorEastAsia"/>
          <w:iCs/>
          <w:lang w:eastAsia="zh-CN"/>
        </w:rPr>
        <w:t xml:space="preserve">que, compte tenu des hypothèses et des paramètres système utilisés avant la CMR-15, les études de l'UIT-R ont permis de conclure que le pourcentage de temps pendant lequel les brouillages seraient causés au </w:t>
      </w:r>
      <w:r w:rsidRPr="00F8785C">
        <w:rPr>
          <w:rFonts w:eastAsia="DengXian"/>
          <w:iCs/>
          <w:lang w:eastAsia="zh-CN"/>
        </w:rPr>
        <w:t>service de radiorepérage</w:t>
      </w:r>
      <w:r w:rsidRPr="00F8785C">
        <w:rPr>
          <w:rFonts w:eastAsiaTheme="minorEastAsia"/>
          <w:iCs/>
          <w:lang w:eastAsia="zh-CN"/>
        </w:rPr>
        <w:t xml:space="preserve"> serait faible et, sur la base de ces conclusions, les deux CMR ont</w:t>
      </w:r>
      <w:r w:rsidRPr="00F8785C">
        <w:rPr>
          <w:rFonts w:eastAsiaTheme="minorEastAsia"/>
          <w:lang w:eastAsia="zh-CN"/>
        </w:rPr>
        <w:t xml:space="preserve"> successivement</w:t>
      </w:r>
      <w:r w:rsidRPr="00F8785C">
        <w:rPr>
          <w:rFonts w:eastAsiaTheme="minorEastAsia"/>
          <w:iCs/>
          <w:lang w:eastAsia="zh-CN"/>
        </w:rPr>
        <w:t xml:space="preserve"> </w:t>
      </w:r>
      <w:r w:rsidRPr="00F8785C">
        <w:rPr>
          <w:rFonts w:eastAsiaTheme="minorEastAsia"/>
          <w:lang w:eastAsia="zh-CN"/>
        </w:rPr>
        <w:t>étendu les attributions au service d'exploration de la Terre par satellite (active);</w:t>
      </w:r>
    </w:p>
    <w:p w14:paraId="3567BE13" w14:textId="77777777" w:rsidR="00334426" w:rsidRPr="00F8785C" w:rsidRDefault="00334426" w:rsidP="00B11153">
      <w:pPr>
        <w:rPr>
          <w:rFonts w:eastAsia="DengXian"/>
          <w:iCs/>
          <w:lang w:eastAsia="zh-CN"/>
        </w:rPr>
      </w:pPr>
      <w:r w:rsidRPr="00F8785C">
        <w:rPr>
          <w:rFonts w:eastAsia="DengXian"/>
          <w:i/>
          <w:lang w:eastAsia="zh-CN"/>
        </w:rPr>
        <w:t>d)</w:t>
      </w:r>
      <w:r w:rsidRPr="00F8785C">
        <w:rPr>
          <w:rFonts w:eastAsia="DengXian"/>
          <w:iCs/>
          <w:lang w:eastAsia="zh-CN"/>
        </w:rPr>
        <w:tab/>
        <w:t>que ces dernières années, en raison des avancées technologiques et de la réduction des coûts, le nombre de satellites SAR dans la bande de fréquences 9 200-10 400 MHz a considérablement augmenté à travers le monde, augmentation</w:t>
      </w:r>
      <w:r w:rsidRPr="00F8785C">
        <w:t xml:space="preserve"> qui </w:t>
      </w:r>
      <w:r w:rsidRPr="00F8785C">
        <w:rPr>
          <w:rFonts w:eastAsia="DengXian"/>
          <w:iCs/>
          <w:lang w:eastAsia="zh-CN"/>
        </w:rPr>
        <w:t>dépasse de loin les hypothèses retenues dans les</w:t>
      </w:r>
      <w:r w:rsidRPr="00F8785C">
        <w:rPr>
          <w:rFonts w:eastAsiaTheme="minorEastAsia"/>
          <w:lang w:eastAsia="zh-CN"/>
        </w:rPr>
        <w:t xml:space="preserve"> études précédentes de l'UIT-R;</w:t>
      </w:r>
    </w:p>
    <w:p w14:paraId="67F3A0D6" w14:textId="77777777" w:rsidR="00334426" w:rsidRPr="00F8785C" w:rsidRDefault="00334426" w:rsidP="00B11153">
      <w:pPr>
        <w:rPr>
          <w:rFonts w:eastAsia="DengXian"/>
          <w:iCs/>
          <w:lang w:eastAsia="zh-CN"/>
        </w:rPr>
      </w:pPr>
      <w:r w:rsidRPr="00F8785C">
        <w:rPr>
          <w:rFonts w:eastAsia="DengXian"/>
          <w:i/>
          <w:lang w:eastAsia="zh-CN"/>
        </w:rPr>
        <w:t>e)</w:t>
      </w:r>
      <w:r w:rsidRPr="00F8785C">
        <w:rPr>
          <w:rFonts w:eastAsia="DengXian"/>
          <w:iCs/>
          <w:lang w:eastAsia="zh-CN"/>
        </w:rPr>
        <w:tab/>
        <w:t xml:space="preserve">que les paramètres système des satellites SAR ont également évolué ces dernières années par rapport aux études </w:t>
      </w:r>
      <w:r w:rsidRPr="00F8785C">
        <w:rPr>
          <w:rFonts w:eastAsiaTheme="minorEastAsia"/>
          <w:lang w:eastAsia="zh-CN"/>
        </w:rPr>
        <w:t xml:space="preserve">précédentes de </w:t>
      </w:r>
      <w:r w:rsidRPr="00F8785C">
        <w:rPr>
          <w:rFonts w:eastAsia="DengXian"/>
          <w:iCs/>
          <w:lang w:eastAsia="zh-CN"/>
        </w:rPr>
        <w:t>l'UIT-R;</w:t>
      </w:r>
    </w:p>
    <w:p w14:paraId="58AB5EF3" w14:textId="09177CAD" w:rsidR="000F11BC" w:rsidRDefault="000F11BC" w:rsidP="00301B90">
      <w:r w:rsidRPr="007B6F56">
        <w:rPr>
          <w:i/>
          <w:iCs/>
        </w:rPr>
        <w:t>f)</w:t>
      </w:r>
      <w:r>
        <w:tab/>
      </w:r>
      <w:r w:rsidR="00BD4133">
        <w:t xml:space="preserve">que l'utilisation croissante d'émetteur SAR spatioportés, comme indiqué aux points </w:t>
      </w:r>
      <w:r w:rsidR="00BD4133" w:rsidRPr="0070067C">
        <w:rPr>
          <w:i/>
          <w:iCs/>
        </w:rPr>
        <w:t>d)</w:t>
      </w:r>
      <w:r w:rsidR="00BD4133">
        <w:t xml:space="preserve"> et</w:t>
      </w:r>
      <w:r w:rsidR="0070067C">
        <w:t> </w:t>
      </w:r>
      <w:r w:rsidR="00BD4133" w:rsidRPr="0070067C">
        <w:rPr>
          <w:i/>
          <w:iCs/>
        </w:rPr>
        <w:t>e)</w:t>
      </w:r>
      <w:r w:rsidR="00BD4133">
        <w:t xml:space="preserve"> du </w:t>
      </w:r>
      <w:r w:rsidR="00BD4133">
        <w:rPr>
          <w:i/>
          <w:iCs/>
        </w:rPr>
        <w:t>considérant</w:t>
      </w:r>
      <w:r>
        <w:t>,</w:t>
      </w:r>
      <w:r w:rsidR="00BD4133">
        <w:t xml:space="preserve"> augmentera la probabilité de brouillages entre les radars de radiorepérage et les satellites SAR et qu'il est nécessaire d'examiner les mesures techniques et les dispositions réglementaires </w:t>
      </w:r>
      <w:r w:rsidR="006C6079">
        <w:t>propres à</w:t>
      </w:r>
      <w:r w:rsidR="00BD4133">
        <w:t xml:space="preserve"> garantir la coexistence entre ces deux systèmes,</w:t>
      </w:r>
    </w:p>
    <w:p w14:paraId="304FB4DE" w14:textId="5F76A74D" w:rsidR="000F11BC" w:rsidRDefault="000F11BC" w:rsidP="00B11153">
      <w:pPr>
        <w:pStyle w:val="Call"/>
      </w:pPr>
      <w:bookmarkStart w:id="7" w:name="_Hlk147930814"/>
      <w:r>
        <w:t>notant</w:t>
      </w:r>
      <w:bookmarkEnd w:id="7"/>
    </w:p>
    <w:p w14:paraId="74EA17D6" w14:textId="2FBC37D0" w:rsidR="00DD4AFE" w:rsidRPr="00F8785C" w:rsidRDefault="00DD4AFE" w:rsidP="00B11153">
      <w:pPr>
        <w:rPr>
          <w:rFonts w:eastAsia="DengXian"/>
          <w:lang w:eastAsia="zh-CN"/>
        </w:rPr>
      </w:pPr>
      <w:r w:rsidRPr="00F8785C">
        <w:rPr>
          <w:rFonts w:eastAsia="DengXian"/>
          <w:i/>
          <w:iCs/>
          <w:lang w:eastAsia="zh-CN"/>
        </w:rPr>
        <w:t>a)</w:t>
      </w:r>
      <w:r w:rsidRPr="00F8785C">
        <w:rPr>
          <w:rFonts w:eastAsia="DengXian"/>
          <w:lang w:eastAsia="zh-CN"/>
        </w:rPr>
        <w:tab/>
        <w:t xml:space="preserve">que le numéro </w:t>
      </w:r>
      <w:r w:rsidRPr="00F8785C">
        <w:rPr>
          <w:rFonts w:eastAsia="DengXian"/>
          <w:b/>
          <w:lang w:eastAsia="zh-CN"/>
        </w:rPr>
        <w:t>5.474A</w:t>
      </w:r>
      <w:r w:rsidRPr="00F8785C">
        <w:rPr>
          <w:rFonts w:eastAsia="DengXian"/>
          <w:lang w:eastAsia="zh-CN"/>
        </w:rPr>
        <w:t xml:space="preserve"> dispose que l'utilisation des bandes de </w:t>
      </w:r>
      <w:r w:rsidR="001E5B9F">
        <w:rPr>
          <w:rFonts w:eastAsia="DengXian"/>
          <w:lang w:eastAsia="zh-CN"/>
        </w:rPr>
        <w:t>f</w:t>
      </w:r>
      <w:r w:rsidRPr="00F8785C">
        <w:rPr>
          <w:rFonts w:eastAsia="DengXian"/>
          <w:lang w:eastAsia="zh-CN"/>
        </w:rPr>
        <w:t>réquences </w:t>
      </w:r>
      <w:r w:rsidRPr="00F8785C">
        <w:rPr>
          <w:lang w:eastAsia="zh-CN"/>
        </w:rPr>
        <w:t>9 200</w:t>
      </w:r>
      <w:r w:rsidRPr="00F8785C">
        <w:rPr>
          <w:lang w:eastAsia="zh-CN"/>
        </w:rPr>
        <w:noBreakHyphen/>
        <w:t xml:space="preserve">9 300 MHz et 9 900-10 400 MHz par le service d'exploration de la Terre par satellite (active) est subordonnée à l'accord qui doit être obtenu au titre du numéro </w:t>
      </w:r>
      <w:r w:rsidRPr="00F8785C">
        <w:rPr>
          <w:b/>
          <w:lang w:eastAsia="zh-CN"/>
        </w:rPr>
        <w:t>9.21</w:t>
      </w:r>
      <w:r w:rsidRPr="00F8785C">
        <w:rPr>
          <w:lang w:eastAsia="zh-CN"/>
        </w:rPr>
        <w:t xml:space="preserve"> auprès d'un certain nombre d'administrations;</w:t>
      </w:r>
    </w:p>
    <w:p w14:paraId="6669984E" w14:textId="53A16C0B" w:rsidR="000F11BC" w:rsidRDefault="00DD4AFE" w:rsidP="00301B90">
      <w:r w:rsidRPr="00F8785C">
        <w:rPr>
          <w:rFonts w:eastAsia="DengXian"/>
          <w:i/>
          <w:iCs/>
          <w:lang w:eastAsia="zh-CN"/>
        </w:rPr>
        <w:t>b)</w:t>
      </w:r>
      <w:r w:rsidRPr="00F8785C">
        <w:rPr>
          <w:rFonts w:eastAsia="DengXian"/>
          <w:lang w:eastAsia="zh-CN"/>
        </w:rPr>
        <w:tab/>
        <w:t xml:space="preserve">que le numéro </w:t>
      </w:r>
      <w:r w:rsidRPr="00F8785C">
        <w:rPr>
          <w:rFonts w:eastAsia="DengXian"/>
          <w:b/>
          <w:lang w:eastAsia="zh-CN"/>
        </w:rPr>
        <w:t>21.16</w:t>
      </w:r>
      <w:r w:rsidRPr="00F8785C">
        <w:rPr>
          <w:rFonts w:eastAsia="DengXian"/>
          <w:lang w:eastAsia="zh-CN"/>
        </w:rPr>
        <w:t xml:space="preserve"> indique la limite de puissance surfacique produite à la surface de la Terre par les émissions du service d'exploration de la Terre par satellite (active) dans la bande de fréquences </w:t>
      </w:r>
      <w:r w:rsidRPr="00F8785C">
        <w:rPr>
          <w:lang w:eastAsia="zh-CN"/>
        </w:rPr>
        <w:t>9 900-10 400 MHz en ce qui concerne la protection du service fixe,</w:t>
      </w:r>
    </w:p>
    <w:p w14:paraId="35EDFF80" w14:textId="628406B6" w:rsidR="007B6F56" w:rsidRDefault="007B6F56" w:rsidP="00B11153">
      <w:pPr>
        <w:pStyle w:val="Call"/>
      </w:pPr>
      <w:r>
        <w:t>reconnaissant</w:t>
      </w:r>
    </w:p>
    <w:p w14:paraId="52B25BB0" w14:textId="6A74EBDD" w:rsidR="00136768" w:rsidRPr="00F8785C" w:rsidRDefault="00136768" w:rsidP="00301B90">
      <w:pPr>
        <w:rPr>
          <w:rFonts w:eastAsia="DengXian"/>
          <w:lang w:eastAsia="zh-CN"/>
        </w:rPr>
      </w:pPr>
      <w:r w:rsidRPr="00F8785C">
        <w:rPr>
          <w:rFonts w:eastAsia="DengXian"/>
          <w:i/>
          <w:iCs/>
          <w:lang w:eastAsia="zh-CN"/>
        </w:rPr>
        <w:t>a)</w:t>
      </w:r>
      <w:r w:rsidRPr="00F8785C">
        <w:rPr>
          <w:rFonts w:eastAsia="DengXian"/>
          <w:lang w:eastAsia="zh-CN"/>
        </w:rPr>
        <w:tab/>
        <w:t xml:space="preserve">qu'il est important de </w:t>
      </w:r>
      <w:r w:rsidR="00BD4133">
        <w:rPr>
          <w:rFonts w:eastAsia="DengXian"/>
          <w:lang w:eastAsia="zh-CN"/>
        </w:rPr>
        <w:t xml:space="preserve">poursuivre l'exploitation des satellites SAR et qu'il est nécessaire </w:t>
      </w:r>
      <w:r w:rsidRPr="00F8785C">
        <w:rPr>
          <w:rFonts w:eastAsia="DengXian"/>
          <w:lang w:eastAsia="zh-CN"/>
        </w:rPr>
        <w:t>d'assurer la protection des systèmes de radiorepérage fonctionnant dans la bande de fréquences 9 200-10 400 MHz;</w:t>
      </w:r>
    </w:p>
    <w:p w14:paraId="1F745930" w14:textId="7C1B36D8" w:rsidR="00136768" w:rsidRPr="00F8785C" w:rsidRDefault="00136768" w:rsidP="00301B90">
      <w:pPr>
        <w:rPr>
          <w:rFonts w:eastAsia="DengXian"/>
          <w:lang w:eastAsia="zh-CN"/>
        </w:rPr>
      </w:pPr>
      <w:r w:rsidRPr="00F8785C">
        <w:rPr>
          <w:rFonts w:eastAsia="DengXian"/>
          <w:i/>
          <w:iCs/>
          <w:lang w:eastAsia="zh-CN"/>
        </w:rPr>
        <w:t>b)</w:t>
      </w:r>
      <w:r w:rsidRPr="00F8785C">
        <w:rPr>
          <w:rFonts w:eastAsia="DengXian"/>
          <w:lang w:eastAsia="zh-CN"/>
        </w:rPr>
        <w:tab/>
        <w:t>que, conformément au numéro </w:t>
      </w:r>
      <w:r w:rsidRPr="00F8785C">
        <w:rPr>
          <w:rFonts w:eastAsia="DengXian"/>
          <w:b/>
          <w:lang w:eastAsia="zh-CN"/>
        </w:rPr>
        <w:t>5.</w:t>
      </w:r>
      <w:r w:rsidRPr="00F8785C">
        <w:rPr>
          <w:rFonts w:eastAsia="DengXian"/>
          <w:b/>
        </w:rPr>
        <w:t>47</w:t>
      </w:r>
      <w:r w:rsidRPr="00F8785C">
        <w:rPr>
          <w:rFonts w:eastAsia="DengXian"/>
          <w:b/>
          <w:lang w:eastAsia="zh-CN"/>
        </w:rPr>
        <w:t>6A</w:t>
      </w:r>
      <w:r w:rsidRPr="00F8785C">
        <w:rPr>
          <w:rFonts w:eastAsia="DengXian"/>
          <w:bCs/>
          <w:lang w:eastAsia="zh-CN"/>
        </w:rPr>
        <w:t>,</w:t>
      </w:r>
      <w:r w:rsidRPr="00F8785C">
        <w:rPr>
          <w:rFonts w:eastAsia="DengXian"/>
          <w:bCs/>
        </w:rPr>
        <w:t xml:space="preserve"> </w:t>
      </w:r>
      <w:r w:rsidR="0070067C">
        <w:rPr>
          <w:rFonts w:eastAsia="DengXian"/>
        </w:rPr>
        <w:t>«</w:t>
      </w:r>
      <w:r w:rsidRPr="00F8785C">
        <w:t>Dans la bande 9</w:t>
      </w:r>
      <w:r w:rsidRPr="00F8785C">
        <w:rPr>
          <w:sz w:val="12"/>
        </w:rPr>
        <w:t> </w:t>
      </w:r>
      <w:r w:rsidRPr="00F8785C">
        <w:t>300</w:t>
      </w:r>
      <w:r w:rsidRPr="00F8785C">
        <w:rPr>
          <w:b/>
        </w:rPr>
        <w:t>-</w:t>
      </w:r>
      <w:r w:rsidRPr="00F8785C">
        <w:t>9</w:t>
      </w:r>
      <w:r w:rsidRPr="00F8785C">
        <w:rPr>
          <w:sz w:val="12"/>
        </w:rPr>
        <w:t> </w:t>
      </w:r>
      <w:r w:rsidRPr="00F8785C">
        <w:t>800 MHz, les stations du service d'exploration de la Terre par satellite (active) et du service de recherche spatiale (active) ne doivent pas causer de brouillage préjudiciable aux stations des services de radionavigation et de radiolocalisation, ni demander à être protégées vis-à-vis de ces stations.</w:t>
      </w:r>
      <w:r w:rsidRPr="00F8785C">
        <w:rPr>
          <w:sz w:val="16"/>
        </w:rPr>
        <w:t>     (CMR-07)</w:t>
      </w:r>
      <w:r w:rsidR="0070067C">
        <w:rPr>
          <w:szCs w:val="32"/>
        </w:rPr>
        <w:t>»</w:t>
      </w:r>
      <w:r w:rsidRPr="00F8785C">
        <w:rPr>
          <w:rFonts w:eastAsia="DengXian"/>
          <w:lang w:eastAsia="zh-CN"/>
        </w:rPr>
        <w:t>;</w:t>
      </w:r>
    </w:p>
    <w:p w14:paraId="4D8E4FA4" w14:textId="0C93146A" w:rsidR="00136768" w:rsidRPr="00F8785C" w:rsidRDefault="00136768" w:rsidP="00301B90">
      <w:pPr>
        <w:rPr>
          <w:rFonts w:eastAsia="DengXian"/>
          <w:lang w:eastAsia="zh-CN"/>
        </w:rPr>
      </w:pPr>
      <w:r w:rsidRPr="00F8785C">
        <w:rPr>
          <w:rFonts w:eastAsia="DengXian"/>
          <w:i/>
          <w:iCs/>
          <w:lang w:eastAsia="zh-CN"/>
        </w:rPr>
        <w:t>c)</w:t>
      </w:r>
      <w:r w:rsidRPr="00F8785C">
        <w:rPr>
          <w:rFonts w:eastAsia="DengXian"/>
          <w:lang w:eastAsia="zh-CN"/>
        </w:rPr>
        <w:tab/>
        <w:t>que, conformément au numéro </w:t>
      </w:r>
      <w:r w:rsidRPr="00F8785C">
        <w:rPr>
          <w:rFonts w:eastAsia="DengXian"/>
          <w:b/>
          <w:lang w:eastAsia="zh-CN"/>
        </w:rPr>
        <w:t>5.</w:t>
      </w:r>
      <w:r w:rsidRPr="00F8785C">
        <w:rPr>
          <w:rFonts w:eastAsia="DengXian"/>
          <w:b/>
        </w:rPr>
        <w:t>474D</w:t>
      </w:r>
      <w:r w:rsidRPr="00F8785C">
        <w:rPr>
          <w:rFonts w:eastAsia="DengXian"/>
          <w:bCs/>
        </w:rPr>
        <w:t xml:space="preserve">, </w:t>
      </w:r>
      <w:r w:rsidR="0070067C">
        <w:t>«</w:t>
      </w:r>
      <w:r w:rsidRPr="00301B90">
        <w:t>Les stations du service d'exploration de la Terre par satellite (active) ne doivent pas causer de brouillage préjudiciable aux stations du service de radionavigation maritime et du service de radiolocalisation dans la bande de fréquences 9 200</w:t>
      </w:r>
      <w:r w:rsidRPr="00301B90">
        <w:noBreakHyphen/>
        <w:t>9 300 MHz, aux stations du service de radionavigation et du service de radiolocalisation dans la bande de fréquences 9 900-10 000 MHz et aux stations du service de radiolocalisation dans la bande de fréquences 10,0</w:t>
      </w:r>
      <w:r w:rsidRPr="00301B90">
        <w:noBreakHyphen/>
        <w:t>10,4 GHz, ni demander à être protégées vis-à-vis de ces stations</w:t>
      </w:r>
      <w:r w:rsidRPr="00F8785C">
        <w:rPr>
          <w:rStyle w:val="NoteChar"/>
        </w:rPr>
        <w:t>.</w:t>
      </w:r>
      <w:r w:rsidRPr="00F8785C">
        <w:rPr>
          <w:rStyle w:val="NoteChar"/>
          <w:sz w:val="16"/>
        </w:rPr>
        <w:t>     (CMR-15)</w:t>
      </w:r>
      <w:r w:rsidR="0070067C">
        <w:t>»</w:t>
      </w:r>
      <w:r w:rsidRPr="00F8785C">
        <w:rPr>
          <w:rFonts w:eastAsia="DengXian"/>
          <w:lang w:eastAsia="zh-CN"/>
        </w:rPr>
        <w:t>;</w:t>
      </w:r>
    </w:p>
    <w:p w14:paraId="6792322C" w14:textId="77777777" w:rsidR="00136768" w:rsidRPr="00F8785C" w:rsidRDefault="00136768" w:rsidP="00301B90">
      <w:pPr>
        <w:rPr>
          <w:rFonts w:eastAsia="DengXian"/>
          <w:lang w:eastAsia="zh-CN"/>
        </w:rPr>
      </w:pPr>
      <w:r w:rsidRPr="00F8785C">
        <w:rPr>
          <w:rFonts w:eastAsia="DengXian"/>
          <w:i/>
          <w:iCs/>
          <w:lang w:eastAsia="zh-CN"/>
        </w:rPr>
        <w:t>d)</w:t>
      </w:r>
      <w:r w:rsidRPr="00F8785C">
        <w:rPr>
          <w:rFonts w:eastAsia="DengXian"/>
          <w:lang w:eastAsia="zh-CN"/>
        </w:rPr>
        <w:tab/>
        <w:t xml:space="preserve">que le service de radionavigation aéronautique fonctionnant dans la bande de fréquences 9 000-9 200 MHz et le service de radionavigation maritime fonctionnant dans la bande de fréquences 9 200-9 500 MHz sont utilisés par des systèmes des services de sécurité, conformément aux numéros </w:t>
      </w:r>
      <w:r w:rsidRPr="00F8785C">
        <w:rPr>
          <w:rFonts w:eastAsia="DengXian"/>
          <w:b/>
          <w:lang w:eastAsia="zh-CN"/>
        </w:rPr>
        <w:t>1.59</w:t>
      </w:r>
      <w:r w:rsidRPr="00F8785C">
        <w:rPr>
          <w:rFonts w:eastAsia="DengXian"/>
          <w:lang w:eastAsia="zh-CN"/>
        </w:rPr>
        <w:t xml:space="preserve"> et </w:t>
      </w:r>
      <w:r w:rsidRPr="00F8785C">
        <w:rPr>
          <w:rFonts w:eastAsia="DengXian"/>
          <w:b/>
          <w:lang w:eastAsia="zh-CN"/>
        </w:rPr>
        <w:t>4.10</w:t>
      </w:r>
      <w:r w:rsidRPr="00F8785C">
        <w:rPr>
          <w:rFonts w:eastAsia="DengXian"/>
          <w:lang w:eastAsia="zh-CN"/>
        </w:rPr>
        <w:t>;</w:t>
      </w:r>
    </w:p>
    <w:p w14:paraId="1B0BE070" w14:textId="6E9BBBE4" w:rsidR="007B6F56" w:rsidRDefault="00136768" w:rsidP="00301B90">
      <w:r w:rsidRPr="00F8785C">
        <w:rPr>
          <w:rFonts w:eastAsia="DengXian"/>
          <w:i/>
          <w:iCs/>
          <w:lang w:eastAsia="zh-CN"/>
        </w:rPr>
        <w:t>e)</w:t>
      </w:r>
      <w:r w:rsidRPr="00F8785C">
        <w:rPr>
          <w:rFonts w:eastAsia="DengXian"/>
          <w:lang w:eastAsia="zh-CN"/>
        </w:rPr>
        <w:tab/>
        <w:t>que la Recommandation UIT-R M.1796 fournit les caractéristiques techniques et les critères de protection applicables aux radars du service de radiorepérage dans la gamme de fréquences 8 500-10 680 MHz,</w:t>
      </w:r>
    </w:p>
    <w:p w14:paraId="5492F883" w14:textId="070BDC4E" w:rsidR="000F11BC" w:rsidRDefault="00136768" w:rsidP="00B11153">
      <w:pPr>
        <w:pStyle w:val="Call"/>
      </w:pPr>
      <w:r w:rsidRPr="00F8785C">
        <w:lastRenderedPageBreak/>
        <w:t>décide d'inviter le Secteur des radiocommunications de l'UIT</w:t>
      </w:r>
    </w:p>
    <w:p w14:paraId="080CB666" w14:textId="6CAD1103" w:rsidR="00136768" w:rsidRPr="00F8785C" w:rsidRDefault="00136768" w:rsidP="00B11153">
      <w:r w:rsidRPr="00F8785C">
        <w:t>1</w:t>
      </w:r>
      <w:r w:rsidRPr="00F8785C">
        <w:tab/>
        <w:t xml:space="preserve">à identifier les caractéristiques techniques des </w:t>
      </w:r>
      <w:r w:rsidR="00C108B6">
        <w:t>SAR dans le</w:t>
      </w:r>
      <w:r w:rsidRPr="00F8785C">
        <w:t xml:space="preserve"> service d'exploration de la Terre par satellite (active) dans la bande de fréquences 9 200-10 400 MHz;</w:t>
      </w:r>
    </w:p>
    <w:p w14:paraId="6ABE1DE6" w14:textId="07B48B2C" w:rsidR="00136768" w:rsidRPr="00F8785C" w:rsidRDefault="00136768" w:rsidP="00B11153">
      <w:r w:rsidRPr="00F8785C">
        <w:rPr>
          <w:rFonts w:eastAsia="DengXian"/>
          <w:lang w:eastAsia="zh-CN"/>
        </w:rPr>
        <w:t>2</w:t>
      </w:r>
      <w:r w:rsidRPr="00F8785C">
        <w:tab/>
        <w:t xml:space="preserve">à étudier les critères de protection </w:t>
      </w:r>
      <w:r w:rsidR="00C108B6">
        <w:t>nécessaires</w:t>
      </w:r>
      <w:r w:rsidRPr="00F8785C">
        <w:t xml:space="preserve"> pour protéger le service de radiorepérage dans la bande de fréquences 9 200-10 400 MHz contre les brouillages par impulsions, en particulier le pourcentage de temps ou la probabilité de brouillage qui pourraient être </w:t>
      </w:r>
      <w:r w:rsidR="004D327F">
        <w:t>acceptables</w:t>
      </w:r>
      <w:r w:rsidRPr="00F8785C">
        <w:t xml:space="preserve"> par le service de radiorepérage;</w:t>
      </w:r>
    </w:p>
    <w:p w14:paraId="1A8DFF43" w14:textId="2602AED4" w:rsidR="00136768" w:rsidRPr="00F8785C" w:rsidRDefault="00136768" w:rsidP="00B11153">
      <w:r w:rsidRPr="00F8785C">
        <w:rPr>
          <w:rFonts w:eastAsia="DengXian"/>
          <w:lang w:eastAsia="zh-CN"/>
        </w:rPr>
        <w:t>3</w:t>
      </w:r>
      <w:r w:rsidRPr="00F8785C">
        <w:tab/>
        <w:t>à procéder à des études, à temps pour que la CMR-27 puisse les examiner, sur les mesures techniques et réglementaires propres à assurer la coexistence entre les SAR</w:t>
      </w:r>
      <w:r w:rsidR="004D327F">
        <w:t xml:space="preserve"> exploités dans le</w:t>
      </w:r>
      <w:r w:rsidRPr="00F8785C">
        <w:t xml:space="preserve"> service d'exploration de la Terre par satellite (active) et le service de radiorepérage dans la bande de fréquences 9 200-10 400 MHz;</w:t>
      </w:r>
    </w:p>
    <w:p w14:paraId="548666BC" w14:textId="7807AFD1" w:rsidR="00136768" w:rsidRPr="00F8785C" w:rsidRDefault="00136768" w:rsidP="00B11153">
      <w:pPr>
        <w:rPr>
          <w:rFonts w:eastAsia="DengXian"/>
          <w:lang w:eastAsia="zh-CN"/>
        </w:rPr>
      </w:pPr>
      <w:r w:rsidRPr="00F8785C">
        <w:rPr>
          <w:rFonts w:eastAsia="DengXian"/>
          <w:lang w:eastAsia="zh-CN"/>
        </w:rPr>
        <w:t>4</w:t>
      </w:r>
      <w:r w:rsidRPr="00F8785C">
        <w:tab/>
        <w:t xml:space="preserve">à identifier, à temps pour que la CMR-27 puisse les examiner, les modifications qui pourraient être apportées </w:t>
      </w:r>
      <w:r w:rsidR="004D327F">
        <w:t>aux dispositions</w:t>
      </w:r>
      <w:r w:rsidRPr="00F8785C">
        <w:t xml:space="preserve"> réglementaires pertinentes du Règlement des radiocommunications,</w:t>
      </w:r>
    </w:p>
    <w:p w14:paraId="22477CED" w14:textId="77777777" w:rsidR="00136768" w:rsidRPr="00F8785C" w:rsidRDefault="00136768" w:rsidP="00B11153">
      <w:pPr>
        <w:pStyle w:val="Call"/>
      </w:pPr>
      <w:r w:rsidRPr="00F8785C">
        <w:t>invite la Conférence mondiale des radiocommunications de 2027</w:t>
      </w:r>
    </w:p>
    <w:p w14:paraId="2B90479F" w14:textId="41BD5401" w:rsidR="00136768" w:rsidRPr="00F8785C" w:rsidRDefault="00136768" w:rsidP="00B11153">
      <w:r w:rsidRPr="00F8785C">
        <w:t xml:space="preserve">à examiner les résultats des études </w:t>
      </w:r>
      <w:r w:rsidR="004D327F">
        <w:t xml:space="preserve">de l'UIT-R </w:t>
      </w:r>
      <w:r w:rsidRPr="00F8785C">
        <w:t xml:space="preserve">ci-dessus et à prendre </w:t>
      </w:r>
      <w:r w:rsidR="004D327F">
        <w:t>des mesures, notamment en apportant des modifications éventuelles aux dispositions réglementaires du Règlement des radiocommunications</w:t>
      </w:r>
      <w:r w:rsidRPr="00F8785C">
        <w:t>,</w:t>
      </w:r>
    </w:p>
    <w:p w14:paraId="59186917" w14:textId="77777777" w:rsidR="00136768" w:rsidRPr="00F8785C" w:rsidRDefault="00136768" w:rsidP="00B11153">
      <w:pPr>
        <w:pStyle w:val="Call"/>
      </w:pPr>
      <w:r w:rsidRPr="00F8785C">
        <w:t>invite les administrations</w:t>
      </w:r>
    </w:p>
    <w:p w14:paraId="12575C76" w14:textId="17D3B03E" w:rsidR="00D5545A" w:rsidRDefault="00136768" w:rsidP="00301B90">
      <w:r w:rsidRPr="00F8785C">
        <w:t>à participer aux études en soumettant des contributions à l'UIT-R.</w:t>
      </w:r>
    </w:p>
    <w:p w14:paraId="2733386D" w14:textId="2C0DEDF6" w:rsidR="00D5545A" w:rsidRDefault="007B6F56" w:rsidP="00A17DE9">
      <w:pPr>
        <w:pStyle w:val="Reasons"/>
        <w:spacing w:after="240"/>
        <w:rPr>
          <w:b/>
          <w:bCs/>
        </w:rPr>
      </w:pPr>
      <w:r>
        <w:rPr>
          <w:b/>
          <w:bCs/>
        </w:rPr>
        <w:t>Motifs</w:t>
      </w:r>
      <w:r w:rsidR="000F11BC" w:rsidRPr="007B6F56">
        <w:rPr>
          <w:b/>
          <w:bCs/>
        </w:rPr>
        <w:t>:</w:t>
      </w:r>
      <w:r w:rsidR="000F11BC" w:rsidRPr="007B6F56">
        <w:rPr>
          <w:b/>
          <w:bCs/>
        </w:rPr>
        <w:tab/>
      </w:r>
      <w:r w:rsidR="004D327F" w:rsidRPr="004D327F">
        <w:t>Voir le tableau</w:t>
      </w:r>
      <w:r w:rsidR="004D327F" w:rsidRPr="00547C62">
        <w:t xml:space="preserve"> </w:t>
      </w:r>
      <w:r w:rsidR="004D327F" w:rsidRPr="00547C62">
        <w:rPr>
          <w:rFonts w:eastAsia="SimSun"/>
          <w:lang w:eastAsia="zh-CN"/>
        </w:rPr>
        <w:t>ci</w:t>
      </w:r>
      <w:r w:rsidR="004D327F">
        <w:rPr>
          <w:rFonts w:eastAsia="SimSun"/>
          <w:lang w:eastAsia="zh-CN"/>
        </w:rPr>
        <w:t>-dessous, qui a été établi sur la base du gabarit figurant dans l'</w:t>
      </w:r>
      <w:r w:rsidR="00D5545A" w:rsidRPr="00F8785C">
        <w:rPr>
          <w:rFonts w:eastAsia="SimSun"/>
          <w:lang w:eastAsia="zh-CN"/>
        </w:rPr>
        <w:t>Annexe</w:t>
      </w:r>
      <w:r w:rsidR="008F17AC">
        <w:rPr>
          <w:rFonts w:eastAsia="SimSun"/>
          <w:lang w:eastAsia="zh-CN"/>
        </w:rPr>
        <w:t> </w:t>
      </w:r>
      <w:r w:rsidR="00D5545A" w:rsidRPr="00F8785C">
        <w:rPr>
          <w:rFonts w:eastAsia="SimSun"/>
          <w:lang w:eastAsia="zh-CN"/>
        </w:rPr>
        <w:t xml:space="preserve">2 de la Résolution </w:t>
      </w:r>
      <w:r w:rsidR="00D5545A" w:rsidRPr="008F17AC">
        <w:rPr>
          <w:rFonts w:eastAsia="SimSun"/>
          <w:b/>
          <w:bCs/>
          <w:lang w:eastAsia="zh-CN"/>
        </w:rPr>
        <w:t xml:space="preserve">804 </w:t>
      </w:r>
      <w:r w:rsidR="00D5545A" w:rsidRPr="008F17AC">
        <w:rPr>
          <w:b/>
          <w:bCs/>
          <w:iCs/>
        </w:rPr>
        <w:t>(</w:t>
      </w:r>
      <w:r w:rsidR="00D5545A" w:rsidRPr="004D327F">
        <w:rPr>
          <w:b/>
          <w:iCs/>
        </w:rPr>
        <w:t>Rév.CMR</w:t>
      </w:r>
      <w:r w:rsidR="00D5545A" w:rsidRPr="004D327F">
        <w:rPr>
          <w:b/>
          <w:iCs/>
        </w:rPr>
        <w:noBreakHyphen/>
        <w:t>19</w:t>
      </w:r>
      <w:r w:rsidR="00D5545A" w:rsidRPr="008F17AC">
        <w:rPr>
          <w:b/>
          <w:iCs/>
        </w:rPr>
        <w:t>)</w:t>
      </w:r>
      <w:r w:rsidR="008F17AC" w:rsidRPr="008F17AC">
        <w:rPr>
          <w:bCs/>
          <w:iCs/>
        </w:rPr>
        <w:t>.</w:t>
      </w:r>
    </w:p>
    <w:tbl>
      <w:tblPr>
        <w:tblpPr w:leftFromText="180" w:rightFromText="180" w:vertAnchor="text" w:tblpX="-84" w:tblpY="1"/>
        <w:tblOverlap w:val="never"/>
        <w:tblW w:w="9723" w:type="dxa"/>
        <w:tblLayout w:type="fixed"/>
        <w:tblLook w:val="04A0" w:firstRow="1" w:lastRow="0" w:firstColumn="1" w:lastColumn="0" w:noHBand="0" w:noVBand="1"/>
      </w:tblPr>
      <w:tblGrid>
        <w:gridCol w:w="4897"/>
        <w:gridCol w:w="4826"/>
      </w:tblGrid>
      <w:tr w:rsidR="00D5545A" w:rsidRPr="00F8785C" w14:paraId="4A0EA2EE" w14:textId="77777777" w:rsidTr="00E02B07">
        <w:trPr>
          <w:cantSplit/>
        </w:trPr>
        <w:tc>
          <w:tcPr>
            <w:tcW w:w="9723" w:type="dxa"/>
            <w:gridSpan w:val="2"/>
          </w:tcPr>
          <w:p w14:paraId="3A9A3C78" w14:textId="38D67FD2" w:rsidR="00D5545A" w:rsidRPr="00F8785C" w:rsidRDefault="00D5545A" w:rsidP="00A17DE9">
            <w:pPr>
              <w:keepNext/>
              <w:spacing w:after="120"/>
            </w:pPr>
            <w:r w:rsidRPr="00F8785C">
              <w:rPr>
                <w:b/>
                <w:bCs/>
              </w:rPr>
              <w:t>Objet</w:t>
            </w:r>
            <w:r w:rsidRPr="00A17DE9">
              <w:t>:</w:t>
            </w:r>
            <w:r w:rsidR="00A17DE9" w:rsidRPr="00A17DE9">
              <w:t xml:space="preserve"> </w:t>
            </w:r>
            <w:r w:rsidRPr="00F8785C">
              <w:t xml:space="preserve">Mesures propres à assurer la coexistence entre les radars à synthèse d'ouverture (SAR) spatioportés </w:t>
            </w:r>
            <w:r w:rsidR="00101F7F">
              <w:t xml:space="preserve">exploités dans le </w:t>
            </w:r>
            <w:r w:rsidRPr="00F8785C">
              <w:t>service d'exploration de la Terre par satellite (active) et le service de radiorepérage dans la bande de fréquences 9 200-10 400 MHz</w:t>
            </w:r>
          </w:p>
        </w:tc>
      </w:tr>
      <w:tr w:rsidR="00D5545A" w:rsidRPr="00F8785C" w14:paraId="02D185D8" w14:textId="77777777" w:rsidTr="00E02B07">
        <w:trPr>
          <w:cantSplit/>
        </w:trPr>
        <w:tc>
          <w:tcPr>
            <w:tcW w:w="9723" w:type="dxa"/>
            <w:gridSpan w:val="2"/>
            <w:tcBorders>
              <w:top w:val="nil"/>
              <w:left w:val="nil"/>
              <w:bottom w:val="single" w:sz="4" w:space="0" w:color="auto"/>
              <w:right w:val="nil"/>
            </w:tcBorders>
          </w:tcPr>
          <w:p w14:paraId="2E8D6E69" w14:textId="5A5C071F" w:rsidR="00D5545A" w:rsidRPr="00F8785C" w:rsidRDefault="00D5545A" w:rsidP="00B11153">
            <w:pPr>
              <w:keepNext/>
              <w:spacing w:after="120"/>
              <w:rPr>
                <w:rFonts w:eastAsia="SimSun"/>
                <w:b/>
                <w:i/>
                <w:color w:val="000000"/>
                <w:lang w:eastAsia="zh-CN"/>
              </w:rPr>
            </w:pPr>
            <w:r w:rsidRPr="00F8785C">
              <w:rPr>
                <w:b/>
                <w:bCs/>
              </w:rPr>
              <w:t>Origine</w:t>
            </w:r>
            <w:r w:rsidRPr="00A17DE9">
              <w:t>:</w:t>
            </w:r>
            <w:r w:rsidRPr="00A17DE9">
              <w:rPr>
                <w:rFonts w:eastAsia="SimSun"/>
                <w:lang w:eastAsia="zh-CN"/>
              </w:rPr>
              <w:t xml:space="preserve"> </w:t>
            </w:r>
            <w:r w:rsidR="004D327F">
              <w:rPr>
                <w:rFonts w:eastAsia="SimSun"/>
                <w:lang w:eastAsia="zh-CN"/>
              </w:rPr>
              <w:t>Télécommunauté Asie-Pacifique (APT)</w:t>
            </w:r>
          </w:p>
        </w:tc>
      </w:tr>
      <w:tr w:rsidR="00D5545A" w:rsidRPr="00F8785C" w14:paraId="3BE43DE6" w14:textId="77777777" w:rsidTr="00E02B07">
        <w:trPr>
          <w:cantSplit/>
        </w:trPr>
        <w:tc>
          <w:tcPr>
            <w:tcW w:w="9723" w:type="dxa"/>
            <w:gridSpan w:val="2"/>
            <w:tcBorders>
              <w:top w:val="single" w:sz="4" w:space="0" w:color="auto"/>
              <w:left w:val="nil"/>
              <w:bottom w:val="single" w:sz="4" w:space="0" w:color="auto"/>
              <w:right w:val="nil"/>
            </w:tcBorders>
          </w:tcPr>
          <w:p w14:paraId="3B085ED3" w14:textId="77777777" w:rsidR="00D5545A" w:rsidRPr="00F8785C" w:rsidRDefault="00D5545A" w:rsidP="00B11153">
            <w:pPr>
              <w:keepNext/>
              <w:spacing w:after="120"/>
              <w:rPr>
                <w:b/>
                <w:i/>
                <w:color w:val="000000"/>
              </w:rPr>
            </w:pPr>
            <w:r w:rsidRPr="00F8785C">
              <w:rPr>
                <w:b/>
                <w:i/>
                <w:color w:val="000000"/>
              </w:rPr>
              <w:t>Proposition</w:t>
            </w:r>
            <w:r w:rsidRPr="00F8785C">
              <w:rPr>
                <w:b/>
                <w:iCs/>
                <w:color w:val="000000"/>
              </w:rPr>
              <w:t>:</w:t>
            </w:r>
          </w:p>
          <w:p w14:paraId="4B2A96B3" w14:textId="346480BA" w:rsidR="00D5545A" w:rsidRPr="00F8785C" w:rsidRDefault="00D5545A" w:rsidP="00B11153">
            <w:pPr>
              <w:keepNext/>
              <w:spacing w:after="120"/>
              <w:rPr>
                <w:b/>
                <w:iCs/>
              </w:rPr>
            </w:pPr>
            <w:r w:rsidRPr="00F8785C">
              <w:rPr>
                <w:rFonts w:eastAsia="SimSun"/>
                <w:bCs/>
                <w:iCs/>
                <w:lang w:eastAsia="zh-CN"/>
              </w:rPr>
              <w:t xml:space="preserve">Étudier et concevoir des mesures techniques et réglementaires propres à assurer la </w:t>
            </w:r>
            <w:r w:rsidRPr="00F8785C">
              <w:t xml:space="preserve">coexistence entre les radars à synthèse d'ouverture (SAR) spatioportés </w:t>
            </w:r>
            <w:r w:rsidR="004D327F">
              <w:t xml:space="preserve">exploités dans le </w:t>
            </w:r>
            <w:r w:rsidRPr="00F8785C">
              <w:t>service d'exploration de la Terre par satellite (active) et le service de radiorepérage dans la bande de fréquences</w:t>
            </w:r>
            <w:r w:rsidR="0070067C">
              <w:t> </w:t>
            </w:r>
            <w:r w:rsidRPr="00F8785C">
              <w:t>9 200</w:t>
            </w:r>
            <w:r w:rsidR="00A17DE9">
              <w:noBreakHyphen/>
            </w:r>
            <w:r w:rsidRPr="00F8785C">
              <w:t>10 400 MHz.</w:t>
            </w:r>
          </w:p>
        </w:tc>
      </w:tr>
      <w:tr w:rsidR="00D5545A" w:rsidRPr="00F8785C" w14:paraId="356D0EC4" w14:textId="77777777" w:rsidTr="00E02B07">
        <w:trPr>
          <w:cantSplit/>
        </w:trPr>
        <w:tc>
          <w:tcPr>
            <w:tcW w:w="9723" w:type="dxa"/>
            <w:gridSpan w:val="2"/>
            <w:tcBorders>
              <w:top w:val="single" w:sz="4" w:space="0" w:color="auto"/>
              <w:left w:val="nil"/>
              <w:bottom w:val="single" w:sz="4" w:space="0" w:color="auto"/>
              <w:right w:val="nil"/>
            </w:tcBorders>
          </w:tcPr>
          <w:p w14:paraId="3E277779" w14:textId="77777777" w:rsidR="00D5545A" w:rsidRPr="00F8785C" w:rsidRDefault="00D5545A" w:rsidP="00B11153">
            <w:pPr>
              <w:keepNext/>
              <w:spacing w:after="120"/>
              <w:rPr>
                <w:b/>
                <w:i/>
                <w:color w:val="000000"/>
              </w:rPr>
            </w:pPr>
            <w:r w:rsidRPr="00F8785C">
              <w:rPr>
                <w:b/>
                <w:i/>
                <w:color w:val="000000"/>
              </w:rPr>
              <w:t>Contexte/motif:</w:t>
            </w:r>
          </w:p>
          <w:p w14:paraId="0B1F2B69" w14:textId="3FF91B07" w:rsidR="00D5545A" w:rsidRPr="00F8785C" w:rsidRDefault="00D5545A" w:rsidP="00B11153">
            <w:pPr>
              <w:keepNext/>
              <w:spacing w:after="120"/>
              <w:rPr>
                <w:bCs/>
                <w:iCs/>
              </w:rPr>
            </w:pPr>
            <w:r w:rsidRPr="00F8785C">
              <w:rPr>
                <w:bCs/>
                <w:iCs/>
              </w:rPr>
              <w:t xml:space="preserve">Le service d'exploration de la Terre par satellite (active) est principalement utilisé pour les capteurs actifs spatioportés, y compris les radars à synthèse d'ouverture (SAR), les altimètres, les diffusiomètres, les radars de mesure des précipitations et les radars de profilage des nuages. Parmi ces applications, les radars SAR sont les capteurs spatioportés les plus couramment utilisés. </w:t>
            </w:r>
            <w:r w:rsidRPr="00F8785C">
              <w:rPr>
                <w:rFonts w:eastAsiaTheme="minorEastAsia"/>
                <w:lang w:eastAsia="zh-CN"/>
              </w:rPr>
              <w:t>La CMR-07 et la CMR-15 ont étendu successivement les attributions au service d'exploration de la Terre par satellite (active), de la bande de fréquences 9 500-9 800 MHz à la bande de fréquences 9 200-10 400 MHz, qui est utilisée en partage avec le service de radiorepérage, y</w:t>
            </w:r>
            <w:r w:rsidR="00A17DE9">
              <w:rPr>
                <w:rFonts w:eastAsiaTheme="minorEastAsia"/>
                <w:lang w:eastAsia="zh-CN"/>
              </w:rPr>
              <w:t> </w:t>
            </w:r>
            <w:r w:rsidRPr="00F8785C">
              <w:rPr>
                <w:rFonts w:eastAsiaTheme="minorEastAsia"/>
                <w:lang w:eastAsia="zh-CN"/>
              </w:rPr>
              <w:t xml:space="preserve">compris les services de radiolocalisation et de radionavigation. </w:t>
            </w:r>
            <w:r w:rsidRPr="00F8785C">
              <w:rPr>
                <w:rFonts w:eastAsiaTheme="minorEastAsia"/>
                <w:iCs/>
                <w:lang w:eastAsia="zh-CN"/>
              </w:rPr>
              <w:t xml:space="preserve">Ces dernières années, notamment pendant les cycles d'études ayant précédé la CMR-07 et la CMR-15, l'UIT-R a mené de </w:t>
            </w:r>
            <w:r w:rsidRPr="00F8785C">
              <w:rPr>
                <w:rFonts w:eastAsiaTheme="minorEastAsia"/>
                <w:iCs/>
                <w:lang w:eastAsia="zh-CN"/>
              </w:rPr>
              <w:lastRenderedPageBreak/>
              <w:t xml:space="preserve">nombreuses études concernant le partage entre le service d'exploration de la Terre par satellite (active) et le service de radiorepérage. Compte tenu des hypothèses et des paramètres système utilisés à l'époque, les études de l'UIT-R ont permis de conclure que les radars subiraient certes des niveaux de brouillage causés par les radars SAR spatioportés dépassant sensiblement la valeur de seuil du rapport </w:t>
            </w:r>
            <w:r w:rsidRPr="00F8785C">
              <w:rPr>
                <w:rFonts w:eastAsiaTheme="minorEastAsia"/>
                <w:i/>
                <w:lang w:eastAsia="zh-CN"/>
              </w:rPr>
              <w:t>I</w:t>
            </w:r>
            <w:r w:rsidRPr="00F8785C">
              <w:rPr>
                <w:rFonts w:eastAsiaTheme="minorEastAsia"/>
                <w:iCs/>
                <w:lang w:eastAsia="zh-CN"/>
              </w:rPr>
              <w:t>/</w:t>
            </w:r>
            <w:r w:rsidRPr="00F8785C">
              <w:rPr>
                <w:rFonts w:eastAsiaTheme="minorEastAsia"/>
                <w:i/>
                <w:lang w:eastAsia="zh-CN"/>
              </w:rPr>
              <w:t>N</w:t>
            </w:r>
            <w:r w:rsidRPr="00F8785C">
              <w:rPr>
                <w:rFonts w:eastAsiaTheme="minorEastAsia"/>
                <w:iCs/>
                <w:lang w:eastAsia="zh-CN"/>
              </w:rPr>
              <w:t xml:space="preserve">, à savoir </w:t>
            </w:r>
            <w:r w:rsidRPr="00F8785C">
              <w:rPr>
                <w:rFonts w:eastAsiaTheme="minorEastAsia"/>
                <w:i/>
                <w:lang w:eastAsia="zh-CN"/>
              </w:rPr>
              <w:t>I</w:t>
            </w:r>
            <w:r w:rsidRPr="00F8785C">
              <w:rPr>
                <w:rFonts w:eastAsiaTheme="minorEastAsia"/>
                <w:iCs/>
                <w:lang w:eastAsia="zh-CN"/>
              </w:rPr>
              <w:t>/</w:t>
            </w:r>
            <w:r w:rsidRPr="00F8785C">
              <w:rPr>
                <w:rFonts w:eastAsiaTheme="minorEastAsia"/>
                <w:i/>
                <w:lang w:eastAsia="zh-CN"/>
              </w:rPr>
              <w:t>N</w:t>
            </w:r>
            <w:r w:rsidRPr="00F8785C">
              <w:rPr>
                <w:rFonts w:eastAsiaTheme="minorEastAsia"/>
                <w:iCs/>
                <w:lang w:eastAsia="zh-CN"/>
              </w:rPr>
              <w:t xml:space="preserve"> = –6 dB, mais que le pourcentage de temps pendant lequel les brouillages se produiraient serait faible. </w:t>
            </w:r>
            <w:r w:rsidRPr="00F8785C">
              <w:rPr>
                <w:rFonts w:eastAsiaTheme="minorEastAsia"/>
                <w:lang w:eastAsia="zh-CN"/>
              </w:rPr>
              <w:t>Toutefois, ces études présentent certaines lacunes. Premièrement, les études n'indiquent pas le pourcentage de temps à respecter pour faire en sorte que le service de radiorepérage ne soit pas affecté par les brouillages par impulsions, tels que les émissions des radars SAR spatioportés. Deuxièmement, la conclusion était fondée sur les hypothèses selon lesquelles le nombre prévu de satellites SAR réellement exploités serait très limité, ce qui n'est pas le cas actuellement.</w:t>
            </w:r>
          </w:p>
          <w:p w14:paraId="45D11570" w14:textId="384C5379" w:rsidR="00D5545A" w:rsidRPr="00F8785C" w:rsidRDefault="00D5545A" w:rsidP="00B11153">
            <w:pPr>
              <w:keepNext/>
              <w:spacing w:after="120"/>
              <w:rPr>
                <w:bCs/>
                <w:iCs/>
              </w:rPr>
            </w:pPr>
            <w:r w:rsidRPr="00F8785C">
              <w:rPr>
                <w:rFonts w:eastAsiaTheme="minorEastAsia"/>
                <w:lang w:eastAsia="zh-CN"/>
              </w:rPr>
              <w:t>Ces dernières années, en raison des avancées technologiques et de la réduction des coûts de construction, de plus en plus de satellites SAR ont été lancés et exploités par de nombreux pays. D'après des renseignements rendus publics, le nombre de satellites SAR actuels et futurs exploités dans la bande X a déjà dépassé 300, ce qui est nettement</w:t>
            </w:r>
            <w:r w:rsidRPr="00F8785C" w:rsidDel="005B14E0">
              <w:rPr>
                <w:rFonts w:eastAsiaTheme="minorEastAsia"/>
                <w:lang w:eastAsia="zh-CN"/>
              </w:rPr>
              <w:t xml:space="preserve"> </w:t>
            </w:r>
            <w:r w:rsidRPr="00F8785C">
              <w:rPr>
                <w:rFonts w:eastAsiaTheme="minorEastAsia"/>
                <w:lang w:eastAsia="zh-CN"/>
              </w:rPr>
              <w:t>supérieur aux prévisions des cycles d'études ayant précédé la CMR-07 et la CMR-15. En outre, les paramètres système des satellites SAR ont également évolué ces dernières années par rapport aux cycles d'études précédents. En raison de ces évolutions, il est plus difficile qu'auparavant d'assurer la coexistence entre les satellites SAR et le service de radiorepérage</w:t>
            </w:r>
            <w:r w:rsidR="004E6229">
              <w:rPr>
                <w:rFonts w:eastAsiaTheme="minorEastAsia"/>
                <w:lang w:eastAsia="zh-CN"/>
              </w:rPr>
              <w:t xml:space="preserve">, </w:t>
            </w:r>
            <w:r w:rsidR="00101F7F">
              <w:rPr>
                <w:rFonts w:eastAsiaTheme="minorEastAsia"/>
                <w:lang w:eastAsia="zh-CN"/>
              </w:rPr>
              <w:t xml:space="preserve">ce qui </w:t>
            </w:r>
            <w:r w:rsidR="004E6229">
              <w:rPr>
                <w:rFonts w:eastAsiaTheme="minorEastAsia"/>
                <w:lang w:eastAsia="zh-CN"/>
              </w:rPr>
              <w:t>augment</w:t>
            </w:r>
            <w:r w:rsidR="00101F7F">
              <w:rPr>
                <w:rFonts w:eastAsiaTheme="minorEastAsia"/>
                <w:lang w:eastAsia="zh-CN"/>
              </w:rPr>
              <w:t>e</w:t>
            </w:r>
            <w:r w:rsidR="004E6229">
              <w:rPr>
                <w:rFonts w:eastAsiaTheme="minorEastAsia"/>
                <w:lang w:eastAsia="zh-CN"/>
              </w:rPr>
              <w:t xml:space="preserve"> la probabilité de </w:t>
            </w:r>
            <w:r w:rsidRPr="00F8785C">
              <w:rPr>
                <w:rFonts w:eastAsiaTheme="minorEastAsia"/>
                <w:lang w:eastAsia="zh-CN"/>
              </w:rPr>
              <w:t xml:space="preserve">brouillages </w:t>
            </w:r>
            <w:r w:rsidR="004E6229">
              <w:rPr>
                <w:rFonts w:eastAsiaTheme="minorEastAsia"/>
                <w:lang w:eastAsia="zh-CN"/>
              </w:rPr>
              <w:t xml:space="preserve">mutuels entre les </w:t>
            </w:r>
            <w:r w:rsidRPr="00F8785C">
              <w:rPr>
                <w:rFonts w:eastAsiaTheme="minorEastAsia"/>
                <w:lang w:eastAsia="zh-CN"/>
              </w:rPr>
              <w:t>radars de radiorepérage</w:t>
            </w:r>
            <w:r w:rsidR="004E6229">
              <w:rPr>
                <w:rFonts w:eastAsiaTheme="minorEastAsia"/>
                <w:lang w:eastAsia="zh-CN"/>
              </w:rPr>
              <w:t xml:space="preserve"> et les satellites SAR</w:t>
            </w:r>
            <w:r w:rsidRPr="00F8785C">
              <w:rPr>
                <w:rFonts w:eastAsiaTheme="minorEastAsia"/>
                <w:lang w:eastAsia="zh-CN"/>
              </w:rPr>
              <w:t xml:space="preserve"> </w:t>
            </w:r>
            <w:r w:rsidR="00101F7F">
              <w:rPr>
                <w:rFonts w:eastAsiaTheme="minorEastAsia"/>
                <w:lang w:eastAsia="zh-CN"/>
              </w:rPr>
              <w:t>et pourra poser</w:t>
            </w:r>
            <w:r w:rsidRPr="00F8785C">
              <w:rPr>
                <w:rFonts w:eastAsiaTheme="minorEastAsia"/>
                <w:lang w:eastAsia="zh-CN"/>
              </w:rPr>
              <w:t xml:space="preserve"> à terme un problème important entre les administrations.</w:t>
            </w:r>
          </w:p>
          <w:p w14:paraId="01304FAB" w14:textId="131669BE" w:rsidR="00D5545A" w:rsidRPr="00F8785C" w:rsidRDefault="00D5545A" w:rsidP="00B11153">
            <w:pPr>
              <w:keepNext/>
              <w:spacing w:after="120"/>
              <w:rPr>
                <w:b/>
                <w:iCs/>
              </w:rPr>
            </w:pPr>
            <w:r w:rsidRPr="00F8785C">
              <w:rPr>
                <w:rFonts w:eastAsiaTheme="minorEastAsia"/>
                <w:lang w:eastAsia="zh-CN"/>
              </w:rPr>
              <w:t xml:space="preserve">Par conséquent, il y a lieu de procéder à des études sur les mesures techniques et réglementaires propres à assurer la coexistence entre les </w:t>
            </w:r>
            <w:r w:rsidR="004E6229">
              <w:rPr>
                <w:rFonts w:eastAsiaTheme="minorEastAsia"/>
                <w:lang w:eastAsia="zh-CN"/>
              </w:rPr>
              <w:t>SAR</w:t>
            </w:r>
            <w:r w:rsidRPr="00F8785C">
              <w:rPr>
                <w:rFonts w:eastAsiaTheme="minorEastAsia"/>
                <w:lang w:eastAsia="zh-CN"/>
              </w:rPr>
              <w:t xml:space="preserve"> spatioportés du service d'exploration de la Terre par satellite (active) et le service de radiorepérage dans la bande de fréquences 9</w:t>
            </w:r>
            <w:r w:rsidR="00861A87">
              <w:rPr>
                <w:rFonts w:eastAsiaTheme="minorEastAsia"/>
                <w:lang w:eastAsia="zh-CN"/>
              </w:rPr>
              <w:t> </w:t>
            </w:r>
            <w:r w:rsidRPr="00F8785C">
              <w:rPr>
                <w:rFonts w:eastAsiaTheme="minorEastAsia"/>
                <w:lang w:eastAsia="zh-CN"/>
              </w:rPr>
              <w:t>200-10</w:t>
            </w:r>
            <w:r w:rsidR="00861A87">
              <w:rPr>
                <w:rFonts w:eastAsiaTheme="minorEastAsia"/>
                <w:lang w:eastAsia="zh-CN"/>
              </w:rPr>
              <w:t> </w:t>
            </w:r>
            <w:r w:rsidRPr="00F8785C">
              <w:rPr>
                <w:rFonts w:eastAsiaTheme="minorEastAsia"/>
                <w:lang w:eastAsia="zh-CN"/>
              </w:rPr>
              <w:t>400</w:t>
            </w:r>
            <w:r w:rsidR="00861A87">
              <w:rPr>
                <w:rFonts w:eastAsiaTheme="minorEastAsia"/>
                <w:lang w:eastAsia="zh-CN"/>
              </w:rPr>
              <w:t> </w:t>
            </w:r>
            <w:r w:rsidRPr="00F8785C">
              <w:rPr>
                <w:rFonts w:eastAsiaTheme="minorEastAsia"/>
                <w:lang w:eastAsia="zh-CN"/>
              </w:rPr>
              <w:t>MHz, en vue de faciliter l'exploitation des systèmes des deux services</w:t>
            </w:r>
            <w:r w:rsidRPr="00F8785C">
              <w:rPr>
                <w:bCs/>
                <w:iCs/>
              </w:rPr>
              <w:t>.</w:t>
            </w:r>
          </w:p>
        </w:tc>
      </w:tr>
      <w:tr w:rsidR="00D5545A" w:rsidRPr="00F8785C" w14:paraId="13C6D6E8" w14:textId="77777777" w:rsidTr="00E02B07">
        <w:trPr>
          <w:cantSplit/>
        </w:trPr>
        <w:tc>
          <w:tcPr>
            <w:tcW w:w="9723" w:type="dxa"/>
            <w:gridSpan w:val="2"/>
            <w:tcBorders>
              <w:top w:val="single" w:sz="4" w:space="0" w:color="auto"/>
              <w:left w:val="nil"/>
              <w:bottom w:val="single" w:sz="4" w:space="0" w:color="auto"/>
              <w:right w:val="nil"/>
            </w:tcBorders>
          </w:tcPr>
          <w:p w14:paraId="33DC3F29" w14:textId="77777777" w:rsidR="00D5545A" w:rsidRPr="00F8785C" w:rsidRDefault="00D5545A" w:rsidP="00B11153">
            <w:pPr>
              <w:keepNext/>
              <w:spacing w:after="120"/>
              <w:rPr>
                <w:b/>
                <w:i/>
              </w:rPr>
            </w:pPr>
            <w:r w:rsidRPr="00F8785C">
              <w:rPr>
                <w:b/>
                <w:i/>
              </w:rPr>
              <w:lastRenderedPageBreak/>
              <w:t>Services de radiocommunication concernés</w:t>
            </w:r>
            <w:r w:rsidRPr="00F8785C">
              <w:rPr>
                <w:b/>
                <w:iCs/>
              </w:rPr>
              <w:t>:</w:t>
            </w:r>
          </w:p>
          <w:p w14:paraId="236FD18D" w14:textId="3F717B48" w:rsidR="00D5545A" w:rsidRPr="00F8785C" w:rsidRDefault="00D5545A" w:rsidP="00B11153">
            <w:pPr>
              <w:keepNext/>
              <w:spacing w:after="120"/>
              <w:rPr>
                <w:b/>
                <w:iCs/>
              </w:rPr>
            </w:pPr>
            <w:r w:rsidRPr="00F8785C">
              <w:rPr>
                <w:bCs/>
                <w:iCs/>
              </w:rPr>
              <w:t>Service d'exploration de la Terre par satellite (active), service de radiolocalisation et service de radionavigation</w:t>
            </w:r>
            <w:r w:rsidR="00861A87">
              <w:rPr>
                <w:bCs/>
                <w:iCs/>
              </w:rPr>
              <w:t>.</w:t>
            </w:r>
          </w:p>
        </w:tc>
      </w:tr>
      <w:tr w:rsidR="00D5545A" w:rsidRPr="00F8785C" w14:paraId="3048857B" w14:textId="77777777" w:rsidTr="00E02B07">
        <w:trPr>
          <w:cantSplit/>
        </w:trPr>
        <w:tc>
          <w:tcPr>
            <w:tcW w:w="9723" w:type="dxa"/>
            <w:gridSpan w:val="2"/>
            <w:tcBorders>
              <w:top w:val="single" w:sz="4" w:space="0" w:color="auto"/>
              <w:left w:val="nil"/>
              <w:bottom w:val="single" w:sz="4" w:space="0" w:color="auto"/>
              <w:right w:val="nil"/>
            </w:tcBorders>
          </w:tcPr>
          <w:p w14:paraId="0547D87A" w14:textId="0B963869" w:rsidR="00B44765" w:rsidRPr="00B44765" w:rsidRDefault="00D5545A" w:rsidP="00B11153">
            <w:pPr>
              <w:keepNext/>
              <w:spacing w:after="120"/>
              <w:rPr>
                <w:b/>
                <w:i/>
              </w:rPr>
            </w:pPr>
            <w:r w:rsidRPr="00F8785C">
              <w:rPr>
                <w:b/>
                <w:i/>
              </w:rPr>
              <w:t>Indication des difficultés éventuelles</w:t>
            </w:r>
            <w:r w:rsidRPr="00F8785C">
              <w:rPr>
                <w:b/>
                <w:iCs/>
              </w:rPr>
              <w:t>:</w:t>
            </w:r>
          </w:p>
        </w:tc>
      </w:tr>
      <w:tr w:rsidR="00D5545A" w:rsidRPr="00F8785C" w14:paraId="6D8CCE6F" w14:textId="77777777" w:rsidTr="00E02B07">
        <w:trPr>
          <w:cantSplit/>
        </w:trPr>
        <w:tc>
          <w:tcPr>
            <w:tcW w:w="9723" w:type="dxa"/>
            <w:gridSpan w:val="2"/>
            <w:tcBorders>
              <w:top w:val="single" w:sz="4" w:space="0" w:color="auto"/>
              <w:left w:val="nil"/>
              <w:bottom w:val="single" w:sz="4" w:space="0" w:color="auto"/>
              <w:right w:val="nil"/>
            </w:tcBorders>
          </w:tcPr>
          <w:p w14:paraId="69358C42" w14:textId="77777777" w:rsidR="00D5545A" w:rsidRPr="00F8785C" w:rsidRDefault="00D5545A" w:rsidP="00B11153">
            <w:pPr>
              <w:keepNext/>
              <w:spacing w:after="120"/>
              <w:rPr>
                <w:b/>
                <w:i/>
              </w:rPr>
            </w:pPr>
            <w:r w:rsidRPr="00F8785C">
              <w:rPr>
                <w:b/>
                <w:i/>
              </w:rPr>
              <w:t>Études précédentes ou en cours sur la question</w:t>
            </w:r>
            <w:r w:rsidRPr="00F8785C">
              <w:rPr>
                <w:b/>
                <w:iCs/>
              </w:rPr>
              <w:t>:</w:t>
            </w:r>
          </w:p>
          <w:p w14:paraId="4652B23E" w14:textId="5DE3473C" w:rsidR="00D5545A" w:rsidRPr="00F8785C" w:rsidRDefault="00D5545A" w:rsidP="00B11153">
            <w:pPr>
              <w:keepNext/>
              <w:spacing w:after="120"/>
              <w:rPr>
                <w:b/>
                <w:iCs/>
              </w:rPr>
            </w:pPr>
            <w:r w:rsidRPr="00F8785C">
              <w:rPr>
                <w:bCs/>
                <w:iCs/>
              </w:rPr>
              <w:t>Études menées pendant les cycles d'études ayant précédé la CMR-07 et la CMR-15</w:t>
            </w:r>
            <w:r w:rsidR="00861A87">
              <w:rPr>
                <w:bCs/>
                <w:iCs/>
              </w:rPr>
              <w:t>.</w:t>
            </w:r>
          </w:p>
        </w:tc>
      </w:tr>
      <w:tr w:rsidR="00D5545A" w:rsidRPr="00F8785C" w14:paraId="5C2BE049" w14:textId="77777777" w:rsidTr="00E02B07">
        <w:trPr>
          <w:cantSplit/>
        </w:trPr>
        <w:tc>
          <w:tcPr>
            <w:tcW w:w="4897" w:type="dxa"/>
            <w:tcBorders>
              <w:top w:val="single" w:sz="4" w:space="0" w:color="auto"/>
              <w:left w:val="nil"/>
              <w:bottom w:val="single" w:sz="4" w:space="0" w:color="auto"/>
              <w:right w:val="single" w:sz="4" w:space="0" w:color="auto"/>
            </w:tcBorders>
          </w:tcPr>
          <w:p w14:paraId="4DD87754" w14:textId="77777777" w:rsidR="00D5545A" w:rsidRPr="00F8785C" w:rsidRDefault="00D5545A" w:rsidP="00B11153">
            <w:pPr>
              <w:keepNext/>
              <w:spacing w:after="120"/>
              <w:rPr>
                <w:b/>
                <w:i/>
                <w:color w:val="000000"/>
              </w:rPr>
            </w:pPr>
            <w:r w:rsidRPr="00F8785C">
              <w:rPr>
                <w:b/>
                <w:i/>
                <w:color w:val="000000"/>
              </w:rPr>
              <w:t>Études devant être réalisées par</w:t>
            </w:r>
            <w:r w:rsidRPr="00F8785C">
              <w:rPr>
                <w:b/>
                <w:iCs/>
                <w:color w:val="000000"/>
              </w:rPr>
              <w:t>:</w:t>
            </w:r>
          </w:p>
          <w:p w14:paraId="0466A6DD" w14:textId="7F935F48" w:rsidR="00D5545A" w:rsidRPr="00F8785C" w:rsidRDefault="00D5545A" w:rsidP="00B11153">
            <w:pPr>
              <w:keepNext/>
              <w:spacing w:after="120"/>
              <w:rPr>
                <w:b/>
                <w:iCs/>
                <w:color w:val="000000"/>
              </w:rPr>
            </w:pPr>
            <w:r w:rsidRPr="00F8785C">
              <w:rPr>
                <w:bCs/>
                <w:iCs/>
                <w:color w:val="000000"/>
              </w:rPr>
              <w:t>GT 5B/7C de l'UIT-R en tant que groupe responsable</w:t>
            </w:r>
            <w:r w:rsidR="00861A87">
              <w:rPr>
                <w:bCs/>
                <w:iCs/>
                <w:color w:val="000000"/>
              </w:rPr>
              <w:t>.</w:t>
            </w:r>
          </w:p>
        </w:tc>
        <w:tc>
          <w:tcPr>
            <w:tcW w:w="4826" w:type="dxa"/>
            <w:tcBorders>
              <w:top w:val="single" w:sz="4" w:space="0" w:color="auto"/>
              <w:left w:val="single" w:sz="4" w:space="0" w:color="auto"/>
              <w:bottom w:val="single" w:sz="4" w:space="0" w:color="auto"/>
              <w:right w:val="nil"/>
            </w:tcBorders>
          </w:tcPr>
          <w:p w14:paraId="711C1B7D" w14:textId="77777777" w:rsidR="00D5545A" w:rsidRPr="00F8785C" w:rsidRDefault="00D5545A" w:rsidP="00B11153">
            <w:pPr>
              <w:keepNext/>
              <w:spacing w:after="120"/>
              <w:rPr>
                <w:b/>
                <w:iCs/>
                <w:color w:val="000000"/>
              </w:rPr>
            </w:pPr>
            <w:r w:rsidRPr="00F8785C">
              <w:rPr>
                <w:b/>
                <w:i/>
                <w:color w:val="000000"/>
              </w:rPr>
              <w:t>avec la participation de</w:t>
            </w:r>
            <w:r w:rsidRPr="00F8785C">
              <w:rPr>
                <w:b/>
                <w:iCs/>
                <w:color w:val="000000"/>
              </w:rPr>
              <w:t>:</w:t>
            </w:r>
          </w:p>
          <w:p w14:paraId="5E5774E2" w14:textId="53BB3D19" w:rsidR="00D5545A" w:rsidRPr="00F8785C" w:rsidRDefault="00D5545A" w:rsidP="00B11153">
            <w:pPr>
              <w:keepNext/>
              <w:spacing w:after="120"/>
              <w:rPr>
                <w:b/>
                <w:iCs/>
                <w:color w:val="000000"/>
              </w:rPr>
            </w:pPr>
            <w:r w:rsidRPr="00F8785C">
              <w:rPr>
                <w:bCs/>
                <w:iCs/>
                <w:color w:val="000000"/>
              </w:rPr>
              <w:t>Autres groupes de travail, administrations et Membres de Secteur concernés</w:t>
            </w:r>
            <w:r w:rsidR="00861A87">
              <w:rPr>
                <w:bCs/>
                <w:iCs/>
                <w:color w:val="000000"/>
              </w:rPr>
              <w:t>.</w:t>
            </w:r>
          </w:p>
        </w:tc>
      </w:tr>
      <w:tr w:rsidR="00D5545A" w:rsidRPr="00F8785C" w14:paraId="39C9FB11" w14:textId="77777777" w:rsidTr="00E02B07">
        <w:trPr>
          <w:cantSplit/>
        </w:trPr>
        <w:tc>
          <w:tcPr>
            <w:tcW w:w="9723" w:type="dxa"/>
            <w:gridSpan w:val="2"/>
            <w:tcBorders>
              <w:top w:val="single" w:sz="4" w:space="0" w:color="auto"/>
              <w:left w:val="nil"/>
              <w:bottom w:val="single" w:sz="4" w:space="0" w:color="auto"/>
              <w:right w:val="nil"/>
            </w:tcBorders>
          </w:tcPr>
          <w:p w14:paraId="1A4836B9" w14:textId="77777777" w:rsidR="00D5545A" w:rsidRPr="00F8785C" w:rsidRDefault="00D5545A" w:rsidP="00B11153">
            <w:pPr>
              <w:keepNext/>
              <w:spacing w:after="120"/>
              <w:rPr>
                <w:b/>
                <w:i/>
                <w:color w:val="000000"/>
              </w:rPr>
            </w:pPr>
            <w:r w:rsidRPr="00F8785C">
              <w:rPr>
                <w:b/>
                <w:i/>
                <w:color w:val="000000"/>
              </w:rPr>
              <w:t>Commissions d'études de l'UIT-R concernées</w:t>
            </w:r>
            <w:r w:rsidRPr="0070067C">
              <w:rPr>
                <w:b/>
                <w:iCs/>
                <w:color w:val="000000"/>
              </w:rPr>
              <w:t>:</w:t>
            </w:r>
          </w:p>
          <w:p w14:paraId="5F6827C1" w14:textId="77777777" w:rsidR="00D5545A" w:rsidRPr="00F8785C" w:rsidRDefault="00D5545A" w:rsidP="00B11153">
            <w:pPr>
              <w:keepNext/>
              <w:spacing w:after="120"/>
              <w:rPr>
                <w:b/>
                <w:iCs/>
              </w:rPr>
            </w:pPr>
            <w:r w:rsidRPr="00F8785C">
              <w:rPr>
                <w:bCs/>
                <w:iCs/>
              </w:rPr>
              <w:t xml:space="preserve">CE </w:t>
            </w:r>
            <w:r w:rsidRPr="00F8785C">
              <w:rPr>
                <w:rFonts w:eastAsia="SimSun"/>
                <w:bCs/>
                <w:iCs/>
                <w:lang w:eastAsia="zh-CN"/>
              </w:rPr>
              <w:t xml:space="preserve">5, </w:t>
            </w:r>
            <w:r w:rsidRPr="00F8785C">
              <w:rPr>
                <w:bCs/>
                <w:iCs/>
              </w:rPr>
              <w:t>CE 7</w:t>
            </w:r>
          </w:p>
        </w:tc>
      </w:tr>
      <w:tr w:rsidR="00D5545A" w:rsidRPr="00F8785C" w14:paraId="01B7DBBE" w14:textId="77777777" w:rsidTr="00E02B07">
        <w:trPr>
          <w:cantSplit/>
        </w:trPr>
        <w:tc>
          <w:tcPr>
            <w:tcW w:w="9723" w:type="dxa"/>
            <w:gridSpan w:val="2"/>
            <w:tcBorders>
              <w:top w:val="single" w:sz="4" w:space="0" w:color="auto"/>
              <w:left w:val="nil"/>
              <w:bottom w:val="single" w:sz="4" w:space="0" w:color="auto"/>
              <w:right w:val="nil"/>
            </w:tcBorders>
          </w:tcPr>
          <w:p w14:paraId="14B1A0DB" w14:textId="77777777" w:rsidR="00D5545A" w:rsidRPr="00F8785C" w:rsidRDefault="00D5545A" w:rsidP="00B11153">
            <w:pPr>
              <w:keepNext/>
              <w:spacing w:after="120"/>
              <w:rPr>
                <w:b/>
                <w:i/>
              </w:rPr>
            </w:pPr>
            <w:r w:rsidRPr="00F8785C">
              <w:rPr>
                <w:b/>
                <w:i/>
              </w:rPr>
              <w:t>Répercussions au niveau des ressources de l'UIT, y compris incidences financières</w:t>
            </w:r>
            <w:r w:rsidRPr="00F8785C">
              <w:rPr>
                <w:b/>
                <w:i/>
              </w:rPr>
              <w:br/>
              <w:t>(voir le numéro 126 de la Convention)</w:t>
            </w:r>
            <w:r w:rsidRPr="00F8785C">
              <w:rPr>
                <w:b/>
                <w:iCs/>
              </w:rPr>
              <w:t>:</w:t>
            </w:r>
          </w:p>
          <w:p w14:paraId="7D74B7B0" w14:textId="77777777" w:rsidR="00D5545A" w:rsidRPr="00F8785C" w:rsidRDefault="00D5545A" w:rsidP="00B11153">
            <w:pPr>
              <w:keepNext/>
              <w:spacing w:after="120"/>
              <w:rPr>
                <w:b/>
                <w:iCs/>
              </w:rPr>
            </w:pPr>
            <w:r w:rsidRPr="00F8785C">
              <w:rPr>
                <w:bCs/>
                <w:iCs/>
              </w:rPr>
              <w:t>Aucune répercussion financière directe n'a été mise en évidence à ce jour.</w:t>
            </w:r>
          </w:p>
        </w:tc>
      </w:tr>
      <w:tr w:rsidR="00D5545A" w:rsidRPr="00F8785C" w14:paraId="12DEDA92" w14:textId="77777777" w:rsidTr="00DD4AFE">
        <w:trPr>
          <w:cantSplit/>
        </w:trPr>
        <w:tc>
          <w:tcPr>
            <w:tcW w:w="4897" w:type="dxa"/>
            <w:tcBorders>
              <w:top w:val="single" w:sz="4" w:space="0" w:color="auto"/>
              <w:left w:val="nil"/>
              <w:bottom w:val="single" w:sz="4" w:space="0" w:color="auto"/>
              <w:right w:val="nil"/>
            </w:tcBorders>
          </w:tcPr>
          <w:p w14:paraId="0575C4CB" w14:textId="70F6762D" w:rsidR="00D5545A" w:rsidRPr="00F8785C" w:rsidRDefault="00D5545A" w:rsidP="00B11153">
            <w:pPr>
              <w:keepNext/>
              <w:spacing w:after="120"/>
              <w:rPr>
                <w:b/>
                <w:iCs/>
              </w:rPr>
            </w:pPr>
            <w:r w:rsidRPr="00F8785C">
              <w:rPr>
                <w:b/>
                <w:i/>
              </w:rPr>
              <w:lastRenderedPageBreak/>
              <w:t>Proposition régionale commune</w:t>
            </w:r>
            <w:r w:rsidRPr="00F8785C">
              <w:rPr>
                <w:b/>
                <w:iCs/>
              </w:rPr>
              <w:t>:</w:t>
            </w:r>
            <w:r w:rsidR="00861A87">
              <w:rPr>
                <w:bCs/>
                <w:iCs/>
              </w:rPr>
              <w:br/>
            </w:r>
            <w:r w:rsidRPr="00F8785C">
              <w:rPr>
                <w:bCs/>
                <w:iCs/>
              </w:rPr>
              <w:t>À déterminer</w:t>
            </w:r>
            <w:r w:rsidR="00861A87">
              <w:rPr>
                <w:bCs/>
                <w:iCs/>
              </w:rPr>
              <w:t>.</w:t>
            </w:r>
          </w:p>
        </w:tc>
        <w:tc>
          <w:tcPr>
            <w:tcW w:w="4826" w:type="dxa"/>
            <w:tcBorders>
              <w:top w:val="single" w:sz="4" w:space="0" w:color="auto"/>
              <w:left w:val="nil"/>
              <w:bottom w:val="single" w:sz="4" w:space="0" w:color="auto"/>
              <w:right w:val="nil"/>
            </w:tcBorders>
          </w:tcPr>
          <w:p w14:paraId="120B5F24" w14:textId="3A208C24" w:rsidR="00D5545A" w:rsidRPr="00F8785C" w:rsidRDefault="00D5545A" w:rsidP="00B11153">
            <w:pPr>
              <w:keepNext/>
              <w:spacing w:after="120"/>
              <w:rPr>
                <w:b/>
                <w:iCs/>
              </w:rPr>
            </w:pPr>
            <w:r w:rsidRPr="00F8785C">
              <w:rPr>
                <w:b/>
                <w:i/>
              </w:rPr>
              <w:t>Proposition soumise par plusieurs pays</w:t>
            </w:r>
            <w:r w:rsidRPr="00F8785C">
              <w:rPr>
                <w:b/>
                <w:iCs/>
              </w:rPr>
              <w:t>:</w:t>
            </w:r>
            <w:r w:rsidRPr="00F8785C">
              <w:rPr>
                <w:bCs/>
                <w:iCs/>
              </w:rPr>
              <w:t xml:space="preserve"> À déterminer</w:t>
            </w:r>
            <w:r w:rsidR="00861A87">
              <w:rPr>
                <w:bCs/>
                <w:iCs/>
              </w:rPr>
              <w:t>.</w:t>
            </w:r>
          </w:p>
          <w:p w14:paraId="594DA5CF" w14:textId="0DAD1B38" w:rsidR="00D5545A" w:rsidRPr="00F8785C" w:rsidRDefault="00D5545A" w:rsidP="00B11153">
            <w:pPr>
              <w:keepNext/>
              <w:spacing w:after="120"/>
              <w:rPr>
                <w:b/>
                <w:i/>
              </w:rPr>
            </w:pPr>
            <w:r w:rsidRPr="00F8785C">
              <w:rPr>
                <w:b/>
                <w:i/>
              </w:rPr>
              <w:t>Nombre de pays</w:t>
            </w:r>
            <w:r w:rsidRPr="00F8785C">
              <w:rPr>
                <w:bCs/>
                <w:iCs/>
              </w:rPr>
              <w:t>: À déterminer</w:t>
            </w:r>
            <w:r w:rsidR="00861A87">
              <w:rPr>
                <w:bCs/>
                <w:iCs/>
              </w:rPr>
              <w:t>.</w:t>
            </w:r>
          </w:p>
        </w:tc>
      </w:tr>
      <w:tr w:rsidR="00D5545A" w:rsidRPr="00F8785C" w14:paraId="1576F46E" w14:textId="77777777" w:rsidTr="00E02B07">
        <w:trPr>
          <w:cantSplit/>
        </w:trPr>
        <w:tc>
          <w:tcPr>
            <w:tcW w:w="9723" w:type="dxa"/>
            <w:gridSpan w:val="2"/>
            <w:tcBorders>
              <w:top w:val="single" w:sz="4" w:space="0" w:color="auto"/>
              <w:left w:val="nil"/>
              <w:bottom w:val="nil"/>
              <w:right w:val="nil"/>
            </w:tcBorders>
          </w:tcPr>
          <w:p w14:paraId="0A73BF1A" w14:textId="77777777" w:rsidR="00D5545A" w:rsidRPr="00F8785C" w:rsidRDefault="00D5545A" w:rsidP="00B11153">
            <w:pPr>
              <w:spacing w:after="120"/>
              <w:rPr>
                <w:b/>
                <w:i/>
              </w:rPr>
            </w:pPr>
            <w:r w:rsidRPr="00F8785C">
              <w:rPr>
                <w:b/>
                <w:i/>
              </w:rPr>
              <w:t>Observations</w:t>
            </w:r>
          </w:p>
        </w:tc>
      </w:tr>
    </w:tbl>
    <w:p w14:paraId="640BC062" w14:textId="77777777" w:rsidR="00547C62" w:rsidRDefault="00547C62">
      <w:pPr>
        <w:jc w:val="center"/>
      </w:pPr>
      <w:r>
        <w:t>______________</w:t>
      </w:r>
    </w:p>
    <w:sectPr w:rsidR="00547C62">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9DA3" w14:textId="77777777" w:rsidR="00CB685A" w:rsidRDefault="00CB685A">
      <w:r>
        <w:separator/>
      </w:r>
    </w:p>
  </w:endnote>
  <w:endnote w:type="continuationSeparator" w:id="0">
    <w:p w14:paraId="1F4E3AF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12F9" w14:textId="74A733A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A1734">
      <w:rPr>
        <w:noProof/>
      </w:rPr>
      <w:t>30.10.23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3DD" w14:textId="4F692F1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364AB">
      <w:rPr>
        <w:lang w:val="en-US"/>
      </w:rPr>
      <w:t>P:\FRA\ITU-R\CONF-R\CMR23\000\062ADD27ADD13F.docx</w:t>
    </w:r>
    <w:r>
      <w:fldChar w:fldCharType="end"/>
    </w:r>
    <w:r w:rsidR="0070067C">
      <w:t xml:space="preserve"> </w:t>
    </w:r>
    <w:r w:rsidR="00465135" w:rsidRPr="00B11153">
      <w:rPr>
        <w:lang w:val="en-GB"/>
      </w:rPr>
      <w:t>(529006)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151B" w14:textId="58A772F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364AB">
      <w:rPr>
        <w:lang w:val="en-US"/>
      </w:rPr>
      <w:t>P:\FRA\ITU-R\CONF-R\CMR23\000\062ADD27ADD13F.docx</w:t>
    </w:r>
    <w:r>
      <w:fldChar w:fldCharType="end"/>
    </w:r>
    <w:r w:rsidR="000E7983">
      <w:t xml:space="preserve"> </w:t>
    </w:r>
    <w:r w:rsidR="00465135" w:rsidRPr="00B11153">
      <w:rPr>
        <w:lang w:val="en-GB"/>
      </w:rPr>
      <w:t>(529006)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A1CA" w14:textId="77777777" w:rsidR="00CB685A" w:rsidRDefault="00CB685A">
      <w:r>
        <w:rPr>
          <w:b/>
        </w:rPr>
        <w:t>_______________</w:t>
      </w:r>
    </w:p>
  </w:footnote>
  <w:footnote w:type="continuationSeparator" w:id="0">
    <w:p w14:paraId="1A79BEC1"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B96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E5FD13E" w14:textId="77777777" w:rsidR="004F1F8E" w:rsidRDefault="00225CF2" w:rsidP="00FD7AA3">
    <w:pPr>
      <w:pStyle w:val="Header"/>
    </w:pPr>
    <w:r>
      <w:t>WRC</w:t>
    </w:r>
    <w:r w:rsidR="00D3426F">
      <w:t>23</w:t>
    </w:r>
    <w:r w:rsidR="004F1F8E">
      <w:t>/</w:t>
    </w:r>
    <w:r w:rsidR="006A4B45">
      <w:t>62(Add.27)(Add.13)-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2C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9E8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83F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96DB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984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E6C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A4E6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2667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249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56A7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68449641">
    <w:abstractNumId w:val="8"/>
  </w:num>
  <w:num w:numId="2" w16cid:durableId="36270806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2226796">
    <w:abstractNumId w:val="9"/>
  </w:num>
  <w:num w:numId="4" w16cid:durableId="1740051546">
    <w:abstractNumId w:val="7"/>
  </w:num>
  <w:num w:numId="5" w16cid:durableId="774982874">
    <w:abstractNumId w:val="6"/>
  </w:num>
  <w:num w:numId="6" w16cid:durableId="89400885">
    <w:abstractNumId w:val="5"/>
  </w:num>
  <w:num w:numId="7" w16cid:durableId="188379970">
    <w:abstractNumId w:val="4"/>
  </w:num>
  <w:num w:numId="8" w16cid:durableId="1980840877">
    <w:abstractNumId w:val="8"/>
  </w:num>
  <w:num w:numId="9" w16cid:durableId="982466269">
    <w:abstractNumId w:val="3"/>
  </w:num>
  <w:num w:numId="10" w16cid:durableId="1949921156">
    <w:abstractNumId w:val="2"/>
  </w:num>
  <w:num w:numId="11" w16cid:durableId="437986379">
    <w:abstractNumId w:val="1"/>
  </w:num>
  <w:num w:numId="12" w16cid:durableId="365957819">
    <w:abstractNumId w:val="0"/>
  </w:num>
  <w:num w:numId="13" w16cid:durableId="1306082992">
    <w:abstractNumId w:val="9"/>
  </w:num>
  <w:num w:numId="14" w16cid:durableId="988443977">
    <w:abstractNumId w:val="7"/>
  </w:num>
  <w:num w:numId="15" w16cid:durableId="1193686164">
    <w:abstractNumId w:val="6"/>
  </w:num>
  <w:num w:numId="16" w16cid:durableId="1719086173">
    <w:abstractNumId w:val="5"/>
  </w:num>
  <w:num w:numId="17" w16cid:durableId="495460689">
    <w:abstractNumId w:val="4"/>
  </w:num>
  <w:num w:numId="18" w16cid:durableId="965543927">
    <w:abstractNumId w:val="8"/>
  </w:num>
  <w:num w:numId="19" w16cid:durableId="268584891">
    <w:abstractNumId w:val="3"/>
  </w:num>
  <w:num w:numId="20" w16cid:durableId="1317806213">
    <w:abstractNumId w:val="2"/>
  </w:num>
  <w:num w:numId="21" w16cid:durableId="238029986">
    <w:abstractNumId w:val="1"/>
  </w:num>
  <w:num w:numId="22" w16cid:durableId="174753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7DAB"/>
    <w:rsid w:val="000E7983"/>
    <w:rsid w:val="000F11BC"/>
    <w:rsid w:val="00101F7F"/>
    <w:rsid w:val="001167B9"/>
    <w:rsid w:val="001267A0"/>
    <w:rsid w:val="001364AB"/>
    <w:rsid w:val="00136768"/>
    <w:rsid w:val="0015203F"/>
    <w:rsid w:val="00160C64"/>
    <w:rsid w:val="0018169B"/>
    <w:rsid w:val="0019352B"/>
    <w:rsid w:val="001960D0"/>
    <w:rsid w:val="001A11F6"/>
    <w:rsid w:val="001A1734"/>
    <w:rsid w:val="001E5B9F"/>
    <w:rsid w:val="001F17E8"/>
    <w:rsid w:val="00204306"/>
    <w:rsid w:val="00225CF2"/>
    <w:rsid w:val="00232FD2"/>
    <w:rsid w:val="0026554E"/>
    <w:rsid w:val="002A4622"/>
    <w:rsid w:val="002A6F8F"/>
    <w:rsid w:val="002B17E5"/>
    <w:rsid w:val="002C0EBF"/>
    <w:rsid w:val="002C28A4"/>
    <w:rsid w:val="002D7E0A"/>
    <w:rsid w:val="002E05D1"/>
    <w:rsid w:val="002E2C3D"/>
    <w:rsid w:val="00301B90"/>
    <w:rsid w:val="00315AFE"/>
    <w:rsid w:val="00334426"/>
    <w:rsid w:val="003411F6"/>
    <w:rsid w:val="003606A6"/>
    <w:rsid w:val="0036650C"/>
    <w:rsid w:val="00393ACD"/>
    <w:rsid w:val="003A583E"/>
    <w:rsid w:val="003B69BE"/>
    <w:rsid w:val="003E112B"/>
    <w:rsid w:val="003E1D1C"/>
    <w:rsid w:val="003E7B05"/>
    <w:rsid w:val="003F3719"/>
    <w:rsid w:val="003F6F2D"/>
    <w:rsid w:val="00465135"/>
    <w:rsid w:val="00466211"/>
    <w:rsid w:val="00483196"/>
    <w:rsid w:val="004834A9"/>
    <w:rsid w:val="004D01FC"/>
    <w:rsid w:val="004D327F"/>
    <w:rsid w:val="004E28C3"/>
    <w:rsid w:val="004E6229"/>
    <w:rsid w:val="004F1F8E"/>
    <w:rsid w:val="00512A32"/>
    <w:rsid w:val="005343DA"/>
    <w:rsid w:val="00547C62"/>
    <w:rsid w:val="00560874"/>
    <w:rsid w:val="00586CF2"/>
    <w:rsid w:val="005A7C75"/>
    <w:rsid w:val="005C3768"/>
    <w:rsid w:val="005C6C3F"/>
    <w:rsid w:val="00613635"/>
    <w:rsid w:val="0062093D"/>
    <w:rsid w:val="00637ECF"/>
    <w:rsid w:val="00647B59"/>
    <w:rsid w:val="006543C9"/>
    <w:rsid w:val="006822F3"/>
    <w:rsid w:val="00690C7B"/>
    <w:rsid w:val="006A4B45"/>
    <w:rsid w:val="006C6079"/>
    <w:rsid w:val="006D4724"/>
    <w:rsid w:val="006F5C24"/>
    <w:rsid w:val="006F5FA2"/>
    <w:rsid w:val="0070067C"/>
    <w:rsid w:val="0070076C"/>
    <w:rsid w:val="00701BAE"/>
    <w:rsid w:val="00721F04"/>
    <w:rsid w:val="00730E95"/>
    <w:rsid w:val="007426B9"/>
    <w:rsid w:val="00764342"/>
    <w:rsid w:val="00774362"/>
    <w:rsid w:val="00786598"/>
    <w:rsid w:val="00790C74"/>
    <w:rsid w:val="007A04E8"/>
    <w:rsid w:val="007B2C34"/>
    <w:rsid w:val="007B6F56"/>
    <w:rsid w:val="007F282B"/>
    <w:rsid w:val="00830086"/>
    <w:rsid w:val="00851625"/>
    <w:rsid w:val="00861A87"/>
    <w:rsid w:val="00863C0A"/>
    <w:rsid w:val="008A3120"/>
    <w:rsid w:val="008A4B97"/>
    <w:rsid w:val="008C5B8E"/>
    <w:rsid w:val="008C5DD5"/>
    <w:rsid w:val="008C7123"/>
    <w:rsid w:val="008D41BE"/>
    <w:rsid w:val="008D58D3"/>
    <w:rsid w:val="008E3BC9"/>
    <w:rsid w:val="008F17AC"/>
    <w:rsid w:val="00923064"/>
    <w:rsid w:val="00930FFD"/>
    <w:rsid w:val="00936D25"/>
    <w:rsid w:val="00941EA5"/>
    <w:rsid w:val="00964700"/>
    <w:rsid w:val="00966C16"/>
    <w:rsid w:val="0098732F"/>
    <w:rsid w:val="009A045F"/>
    <w:rsid w:val="009A6A2B"/>
    <w:rsid w:val="009C7E7C"/>
    <w:rsid w:val="00A00473"/>
    <w:rsid w:val="00A03C9B"/>
    <w:rsid w:val="00A04247"/>
    <w:rsid w:val="00A17DE9"/>
    <w:rsid w:val="00A37105"/>
    <w:rsid w:val="00A606C3"/>
    <w:rsid w:val="00A83B09"/>
    <w:rsid w:val="00A84541"/>
    <w:rsid w:val="00AE36A0"/>
    <w:rsid w:val="00B00294"/>
    <w:rsid w:val="00B11153"/>
    <w:rsid w:val="00B3749C"/>
    <w:rsid w:val="00B44765"/>
    <w:rsid w:val="00B64FD0"/>
    <w:rsid w:val="00BA5BD0"/>
    <w:rsid w:val="00BB1D82"/>
    <w:rsid w:val="00BC217E"/>
    <w:rsid w:val="00BD4133"/>
    <w:rsid w:val="00BD51C5"/>
    <w:rsid w:val="00BF26E7"/>
    <w:rsid w:val="00C108B6"/>
    <w:rsid w:val="00C1305F"/>
    <w:rsid w:val="00C53FCA"/>
    <w:rsid w:val="00C71DEB"/>
    <w:rsid w:val="00C76BAF"/>
    <w:rsid w:val="00C814B9"/>
    <w:rsid w:val="00CB685A"/>
    <w:rsid w:val="00CD516F"/>
    <w:rsid w:val="00D119A7"/>
    <w:rsid w:val="00D25FBA"/>
    <w:rsid w:val="00D32B28"/>
    <w:rsid w:val="00D3426F"/>
    <w:rsid w:val="00D42954"/>
    <w:rsid w:val="00D5545A"/>
    <w:rsid w:val="00D66EAC"/>
    <w:rsid w:val="00D730DF"/>
    <w:rsid w:val="00D772F0"/>
    <w:rsid w:val="00D77BDC"/>
    <w:rsid w:val="00DB3EF0"/>
    <w:rsid w:val="00DC402B"/>
    <w:rsid w:val="00DD4AFE"/>
    <w:rsid w:val="00DE0932"/>
    <w:rsid w:val="00DF15E8"/>
    <w:rsid w:val="00E03A27"/>
    <w:rsid w:val="00E049F1"/>
    <w:rsid w:val="00E32D24"/>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98B06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qFormat/>
    <w:rsid w:val="00334426"/>
    <w:rPr>
      <w:rFonts w:ascii="Times New Roman" w:hAnsi="Times New Roman"/>
      <w:sz w:val="24"/>
      <w:lang w:val="fr-FR" w:eastAsia="en-US"/>
    </w:rPr>
  </w:style>
  <w:style w:type="character" w:customStyle="1" w:styleId="NoteChar">
    <w:name w:val="Note Char"/>
    <w:basedOn w:val="DefaultParagraphFont"/>
    <w:link w:val="Note"/>
    <w:rsid w:val="00136768"/>
    <w:rPr>
      <w:rFonts w:ascii="Times New Roman" w:hAnsi="Times New Roman"/>
      <w:sz w:val="24"/>
      <w:lang w:val="fr-FR" w:eastAsia="en-US"/>
    </w:rPr>
  </w:style>
  <w:style w:type="character" w:customStyle="1" w:styleId="CallChar">
    <w:name w:val="Call Char"/>
    <w:basedOn w:val="DefaultParagraphFont"/>
    <w:link w:val="Call"/>
    <w:qFormat/>
    <w:locked/>
    <w:rsid w:val="00136768"/>
    <w:rPr>
      <w:rFonts w:ascii="Times New Roman" w:hAnsi="Times New Roman"/>
      <w:i/>
      <w:sz w:val="24"/>
      <w:lang w:val="fr-FR" w:eastAsia="en-US"/>
    </w:rPr>
  </w:style>
  <w:style w:type="paragraph" w:styleId="Revision">
    <w:name w:val="Revision"/>
    <w:hidden/>
    <w:uiPriority w:val="99"/>
    <w:semiHidden/>
    <w:rsid w:val="00101F7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53508">
      <w:bodyDiv w:val="1"/>
      <w:marLeft w:val="0"/>
      <w:marRight w:val="0"/>
      <w:marTop w:val="0"/>
      <w:marBottom w:val="0"/>
      <w:divBdr>
        <w:top w:val="none" w:sz="0" w:space="0" w:color="auto"/>
        <w:left w:val="none" w:sz="0" w:space="0" w:color="auto"/>
        <w:bottom w:val="none" w:sz="0" w:space="0" w:color="auto"/>
        <w:right w:val="none" w:sz="0" w:space="0" w:color="auto"/>
      </w:divBdr>
    </w:div>
    <w:div w:id="6829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R23-WRC23-C-0062!A27-A13!MSW-F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3D2F0-E886-4B67-8E88-F0E1E1DD4415}">
  <ds:schemaRefs>
    <ds:schemaRef ds:uri="http://schemas.microsoft.com/sharepoint/events"/>
  </ds:schemaRefs>
</ds:datastoreItem>
</file>

<file path=customXml/itemProps2.xml><?xml version="1.0" encoding="utf-8"?>
<ds:datastoreItem xmlns:ds="http://schemas.openxmlformats.org/officeDocument/2006/customXml" ds:itemID="{E67117DD-588A-4E94-9F4B-7EED874ACA5D}">
  <ds:schemaRefs>
    <ds:schemaRef ds:uri="32a1a8c5-2265-4ebc-b7a0-2071e2c5c9bb"/>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69A0386-4EA2-4161-9211-FE5F195D4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1939</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R23-WRC23-C-0062!A27-A13!MSW-F</vt:lpstr>
    </vt:vector>
  </TitlesOfParts>
  <Manager>Secrétariat général - Pool</Manager>
  <Company>Union internationale des télécommunications (UIT)</Company>
  <LinksUpToDate>false</LinksUpToDate>
  <CharactersWithSpaces>12761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R23-WRC23-C-0062!A27-A13!MSW-F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2023-10-25T05:55:00Z</dcterms:created>
  <dcterms:modified xsi:type="dcterms:W3CDTF">2023-10-30T09:34:00Z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