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E3D0D" w14:paraId="0AC55B70" w14:textId="77777777" w:rsidTr="00C1305F">
        <w:trPr>
          <w:cantSplit/>
        </w:trPr>
        <w:tc>
          <w:tcPr>
            <w:tcW w:w="1418" w:type="dxa"/>
            <w:vAlign w:val="center"/>
          </w:tcPr>
          <w:p w14:paraId="3C49E8FF" w14:textId="77777777" w:rsidR="00C1305F" w:rsidRPr="00EE3D0D" w:rsidRDefault="00C1305F" w:rsidP="00FA044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E3D0D">
              <w:rPr>
                <w:lang w:eastAsia="fr-FR"/>
              </w:rPr>
              <w:drawing>
                <wp:inline distT="0" distB="0" distL="0" distR="0" wp14:anchorId="6DDD4693" wp14:editId="5CE96D3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C4BA9" w14:textId="3B80EC5C" w:rsidR="00C1305F" w:rsidRPr="00EE3D0D" w:rsidRDefault="002B40B1" w:rsidP="002C0773">
            <w:pPr>
              <w:spacing w:before="40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3D0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E3D0D">
              <w:rPr>
                <w:rFonts w:ascii="Verdana" w:hAnsi="Verdana"/>
                <w:b/>
                <w:bCs/>
                <w:sz w:val="20"/>
              </w:rPr>
              <w:br/>
            </w:r>
            <w:r w:rsidR="00C1305F" w:rsidRPr="00EE3D0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36CEC" w:rsidRPr="00EE3D0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C1305F" w:rsidRPr="00EE3D0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6F881C" w14:textId="54D458BF" w:rsidR="00E6509A" w:rsidRPr="00EE3D0D" w:rsidRDefault="00C1305F" w:rsidP="00FA0446">
            <w:pPr>
              <w:spacing w:before="0"/>
            </w:pPr>
            <w:bookmarkStart w:id="0" w:name="ditulogo"/>
            <w:bookmarkEnd w:id="0"/>
            <w:r w:rsidRPr="00EE3D0D">
              <w:rPr>
                <w:lang w:eastAsia="fr-FR"/>
              </w:rPr>
              <w:drawing>
                <wp:inline distT="0" distB="0" distL="0" distR="0" wp14:anchorId="020F9B8B" wp14:editId="2BCEDE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E3D0D" w14:paraId="1E5699E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01491E" w14:textId="77777777" w:rsidR="00BB1D82" w:rsidRPr="00EE3D0D" w:rsidRDefault="00BB1D82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5ED678" w14:textId="77777777" w:rsidR="00BB1D82" w:rsidRPr="00EE3D0D" w:rsidRDefault="00BB1D82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E3D0D" w14:paraId="652CC647" w14:textId="77777777" w:rsidTr="00BB1D82">
        <w:trPr>
          <w:cantSplit/>
        </w:trPr>
        <w:tc>
          <w:tcPr>
            <w:tcW w:w="6911" w:type="dxa"/>
            <w:gridSpan w:val="2"/>
          </w:tcPr>
          <w:p w14:paraId="7B5A0FDF" w14:textId="77777777" w:rsidR="00BB1D82" w:rsidRPr="00EE3D0D" w:rsidRDefault="006D4724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1FD49F" w14:textId="77777777" w:rsidR="00BB1D82" w:rsidRPr="00EE3D0D" w:rsidRDefault="006D4724" w:rsidP="00FA0446">
            <w:pPr>
              <w:spacing w:before="0"/>
              <w:rPr>
                <w:rFonts w:ascii="Verdana" w:hAnsi="Verdana"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>Addendum 3 au</w:t>
            </w:r>
            <w:r w:rsidRPr="00EE3D0D">
              <w:rPr>
                <w:rFonts w:ascii="Verdana" w:hAnsi="Verdana"/>
                <w:b/>
                <w:sz w:val="20"/>
              </w:rPr>
              <w:br/>
              <w:t>Document 62(Add.24)</w:t>
            </w:r>
            <w:r w:rsidR="00BB1D82" w:rsidRPr="00EE3D0D">
              <w:rPr>
                <w:rFonts w:ascii="Verdana" w:hAnsi="Verdana"/>
                <w:b/>
                <w:sz w:val="20"/>
              </w:rPr>
              <w:t>-</w:t>
            </w:r>
            <w:r w:rsidRPr="00EE3D0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EE3D0D" w14:paraId="63017B92" w14:textId="77777777" w:rsidTr="00BB1D82">
        <w:trPr>
          <w:cantSplit/>
        </w:trPr>
        <w:tc>
          <w:tcPr>
            <w:tcW w:w="6911" w:type="dxa"/>
            <w:gridSpan w:val="2"/>
          </w:tcPr>
          <w:p w14:paraId="01BF8EED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DADA9D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EE3D0D" w14:paraId="4B4FA759" w14:textId="77777777" w:rsidTr="00BB1D82">
        <w:trPr>
          <w:cantSplit/>
        </w:trPr>
        <w:tc>
          <w:tcPr>
            <w:tcW w:w="6911" w:type="dxa"/>
            <w:gridSpan w:val="2"/>
          </w:tcPr>
          <w:p w14:paraId="4AEE8C45" w14:textId="77777777" w:rsidR="00690C7B" w:rsidRPr="00EE3D0D" w:rsidRDefault="00690C7B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88130D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E3D0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E3D0D" w14:paraId="60946CC2" w14:textId="77777777" w:rsidTr="00C11970">
        <w:trPr>
          <w:cantSplit/>
        </w:trPr>
        <w:tc>
          <w:tcPr>
            <w:tcW w:w="10031" w:type="dxa"/>
            <w:gridSpan w:val="4"/>
          </w:tcPr>
          <w:p w14:paraId="49D3E210" w14:textId="77777777" w:rsidR="00690C7B" w:rsidRPr="00EE3D0D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E3D0D" w14:paraId="2F3BB61E" w14:textId="77777777" w:rsidTr="0050008E">
        <w:trPr>
          <w:cantSplit/>
        </w:trPr>
        <w:tc>
          <w:tcPr>
            <w:tcW w:w="10031" w:type="dxa"/>
            <w:gridSpan w:val="4"/>
          </w:tcPr>
          <w:p w14:paraId="391D2C5D" w14:textId="77777777" w:rsidR="00690C7B" w:rsidRPr="00EE3D0D" w:rsidRDefault="00690C7B" w:rsidP="00FA0446">
            <w:pPr>
              <w:pStyle w:val="Source"/>
            </w:pPr>
            <w:bookmarkStart w:id="2" w:name="dsource" w:colFirst="0" w:colLast="0"/>
            <w:r w:rsidRPr="00EE3D0D">
              <w:t>Propositions communes de la Télécommunauté Asie-Pacifique</w:t>
            </w:r>
          </w:p>
        </w:tc>
      </w:tr>
      <w:tr w:rsidR="00690C7B" w:rsidRPr="00EE3D0D" w14:paraId="741A3821" w14:textId="77777777" w:rsidTr="0050008E">
        <w:trPr>
          <w:cantSplit/>
        </w:trPr>
        <w:tc>
          <w:tcPr>
            <w:tcW w:w="10031" w:type="dxa"/>
            <w:gridSpan w:val="4"/>
          </w:tcPr>
          <w:p w14:paraId="20C65792" w14:textId="07B10666" w:rsidR="00690C7B" w:rsidRPr="00EE3D0D" w:rsidRDefault="009E461E" w:rsidP="00FA0446">
            <w:pPr>
              <w:pStyle w:val="Title1"/>
            </w:pPr>
            <w:bookmarkStart w:id="3" w:name="dtitle1" w:colFirst="0" w:colLast="0"/>
            <w:bookmarkEnd w:id="2"/>
            <w:r w:rsidRPr="00EE3D0D">
              <w:t>PROPOS</w:t>
            </w:r>
            <w:r w:rsidR="0047745A" w:rsidRPr="00EE3D0D">
              <w:t>I</w:t>
            </w:r>
            <w:r w:rsidRPr="00EE3D0D">
              <w:t>TIONS POUR LES TRAVAUX DE LA CONFÉRENCE</w:t>
            </w:r>
          </w:p>
        </w:tc>
      </w:tr>
      <w:tr w:rsidR="00690C7B" w:rsidRPr="00EE3D0D" w14:paraId="6495E104" w14:textId="77777777" w:rsidTr="0050008E">
        <w:trPr>
          <w:cantSplit/>
        </w:trPr>
        <w:tc>
          <w:tcPr>
            <w:tcW w:w="10031" w:type="dxa"/>
            <w:gridSpan w:val="4"/>
          </w:tcPr>
          <w:p w14:paraId="2CE83DC1" w14:textId="77777777" w:rsidR="00690C7B" w:rsidRPr="00EE3D0D" w:rsidRDefault="00690C7B" w:rsidP="00FA044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EE3D0D" w14:paraId="6DDA5EC9" w14:textId="77777777" w:rsidTr="0050008E">
        <w:trPr>
          <w:cantSplit/>
        </w:trPr>
        <w:tc>
          <w:tcPr>
            <w:tcW w:w="10031" w:type="dxa"/>
            <w:gridSpan w:val="4"/>
          </w:tcPr>
          <w:p w14:paraId="64E6305D" w14:textId="5253FB6A" w:rsidR="00690C7B" w:rsidRPr="00EE3D0D" w:rsidRDefault="000057DE" w:rsidP="00FA0446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E3D0D">
              <w:rPr>
                <w:lang w:val="fr-FR"/>
              </w:rPr>
              <w:t>Point 9.1(9.1-c)</w:t>
            </w:r>
            <w:r w:rsidR="00DF3246" w:rsidRPr="00EE3D0D">
              <w:rPr>
                <w:lang w:val="fr-FR"/>
              </w:rPr>
              <w:t xml:space="preserve"> de l'ordre du jour</w:t>
            </w:r>
          </w:p>
        </w:tc>
      </w:tr>
    </w:tbl>
    <w:bookmarkEnd w:id="5"/>
    <w:p w14:paraId="6D7340A6" w14:textId="77777777" w:rsidR="00BE6683" w:rsidRPr="00EE3D0D" w:rsidRDefault="00BE6683" w:rsidP="00FA0446">
      <w:r w:rsidRPr="00EE3D0D">
        <w:t>9</w:t>
      </w:r>
      <w:r w:rsidRPr="00EE3D0D">
        <w:tab/>
        <w:t>examiner et approuver le rapport du Directeur du Bureau des radiocommunications, conformément à l'article 7 de la Convention de l'UIT:</w:t>
      </w:r>
    </w:p>
    <w:p w14:paraId="7984156A" w14:textId="77777777" w:rsidR="00BE6683" w:rsidRPr="00EE3D0D" w:rsidRDefault="00BE6683" w:rsidP="00FA0446">
      <w:r w:rsidRPr="00EE3D0D">
        <w:t>9.1</w:t>
      </w:r>
      <w:r w:rsidRPr="00EE3D0D">
        <w:tab/>
        <w:t>sur les activités du Secteur des radiocommunications de l'UIT depuis la CMR</w:t>
      </w:r>
      <w:r w:rsidRPr="00EE3D0D">
        <w:noBreakHyphen/>
        <w:t>19;</w:t>
      </w:r>
    </w:p>
    <w:p w14:paraId="5B36801D" w14:textId="77777777" w:rsidR="00BE6683" w:rsidRPr="00EE3D0D" w:rsidRDefault="00BE6683" w:rsidP="00FA0446">
      <w:r w:rsidRPr="00EE3D0D">
        <w:t>(9.1-c)</w:t>
      </w:r>
      <w:r w:rsidRPr="00EE3D0D">
        <w:tab/>
        <w:t xml:space="preserve">Étudier l'utilisation des systèmes de Télécommunications mobiles internationales pour le large bande hertzien fixe dans les bandes de fréquences attribuées au service fixe à titre primaire, conformément à la Résolution </w:t>
      </w:r>
      <w:r w:rsidRPr="00EE3D0D">
        <w:rPr>
          <w:b/>
          <w:bCs/>
        </w:rPr>
        <w:t>175 (CMR</w:t>
      </w:r>
      <w:r w:rsidRPr="00EE3D0D">
        <w:rPr>
          <w:b/>
          <w:bCs/>
        </w:rPr>
        <w:noBreakHyphen/>
        <w:t>19)</w:t>
      </w:r>
      <w:r w:rsidRPr="00EE3D0D">
        <w:t>;</w:t>
      </w:r>
    </w:p>
    <w:p w14:paraId="057BF373" w14:textId="77777777" w:rsidR="00C36CEC" w:rsidRPr="00EE3D0D" w:rsidRDefault="00BE6683" w:rsidP="00FA0446">
      <w:r w:rsidRPr="00EE3D0D">
        <w:t xml:space="preserve">Résolution </w:t>
      </w:r>
      <w:r w:rsidRPr="00EE3D0D">
        <w:rPr>
          <w:b/>
          <w:bCs/>
        </w:rPr>
        <w:t>175 (CMR-19)</w:t>
      </w:r>
      <w:r w:rsidRPr="00EE3D0D">
        <w:t xml:space="preserve"> </w:t>
      </w:r>
      <w:r w:rsidR="00420997" w:rsidRPr="00EE3D0D">
        <w:t>–</w:t>
      </w:r>
      <w:r w:rsidRPr="00EE3D0D">
        <w:t xml:space="preserve"> Utilisation des systèmes de Télécommunications mobiles internationales pour le large bande hertzien fixe dans les bandes de fréquences attribuées au service fixe à titre primaire</w:t>
      </w:r>
    </w:p>
    <w:p w14:paraId="2C90846B" w14:textId="372F8A2E" w:rsidR="00EE3D0D" w:rsidRPr="00EE3D0D" w:rsidRDefault="00EE3D0D" w:rsidP="00EE3D0D">
      <w:pPr>
        <w:pStyle w:val="Headingb"/>
      </w:pPr>
      <w:r w:rsidRPr="00EE3D0D">
        <w:t>Introduction</w:t>
      </w:r>
    </w:p>
    <w:p w14:paraId="38FE8944" w14:textId="5E42CDAC" w:rsidR="0047745A" w:rsidRPr="00EE3D0D" w:rsidRDefault="002B40B1" w:rsidP="00FA0446">
      <w:r w:rsidRPr="00EE3D0D">
        <w:t>L</w:t>
      </w:r>
      <w:r w:rsidR="00EE3D0D" w:rsidRPr="00EE3D0D">
        <w:t>es</w:t>
      </w:r>
      <w:r w:rsidRPr="00EE3D0D">
        <w:t xml:space="preserve"> </w:t>
      </w:r>
      <w:r w:rsidR="004D1C74" w:rsidRPr="00EE3D0D">
        <w:t xml:space="preserve">Membres de l'APT appuient les études </w:t>
      </w:r>
      <w:r w:rsidR="00A1021B" w:rsidRPr="00EE3D0D">
        <w:t>en cours sur l'examen des</w:t>
      </w:r>
      <w:r w:rsidR="004D1C74" w:rsidRPr="00EE3D0D">
        <w:t xml:space="preserve"> Recommandations, </w:t>
      </w:r>
      <w:r w:rsidR="00FA0446" w:rsidRPr="00EE3D0D">
        <w:t>R</w:t>
      </w:r>
      <w:r w:rsidR="004D1C74" w:rsidRPr="00EE3D0D">
        <w:t xml:space="preserve">apports ou </w:t>
      </w:r>
      <w:r w:rsidR="00F60F27" w:rsidRPr="00EE3D0D">
        <w:t>m</w:t>
      </w:r>
      <w:r w:rsidR="004D1C74" w:rsidRPr="00EE3D0D">
        <w:t xml:space="preserve">anuels existants de l'UIT-R. Si, </w:t>
      </w:r>
      <w:r w:rsidR="003866F2" w:rsidRPr="00EE3D0D">
        <w:t>au cours de</w:t>
      </w:r>
      <w:r w:rsidR="004D1C74" w:rsidRPr="00EE3D0D">
        <w:t xml:space="preserve"> cet examen, il est jugé nécessaire </w:t>
      </w:r>
      <w:r w:rsidR="002E5A63" w:rsidRPr="00EE3D0D">
        <w:t xml:space="preserve">de réviser ces </w:t>
      </w:r>
      <w:r w:rsidR="00C36CEC" w:rsidRPr="00EE3D0D">
        <w:t xml:space="preserve">textes </w:t>
      </w:r>
      <w:r w:rsidR="0014065A" w:rsidRPr="00EE3D0D">
        <w:t xml:space="preserve">pour atteindre les objectifs associés à cette question, les Membres de l'APT sont favorables à </w:t>
      </w:r>
      <w:r w:rsidR="00FA0446" w:rsidRPr="00EE3D0D">
        <w:t>leur révision en conséquence</w:t>
      </w:r>
      <w:r w:rsidR="002077BE" w:rsidRPr="00EE3D0D">
        <w:t xml:space="preserve">. </w:t>
      </w:r>
      <w:r w:rsidR="009E461E" w:rsidRPr="00EE3D0D">
        <w:t>Si cette révision ne permet pas de répondre aux besoins associés à cette question, l'élaboration d'une ou de plusieurs Recommandations et d'un ou de plusieurs nouveaux rapports et manuels est appuyée.</w:t>
      </w:r>
    </w:p>
    <w:p w14:paraId="7E7035C5" w14:textId="1B231AE2" w:rsidR="009E461E" w:rsidRPr="00EE3D0D" w:rsidRDefault="00473B45" w:rsidP="00FA0446">
      <w:r w:rsidRPr="00EE3D0D">
        <w:t xml:space="preserve">Les Membres de l'APT </w:t>
      </w:r>
      <w:r w:rsidR="009E461E" w:rsidRPr="00EE3D0D">
        <w:t xml:space="preserve">sont favorables à </w:t>
      </w:r>
      <w:r w:rsidR="00FA0446" w:rsidRPr="00EE3D0D">
        <w:t>ce qu'</w:t>
      </w:r>
      <w:r w:rsidR="009E461E" w:rsidRPr="00EE3D0D">
        <w:t>aucune modification</w:t>
      </w:r>
      <w:r w:rsidR="00FA0446" w:rsidRPr="00EE3D0D">
        <w:t xml:space="preserve"> ne soit apportée</w:t>
      </w:r>
      <w:r w:rsidR="009E461E" w:rsidRPr="00EE3D0D">
        <w:t xml:space="preserve"> au Règlement des radiocommunications au titre du point 9.1, Question c), de l'ordre du jour</w:t>
      </w:r>
      <w:r w:rsidR="0053651B" w:rsidRPr="00EE3D0D">
        <w:t xml:space="preserve"> de la CMR-23</w:t>
      </w:r>
      <w:r w:rsidR="009E461E" w:rsidRPr="00EE3D0D">
        <w:t xml:space="preserve">, à l'exception de la suppression de la Résolution </w:t>
      </w:r>
      <w:r w:rsidR="009E461E" w:rsidRPr="00EE3D0D">
        <w:rPr>
          <w:b/>
          <w:bCs/>
        </w:rPr>
        <w:t>175 (CMR-19)</w:t>
      </w:r>
      <w:r w:rsidR="009E461E" w:rsidRPr="00EE3D0D">
        <w:t>.</w:t>
      </w:r>
    </w:p>
    <w:p w14:paraId="4DCD8353" w14:textId="40024A89" w:rsidR="003C4A41" w:rsidRPr="00EE3D0D" w:rsidRDefault="00613A8C" w:rsidP="00FA0446">
      <w:r w:rsidRPr="00EE3D0D">
        <w:t>Ils</w:t>
      </w:r>
      <w:r w:rsidR="00825327" w:rsidRPr="00EE3D0D">
        <w:t xml:space="preserve"> estiment que l'expression «large bande hertzien fixe» </w:t>
      </w:r>
      <w:r w:rsidR="00181D27" w:rsidRPr="00EE3D0D">
        <w:t xml:space="preserve">pourrait englober diverses </w:t>
      </w:r>
      <w:r w:rsidR="00225B2C" w:rsidRPr="00EE3D0D">
        <w:t>applications.</w:t>
      </w:r>
    </w:p>
    <w:p w14:paraId="5A4E8C5D" w14:textId="6E6D7E56" w:rsidR="0058557D" w:rsidRPr="00EE3D0D" w:rsidRDefault="00613A8C" w:rsidP="00FA0446">
      <w:r w:rsidRPr="00EE3D0D">
        <w:t>Ils</w:t>
      </w:r>
      <w:r w:rsidR="0058557D" w:rsidRPr="00EE3D0D">
        <w:t xml:space="preserve"> estiment </w:t>
      </w:r>
      <w:r w:rsidR="00030C68" w:rsidRPr="00EE3D0D">
        <w:t xml:space="preserve">également </w:t>
      </w:r>
      <w:r w:rsidR="0058557D" w:rsidRPr="00EE3D0D">
        <w:t>qu'il n'y a pas lieu d'élaborer une Résolution nouvelle ou révisée sur cette question à la CMR-23 au titre du point 9</w:t>
      </w:r>
      <w:r w:rsidR="00FA0446" w:rsidRPr="00EE3D0D">
        <w:t>.</w:t>
      </w:r>
      <w:r w:rsidR="0058557D" w:rsidRPr="00EE3D0D">
        <w:t>1, Question c)</w:t>
      </w:r>
      <w:r w:rsidR="003A130E" w:rsidRPr="00EE3D0D">
        <w:t>,</w:t>
      </w:r>
      <w:r w:rsidR="0058557D" w:rsidRPr="00EE3D0D">
        <w:t xml:space="preserve"> de l'ordre du jour.</w:t>
      </w:r>
    </w:p>
    <w:p w14:paraId="1600F64B" w14:textId="42083BF6" w:rsidR="009E461E" w:rsidRPr="00EE3D0D" w:rsidRDefault="009E461E" w:rsidP="00FA0446">
      <w:pPr>
        <w:pStyle w:val="Headingb"/>
      </w:pPr>
      <w:r w:rsidRPr="00EE3D0D">
        <w:t>Propositions</w:t>
      </w:r>
    </w:p>
    <w:p w14:paraId="2B688322" w14:textId="77777777" w:rsidR="006862A7" w:rsidRPr="00EE3D0D" w:rsidRDefault="006862A7" w:rsidP="00FA0446"/>
    <w:p w14:paraId="1C1D5E51" w14:textId="77777777" w:rsidR="0015203F" w:rsidRPr="00EE3D0D" w:rsidRDefault="0015203F" w:rsidP="00FA04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E3D0D">
        <w:br w:type="page"/>
      </w:r>
    </w:p>
    <w:p w14:paraId="5FDC1B46" w14:textId="77777777" w:rsidR="000057DE" w:rsidRPr="00EE3D0D" w:rsidRDefault="00BE6683" w:rsidP="000057DE">
      <w:pPr>
        <w:pStyle w:val="Proposal"/>
      </w:pPr>
      <w:r w:rsidRPr="00EE3D0D">
        <w:rPr>
          <w:u w:val="single"/>
        </w:rPr>
        <w:lastRenderedPageBreak/>
        <w:t>NOC</w:t>
      </w:r>
      <w:r w:rsidRPr="00EE3D0D">
        <w:tab/>
        <w:t>ACP/62A24A3/1</w:t>
      </w:r>
      <w:bookmarkStart w:id="6" w:name="_Toc455752901"/>
      <w:bookmarkStart w:id="7" w:name="_Toc455756140"/>
    </w:p>
    <w:p w14:paraId="06B5D85C" w14:textId="613C42D0" w:rsidR="00BE6683" w:rsidRPr="00EE3D0D" w:rsidRDefault="00BE6683" w:rsidP="00EE3D0D">
      <w:pPr>
        <w:pStyle w:val="Volumetitle"/>
        <w:rPr>
          <w:lang w:val="fr-FR"/>
        </w:rPr>
      </w:pPr>
      <w:r w:rsidRPr="00EE3D0D">
        <w:rPr>
          <w:lang w:val="fr-FR"/>
        </w:rPr>
        <w:t>ARTICLES</w:t>
      </w:r>
      <w:bookmarkEnd w:id="6"/>
      <w:bookmarkEnd w:id="7"/>
    </w:p>
    <w:p w14:paraId="093A0084" w14:textId="5297E13D" w:rsidR="004B5AC3" w:rsidRPr="00EE3D0D" w:rsidRDefault="00BE6683" w:rsidP="00FA0446">
      <w:pPr>
        <w:pStyle w:val="Reasons"/>
      </w:pPr>
      <w:r w:rsidRPr="00EE3D0D">
        <w:rPr>
          <w:b/>
        </w:rPr>
        <w:t>Motifs:</w:t>
      </w:r>
      <w:r w:rsidRPr="00EE3D0D">
        <w:tab/>
      </w:r>
      <w:r w:rsidR="00451587" w:rsidRPr="00EE3D0D">
        <w:t xml:space="preserve">Les Membres de l'APT sont favorables à </w:t>
      </w:r>
      <w:r w:rsidR="00FA0446" w:rsidRPr="00EE3D0D">
        <w:t>ce qu'</w:t>
      </w:r>
      <w:r w:rsidR="00451587" w:rsidRPr="00EE3D0D">
        <w:t xml:space="preserve">aucune modification </w:t>
      </w:r>
      <w:r w:rsidR="00FA0446" w:rsidRPr="00EE3D0D">
        <w:t xml:space="preserve">ne soit apportée </w:t>
      </w:r>
      <w:r w:rsidR="00451587" w:rsidRPr="00EE3D0D">
        <w:t xml:space="preserve">au Règlement des radiocommunications au titre du point 9.1, Question c), de l'ordre du jour de la CMR-23, à l'exception de la suppression de la Résolution </w:t>
      </w:r>
      <w:r w:rsidR="00451587" w:rsidRPr="00EE3D0D">
        <w:rPr>
          <w:b/>
          <w:bCs/>
        </w:rPr>
        <w:t>175 (CMR-19)</w:t>
      </w:r>
      <w:r w:rsidR="00451587" w:rsidRPr="00EE3D0D">
        <w:rPr>
          <w:bCs/>
        </w:rPr>
        <w:t xml:space="preserve">. </w:t>
      </w:r>
      <w:r w:rsidR="00087567" w:rsidRPr="00EE3D0D">
        <w:t>Ils estiment qu'il n'y a pas lieu d'élaborer une Résolution nouvelle ou révisée sur cette question à la CMR-23 au titre du point 9</w:t>
      </w:r>
      <w:r w:rsidR="00FA0446" w:rsidRPr="00EE3D0D">
        <w:t>.</w:t>
      </w:r>
      <w:r w:rsidR="00087567" w:rsidRPr="00EE3D0D">
        <w:t>1, Question c)</w:t>
      </w:r>
      <w:r w:rsidR="00CA3D96" w:rsidRPr="00EE3D0D">
        <w:t>,</w:t>
      </w:r>
      <w:r w:rsidR="00087567" w:rsidRPr="00EE3D0D">
        <w:t xml:space="preserve"> de l'ordre du jour.</w:t>
      </w:r>
    </w:p>
    <w:p w14:paraId="1132792F" w14:textId="77777777" w:rsidR="004B5AC3" w:rsidRPr="00EE3D0D" w:rsidRDefault="00BE6683" w:rsidP="00FA0446">
      <w:pPr>
        <w:pStyle w:val="Proposal"/>
      </w:pPr>
      <w:r w:rsidRPr="00EE3D0D">
        <w:rPr>
          <w:u w:val="single"/>
        </w:rPr>
        <w:t>NOC</w:t>
      </w:r>
      <w:r w:rsidRPr="00EE3D0D">
        <w:tab/>
        <w:t>ACP/62A24A3/2</w:t>
      </w:r>
    </w:p>
    <w:p w14:paraId="585FC083" w14:textId="77777777" w:rsidR="00BE6683" w:rsidRPr="00EE3D0D" w:rsidRDefault="00BE6683" w:rsidP="00EE3D0D">
      <w:pPr>
        <w:pStyle w:val="Volumetitle"/>
        <w:rPr>
          <w:lang w:val="fr-FR"/>
        </w:rPr>
      </w:pPr>
      <w:bookmarkStart w:id="8" w:name="_Toc327956568"/>
      <w:r w:rsidRPr="00EE3D0D">
        <w:rPr>
          <w:lang w:val="fr-FR"/>
        </w:rPr>
        <w:t>APPENDICES</w:t>
      </w:r>
      <w:bookmarkEnd w:id="8"/>
    </w:p>
    <w:p w14:paraId="6C694385" w14:textId="0FE9B75D" w:rsidR="004B5AC3" w:rsidRPr="00EE3D0D" w:rsidRDefault="00BE6683" w:rsidP="00FA0446">
      <w:pPr>
        <w:pStyle w:val="Reasons"/>
      </w:pPr>
      <w:r w:rsidRPr="00EE3D0D">
        <w:rPr>
          <w:b/>
        </w:rPr>
        <w:t>Motifs:</w:t>
      </w:r>
      <w:r w:rsidRPr="00EE3D0D">
        <w:tab/>
      </w:r>
      <w:r w:rsidR="00E215CE" w:rsidRPr="00EE3D0D">
        <w:t xml:space="preserve">Les Membres de l'APT sont favorables à </w:t>
      </w:r>
      <w:r w:rsidR="00FA0446" w:rsidRPr="00EE3D0D">
        <w:t>ce qu'</w:t>
      </w:r>
      <w:r w:rsidR="00E215CE" w:rsidRPr="00EE3D0D">
        <w:t xml:space="preserve">aucune modification </w:t>
      </w:r>
      <w:r w:rsidR="00FA0446" w:rsidRPr="00EE3D0D">
        <w:t xml:space="preserve">ne soit apportée </w:t>
      </w:r>
      <w:r w:rsidR="00E215CE" w:rsidRPr="00EE3D0D">
        <w:t xml:space="preserve">au Règlement des radiocommunications au titre du point 9.1, Question c), de l'ordre du jour de la CMR-23, à l'exception de la suppression de la Résolution </w:t>
      </w:r>
      <w:r w:rsidR="00E215CE" w:rsidRPr="00EE3D0D">
        <w:rPr>
          <w:b/>
          <w:bCs/>
        </w:rPr>
        <w:t>175 (CMR-19)</w:t>
      </w:r>
      <w:r w:rsidR="00E215CE" w:rsidRPr="00EE3D0D">
        <w:rPr>
          <w:bCs/>
        </w:rPr>
        <w:t xml:space="preserve">. </w:t>
      </w:r>
      <w:r w:rsidR="00E215CE" w:rsidRPr="00EE3D0D">
        <w:t>Ils estiment qu'il n'y a pas lieu d'élaborer une Résolution nouvelle ou révisée sur cette question à la CMR-23 au titre du point 9</w:t>
      </w:r>
      <w:r w:rsidR="00FA0446" w:rsidRPr="00EE3D0D">
        <w:t>.</w:t>
      </w:r>
      <w:r w:rsidR="00E215CE" w:rsidRPr="00EE3D0D">
        <w:t>1, Question c)</w:t>
      </w:r>
      <w:r w:rsidR="00CA3D96" w:rsidRPr="00EE3D0D">
        <w:t>,</w:t>
      </w:r>
      <w:r w:rsidR="00E215CE" w:rsidRPr="00EE3D0D">
        <w:t xml:space="preserve"> de l'ordre du jour.</w:t>
      </w:r>
    </w:p>
    <w:p w14:paraId="1D502EAB" w14:textId="77777777" w:rsidR="004B5AC3" w:rsidRPr="00EE3D0D" w:rsidRDefault="00BE6683" w:rsidP="00FA0446">
      <w:pPr>
        <w:pStyle w:val="Proposal"/>
      </w:pPr>
      <w:r w:rsidRPr="00EE3D0D">
        <w:t>SUP</w:t>
      </w:r>
      <w:r w:rsidRPr="00EE3D0D">
        <w:tab/>
        <w:t>ACP/62A24A3/3</w:t>
      </w:r>
    </w:p>
    <w:p w14:paraId="281B1896" w14:textId="77777777" w:rsidR="00BE6683" w:rsidRPr="00EE3D0D" w:rsidRDefault="00BE6683" w:rsidP="00EE3D0D">
      <w:pPr>
        <w:pStyle w:val="ResNo"/>
      </w:pPr>
      <w:bookmarkStart w:id="9" w:name="_Toc39829185"/>
      <w:r w:rsidRPr="00EE3D0D">
        <w:t xml:space="preserve">RÉSOLUTION </w:t>
      </w:r>
      <w:r w:rsidRPr="00EE3D0D">
        <w:rPr>
          <w:rStyle w:val="href"/>
        </w:rPr>
        <w:t>175</w:t>
      </w:r>
      <w:r w:rsidRPr="00EE3D0D">
        <w:t xml:space="preserve"> (CMR-19)</w:t>
      </w:r>
      <w:bookmarkEnd w:id="9"/>
    </w:p>
    <w:p w14:paraId="164EC523" w14:textId="29226BE2" w:rsidR="00BE6683" w:rsidRPr="00EE3D0D" w:rsidRDefault="00BE6683" w:rsidP="00EE3D0D">
      <w:pPr>
        <w:pStyle w:val="Restitle"/>
      </w:pPr>
      <w:bookmarkStart w:id="10" w:name="_Toc35933784"/>
      <w:bookmarkStart w:id="11" w:name="_Toc39829186"/>
      <w:r w:rsidRPr="00EE3D0D">
        <w:t xml:space="preserve">Utilisation des systèmes de Télécommunications mobiles internationales </w:t>
      </w:r>
      <w:r w:rsidRPr="00EE3D0D">
        <w:br/>
        <w:t xml:space="preserve">pour le large bande hertzien fixe dans les bandes de fréquences </w:t>
      </w:r>
      <w:r w:rsidRPr="00EE3D0D">
        <w:br/>
        <w:t>attribuées au service fixe à titre primaire</w:t>
      </w:r>
      <w:bookmarkEnd w:id="10"/>
      <w:bookmarkEnd w:id="11"/>
    </w:p>
    <w:p w14:paraId="66ED9C24" w14:textId="218E8C45" w:rsidR="004B5AC3" w:rsidRPr="00EE3D0D" w:rsidRDefault="00BE6683" w:rsidP="00FA0446">
      <w:pPr>
        <w:pStyle w:val="Reasons"/>
      </w:pPr>
      <w:r w:rsidRPr="00EE3D0D">
        <w:rPr>
          <w:b/>
        </w:rPr>
        <w:t>Motifs:</w:t>
      </w:r>
      <w:r w:rsidRPr="00EE3D0D">
        <w:tab/>
      </w:r>
      <w:r w:rsidR="00147509" w:rsidRPr="00EE3D0D">
        <w:t xml:space="preserve">Les Membres de l'APT sont favorables à </w:t>
      </w:r>
      <w:r w:rsidR="00FA0446" w:rsidRPr="00EE3D0D">
        <w:t>ce qu'</w:t>
      </w:r>
      <w:r w:rsidR="00147509" w:rsidRPr="00EE3D0D">
        <w:t xml:space="preserve">aucune modification </w:t>
      </w:r>
      <w:r w:rsidR="00FA0446" w:rsidRPr="00EE3D0D">
        <w:t xml:space="preserve">ne soit apportée </w:t>
      </w:r>
      <w:r w:rsidR="00147509" w:rsidRPr="00EE3D0D">
        <w:t xml:space="preserve">au Règlement des radiocommunications au titre du point 9.1, Question c), de l'ordre du jour de la CMR-23, à l'exception de la suppression de la Résolution </w:t>
      </w:r>
      <w:r w:rsidR="00147509" w:rsidRPr="00EE3D0D">
        <w:rPr>
          <w:b/>
          <w:bCs/>
        </w:rPr>
        <w:t>175 (CMR-19)</w:t>
      </w:r>
      <w:r w:rsidR="00147509" w:rsidRPr="00EE3D0D">
        <w:rPr>
          <w:bCs/>
        </w:rPr>
        <w:t xml:space="preserve">. </w:t>
      </w:r>
      <w:r w:rsidR="00147509" w:rsidRPr="00EE3D0D">
        <w:t>Ils estiment qu'il n'y a pas lieu d'élaborer une Résolution nouvelle ou révisée sur cette question à la CMR-23 au titre du point 9</w:t>
      </w:r>
      <w:r w:rsidR="00FA0446" w:rsidRPr="00EE3D0D">
        <w:t>.</w:t>
      </w:r>
      <w:r w:rsidR="00147509" w:rsidRPr="00EE3D0D">
        <w:t>1, Question c)</w:t>
      </w:r>
      <w:r w:rsidR="00CA3D96" w:rsidRPr="00EE3D0D">
        <w:t>,</w:t>
      </w:r>
      <w:r w:rsidR="00147509" w:rsidRPr="00EE3D0D">
        <w:t xml:space="preserve"> de l'ordre du jour.</w:t>
      </w:r>
    </w:p>
    <w:p w14:paraId="448BF568" w14:textId="77777777" w:rsidR="004B5AC3" w:rsidRPr="00EE3D0D" w:rsidRDefault="00BE6683" w:rsidP="00FA0446">
      <w:pPr>
        <w:pStyle w:val="Proposal"/>
      </w:pPr>
      <w:r w:rsidRPr="00EE3D0D">
        <w:rPr>
          <w:u w:val="single"/>
        </w:rPr>
        <w:t>NOC</w:t>
      </w:r>
      <w:r w:rsidRPr="00EE3D0D">
        <w:tab/>
        <w:t>ACP/62A24A3/4</w:t>
      </w:r>
    </w:p>
    <w:p w14:paraId="485278F0" w14:textId="77777777" w:rsidR="00BE6683" w:rsidRPr="00EE3D0D" w:rsidRDefault="00BE6683" w:rsidP="00C51DD7">
      <w:pPr>
        <w:pStyle w:val="Volumetitle"/>
      </w:pPr>
      <w:r w:rsidRPr="00EE3D0D">
        <w:t>RECOMMANDATIONS</w:t>
      </w:r>
    </w:p>
    <w:p w14:paraId="661EBC95" w14:textId="44358189" w:rsidR="00B205FA" w:rsidRPr="00EE3D0D" w:rsidRDefault="00BE6683" w:rsidP="00FA0446">
      <w:pPr>
        <w:pStyle w:val="Reasons"/>
      </w:pPr>
      <w:r w:rsidRPr="00EE3D0D">
        <w:rPr>
          <w:b/>
        </w:rPr>
        <w:t>Motifs:</w:t>
      </w:r>
      <w:r w:rsidRPr="00EE3D0D">
        <w:tab/>
      </w:r>
      <w:r w:rsidR="00147509" w:rsidRPr="00EE3D0D">
        <w:t xml:space="preserve">Les Membres de l'APT sont favorables à </w:t>
      </w:r>
      <w:r w:rsidR="00FA0446" w:rsidRPr="00EE3D0D">
        <w:t>ce qu'</w:t>
      </w:r>
      <w:r w:rsidR="00147509" w:rsidRPr="00EE3D0D">
        <w:t xml:space="preserve">aucune modification </w:t>
      </w:r>
      <w:r w:rsidR="00FA0446" w:rsidRPr="00EE3D0D">
        <w:t xml:space="preserve">ne soit apportée </w:t>
      </w:r>
      <w:r w:rsidR="00147509" w:rsidRPr="00EE3D0D">
        <w:t xml:space="preserve">au Règlement des radiocommunications au titre du point 9.1, Question c), de l'ordre du jour de la CMR-23, à l'exception de la suppression de la Résolution </w:t>
      </w:r>
      <w:r w:rsidR="00147509" w:rsidRPr="00EE3D0D">
        <w:rPr>
          <w:b/>
          <w:bCs/>
        </w:rPr>
        <w:t>175 (CMR-19)</w:t>
      </w:r>
      <w:r w:rsidR="00147509" w:rsidRPr="00EE3D0D">
        <w:rPr>
          <w:bCs/>
        </w:rPr>
        <w:t xml:space="preserve">. </w:t>
      </w:r>
      <w:r w:rsidR="00147509" w:rsidRPr="00EE3D0D">
        <w:t>Ils estiment qu'il n'y a pas lieu d'élaborer une Résolution nouvelle ou révisée sur cette question à la CMR-23 au titre du point 9</w:t>
      </w:r>
      <w:r w:rsidR="00FA0446" w:rsidRPr="00EE3D0D">
        <w:t>.</w:t>
      </w:r>
      <w:r w:rsidR="00147509" w:rsidRPr="00EE3D0D">
        <w:t>1, Question c)</w:t>
      </w:r>
      <w:r w:rsidR="00CA3D96" w:rsidRPr="00EE3D0D">
        <w:t>,</w:t>
      </w:r>
      <w:r w:rsidR="00147509" w:rsidRPr="00EE3D0D">
        <w:t xml:space="preserve"> de l'ordre du jour.</w:t>
      </w:r>
    </w:p>
    <w:p w14:paraId="14A246DA" w14:textId="77777777" w:rsidR="00E567DE" w:rsidRPr="00EE3D0D" w:rsidRDefault="00E567DE" w:rsidP="00FA0446">
      <w:pPr>
        <w:jc w:val="center"/>
      </w:pPr>
      <w:r w:rsidRPr="00EE3D0D">
        <w:t>______________</w:t>
      </w:r>
    </w:p>
    <w:sectPr w:rsidR="00E567DE" w:rsidRPr="00EE3D0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EF36" w14:textId="77777777" w:rsidR="00CB685A" w:rsidRPr="00EE3D0D" w:rsidRDefault="00CB685A">
      <w:r w:rsidRPr="00EE3D0D">
        <w:separator/>
      </w:r>
    </w:p>
  </w:endnote>
  <w:endnote w:type="continuationSeparator" w:id="0">
    <w:p w14:paraId="17F5E015" w14:textId="77777777" w:rsidR="00CB685A" w:rsidRPr="00EE3D0D" w:rsidRDefault="00CB685A">
      <w:r w:rsidRPr="00EE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883" w14:textId="323D0DC7" w:rsidR="00936D25" w:rsidRPr="00EE3D0D" w:rsidRDefault="00936D25">
    <w:fldSimple w:instr=" FILENAME \p  \* MERGEFORMAT ">
      <w:r w:rsidR="00BB1D82" w:rsidRPr="00EE3D0D">
        <w:t>Document1</w:t>
      </w:r>
    </w:fldSimple>
    <w:r w:rsidRPr="00EE3D0D">
      <w:tab/>
    </w:r>
    <w:r w:rsidRPr="00EE3D0D">
      <w:fldChar w:fldCharType="begin"/>
    </w:r>
    <w:r w:rsidRPr="00EE3D0D">
      <w:instrText xml:space="preserve"> SAVEDATE \@ DD.MM.YY </w:instrText>
    </w:r>
    <w:r w:rsidRPr="00EE3D0D">
      <w:fldChar w:fldCharType="separate"/>
    </w:r>
    <w:r w:rsidR="00EE3D0D" w:rsidRPr="00EE3D0D">
      <w:t>16.10.23</w:t>
    </w:r>
    <w:r w:rsidRPr="00EE3D0D">
      <w:fldChar w:fldCharType="end"/>
    </w:r>
    <w:r w:rsidRPr="00EE3D0D">
      <w:tab/>
    </w:r>
    <w:r w:rsidRPr="00EE3D0D">
      <w:fldChar w:fldCharType="begin"/>
    </w:r>
    <w:r w:rsidRPr="00EE3D0D">
      <w:instrText xml:space="preserve"> PRINTDATE \@ DD.MM.YY </w:instrText>
    </w:r>
    <w:r w:rsidRPr="00EE3D0D">
      <w:fldChar w:fldCharType="separate"/>
    </w:r>
    <w:r w:rsidR="00BB1D82" w:rsidRPr="00EE3D0D">
      <w:t>05.06.03</w:t>
    </w:r>
    <w:r w:rsidRPr="00EE3D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E1F9" w14:textId="0204DE10" w:rsidR="00936D25" w:rsidRPr="00EE3D0D" w:rsidRDefault="00DF3246" w:rsidP="00B933EB">
    <w:pPr>
      <w:pStyle w:val="Footer"/>
      <w:rPr>
        <w:noProof w:val="0"/>
      </w:rPr>
    </w:pPr>
    <w:r w:rsidRPr="00EE3D0D">
      <w:rPr>
        <w:noProof w:val="0"/>
      </w:rPr>
      <w:fldChar w:fldCharType="begin"/>
    </w:r>
    <w:r w:rsidRPr="00EE3D0D">
      <w:rPr>
        <w:noProof w:val="0"/>
      </w:rPr>
      <w:instrText xml:space="preserve"> FILENAME \p  \* MERGEFORMAT </w:instrText>
    </w:r>
    <w:r w:rsidRPr="00EE3D0D">
      <w:rPr>
        <w:noProof w:val="0"/>
      </w:rPr>
      <w:fldChar w:fldCharType="separate"/>
    </w:r>
    <w:r w:rsidR="00B933EB" w:rsidRPr="00EE3D0D">
      <w:rPr>
        <w:noProof w:val="0"/>
      </w:rPr>
      <w:t>P:\FRA\ITU-R\CONF-R\CMR23\000\062ADD24ADD03F.docx</w:t>
    </w:r>
    <w:r w:rsidRPr="00EE3D0D">
      <w:rPr>
        <w:noProof w:val="0"/>
      </w:rPr>
      <w:fldChar w:fldCharType="end"/>
    </w:r>
    <w:r w:rsidR="00B933EB" w:rsidRPr="00EE3D0D">
      <w:rPr>
        <w:noProof w:val="0"/>
      </w:rPr>
      <w:t xml:space="preserve"> </w:t>
    </w:r>
    <w:r w:rsidR="0046094A" w:rsidRPr="00EE3D0D">
      <w:rPr>
        <w:noProof w:val="0"/>
      </w:rPr>
      <w:t>(528647</w:t>
    </w:r>
    <w:r w:rsidR="00B933EB" w:rsidRPr="00EE3D0D">
      <w:rPr>
        <w:noProof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F93" w14:textId="634CA3F9" w:rsidR="0046094A" w:rsidRPr="00EE3D0D" w:rsidRDefault="00DF3246" w:rsidP="00B933EB">
    <w:pPr>
      <w:pStyle w:val="Footer"/>
      <w:rPr>
        <w:noProof w:val="0"/>
      </w:rPr>
    </w:pPr>
    <w:r w:rsidRPr="00EE3D0D">
      <w:rPr>
        <w:noProof w:val="0"/>
      </w:rPr>
      <w:fldChar w:fldCharType="begin"/>
    </w:r>
    <w:r w:rsidRPr="00EE3D0D">
      <w:rPr>
        <w:noProof w:val="0"/>
      </w:rPr>
      <w:instrText xml:space="preserve"> FILENAME \p  \* MERGEFORMAT </w:instrText>
    </w:r>
    <w:r w:rsidRPr="00EE3D0D">
      <w:rPr>
        <w:noProof w:val="0"/>
      </w:rPr>
      <w:fldChar w:fldCharType="separate"/>
    </w:r>
    <w:r w:rsidR="00B933EB" w:rsidRPr="00EE3D0D">
      <w:rPr>
        <w:noProof w:val="0"/>
      </w:rPr>
      <w:t>P:\FRA\ITU-R\CONF-R\CMR23\000\062ADD24ADD03F.docx</w:t>
    </w:r>
    <w:r w:rsidRPr="00EE3D0D">
      <w:rPr>
        <w:noProof w:val="0"/>
      </w:rPr>
      <w:fldChar w:fldCharType="end"/>
    </w:r>
    <w:r w:rsidR="00B933EB" w:rsidRPr="00EE3D0D">
      <w:rPr>
        <w:noProof w:val="0"/>
      </w:rPr>
      <w:t xml:space="preserve"> (</w:t>
    </w:r>
    <w:r w:rsidR="0046094A" w:rsidRPr="00EE3D0D">
      <w:rPr>
        <w:noProof w:val="0"/>
      </w:rPr>
      <w:t>528647</w:t>
    </w:r>
    <w:r w:rsidR="00B933EB" w:rsidRPr="00EE3D0D">
      <w:rPr>
        <w:noProof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F2D0" w14:textId="77777777" w:rsidR="00CB685A" w:rsidRPr="00EE3D0D" w:rsidRDefault="00CB685A">
      <w:r w:rsidRPr="00EE3D0D">
        <w:rPr>
          <w:b/>
        </w:rPr>
        <w:t>_______________</w:t>
      </w:r>
    </w:p>
  </w:footnote>
  <w:footnote w:type="continuationSeparator" w:id="0">
    <w:p w14:paraId="7B8BB3A4" w14:textId="77777777" w:rsidR="00CB685A" w:rsidRPr="00EE3D0D" w:rsidRDefault="00CB685A">
      <w:r w:rsidRPr="00EE3D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9FFD" w14:textId="18A20970" w:rsidR="004F1F8E" w:rsidRPr="00EE3D0D" w:rsidRDefault="004F1F8E" w:rsidP="004F1F8E">
    <w:pPr>
      <w:pStyle w:val="Header"/>
    </w:pPr>
    <w:r w:rsidRPr="00EE3D0D">
      <w:fldChar w:fldCharType="begin"/>
    </w:r>
    <w:r w:rsidRPr="00EE3D0D">
      <w:instrText xml:space="preserve"> PAGE </w:instrText>
    </w:r>
    <w:r w:rsidRPr="00EE3D0D">
      <w:fldChar w:fldCharType="separate"/>
    </w:r>
    <w:r w:rsidR="00F91E78" w:rsidRPr="00EE3D0D">
      <w:t>2</w:t>
    </w:r>
    <w:r w:rsidRPr="00EE3D0D">
      <w:fldChar w:fldCharType="end"/>
    </w:r>
  </w:p>
  <w:p w14:paraId="12D67871" w14:textId="77777777" w:rsidR="004F1F8E" w:rsidRPr="00EE3D0D" w:rsidRDefault="00225CF2" w:rsidP="00FD7AA3">
    <w:pPr>
      <w:pStyle w:val="Header"/>
    </w:pPr>
    <w:r w:rsidRPr="00EE3D0D">
      <w:t>WRC</w:t>
    </w:r>
    <w:r w:rsidR="00D3426F" w:rsidRPr="00EE3D0D">
      <w:t>23</w:t>
    </w:r>
    <w:r w:rsidR="004F1F8E" w:rsidRPr="00EE3D0D">
      <w:t>/</w:t>
    </w:r>
    <w:r w:rsidR="006A4B45" w:rsidRPr="00EE3D0D">
      <w:t>62(Add.24)(Add.3)-</w:t>
    </w:r>
    <w:r w:rsidR="00010B43" w:rsidRPr="00EE3D0D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3879546">
    <w:abstractNumId w:val="0"/>
  </w:num>
  <w:num w:numId="2" w16cid:durableId="1864560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7DE"/>
    <w:rsid w:val="00007EC7"/>
    <w:rsid w:val="00010B43"/>
    <w:rsid w:val="00016648"/>
    <w:rsid w:val="00030C68"/>
    <w:rsid w:val="0003522F"/>
    <w:rsid w:val="00063A1F"/>
    <w:rsid w:val="00080E2C"/>
    <w:rsid w:val="00081366"/>
    <w:rsid w:val="000863B3"/>
    <w:rsid w:val="00087567"/>
    <w:rsid w:val="000A4755"/>
    <w:rsid w:val="000A55AE"/>
    <w:rsid w:val="000B2E0C"/>
    <w:rsid w:val="000B3D0C"/>
    <w:rsid w:val="001167B9"/>
    <w:rsid w:val="001227CD"/>
    <w:rsid w:val="001267A0"/>
    <w:rsid w:val="0014065A"/>
    <w:rsid w:val="00147509"/>
    <w:rsid w:val="0015203F"/>
    <w:rsid w:val="00160C64"/>
    <w:rsid w:val="00173211"/>
    <w:rsid w:val="0018169B"/>
    <w:rsid w:val="00181D27"/>
    <w:rsid w:val="0019352B"/>
    <w:rsid w:val="001960D0"/>
    <w:rsid w:val="001A11F6"/>
    <w:rsid w:val="001A6CD1"/>
    <w:rsid w:val="001F17E8"/>
    <w:rsid w:val="00204306"/>
    <w:rsid w:val="002077BE"/>
    <w:rsid w:val="00222BA6"/>
    <w:rsid w:val="00225B2C"/>
    <w:rsid w:val="00225CF2"/>
    <w:rsid w:val="00232FD2"/>
    <w:rsid w:val="00244570"/>
    <w:rsid w:val="0026554E"/>
    <w:rsid w:val="002A4622"/>
    <w:rsid w:val="002A6F8F"/>
    <w:rsid w:val="002B17E5"/>
    <w:rsid w:val="002B40B1"/>
    <w:rsid w:val="002C0773"/>
    <w:rsid w:val="002C0EBF"/>
    <w:rsid w:val="002C28A4"/>
    <w:rsid w:val="002D7E0A"/>
    <w:rsid w:val="002E5A63"/>
    <w:rsid w:val="00314CE8"/>
    <w:rsid w:val="00315AFE"/>
    <w:rsid w:val="003411F6"/>
    <w:rsid w:val="003606A6"/>
    <w:rsid w:val="0036650C"/>
    <w:rsid w:val="00371086"/>
    <w:rsid w:val="0037125F"/>
    <w:rsid w:val="003866F2"/>
    <w:rsid w:val="00393ACD"/>
    <w:rsid w:val="003A130E"/>
    <w:rsid w:val="003A583E"/>
    <w:rsid w:val="003C1294"/>
    <w:rsid w:val="003C4A41"/>
    <w:rsid w:val="003C4A73"/>
    <w:rsid w:val="003E112B"/>
    <w:rsid w:val="003E1D1C"/>
    <w:rsid w:val="003E7B05"/>
    <w:rsid w:val="003F3719"/>
    <w:rsid w:val="003F6F2D"/>
    <w:rsid w:val="00420997"/>
    <w:rsid w:val="00451587"/>
    <w:rsid w:val="0046094A"/>
    <w:rsid w:val="00466211"/>
    <w:rsid w:val="00473B45"/>
    <w:rsid w:val="0047745A"/>
    <w:rsid w:val="00483196"/>
    <w:rsid w:val="004834A9"/>
    <w:rsid w:val="00497632"/>
    <w:rsid w:val="004B5AC3"/>
    <w:rsid w:val="004D01FC"/>
    <w:rsid w:val="004D1C74"/>
    <w:rsid w:val="004E28C3"/>
    <w:rsid w:val="004F1F8E"/>
    <w:rsid w:val="005007C6"/>
    <w:rsid w:val="00510008"/>
    <w:rsid w:val="00512A32"/>
    <w:rsid w:val="005138F7"/>
    <w:rsid w:val="00515BC1"/>
    <w:rsid w:val="005343DA"/>
    <w:rsid w:val="0053651B"/>
    <w:rsid w:val="00560874"/>
    <w:rsid w:val="005807D1"/>
    <w:rsid w:val="0058557D"/>
    <w:rsid w:val="00586CF2"/>
    <w:rsid w:val="005A7C75"/>
    <w:rsid w:val="005C3768"/>
    <w:rsid w:val="005C6C3F"/>
    <w:rsid w:val="005F0F48"/>
    <w:rsid w:val="00613635"/>
    <w:rsid w:val="00613A8C"/>
    <w:rsid w:val="0062093D"/>
    <w:rsid w:val="00637ECF"/>
    <w:rsid w:val="00644F3A"/>
    <w:rsid w:val="00647B59"/>
    <w:rsid w:val="00672439"/>
    <w:rsid w:val="006862A7"/>
    <w:rsid w:val="00690C7B"/>
    <w:rsid w:val="006A4B45"/>
    <w:rsid w:val="006C0588"/>
    <w:rsid w:val="006D4724"/>
    <w:rsid w:val="006F5FA2"/>
    <w:rsid w:val="0070076C"/>
    <w:rsid w:val="00701BAE"/>
    <w:rsid w:val="00721F04"/>
    <w:rsid w:val="00730E95"/>
    <w:rsid w:val="0073517C"/>
    <w:rsid w:val="007426B9"/>
    <w:rsid w:val="00761215"/>
    <w:rsid w:val="00764342"/>
    <w:rsid w:val="00774362"/>
    <w:rsid w:val="00786598"/>
    <w:rsid w:val="00790C74"/>
    <w:rsid w:val="007A04E8"/>
    <w:rsid w:val="007B2C34"/>
    <w:rsid w:val="007F282B"/>
    <w:rsid w:val="00825327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018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461E"/>
    <w:rsid w:val="00A00473"/>
    <w:rsid w:val="00A03C9B"/>
    <w:rsid w:val="00A1021B"/>
    <w:rsid w:val="00A37105"/>
    <w:rsid w:val="00A606C3"/>
    <w:rsid w:val="00A83B09"/>
    <w:rsid w:val="00A84541"/>
    <w:rsid w:val="00A97B22"/>
    <w:rsid w:val="00AB4B84"/>
    <w:rsid w:val="00AE36A0"/>
    <w:rsid w:val="00B00294"/>
    <w:rsid w:val="00B100C2"/>
    <w:rsid w:val="00B205FA"/>
    <w:rsid w:val="00B367D1"/>
    <w:rsid w:val="00B3749C"/>
    <w:rsid w:val="00B64FD0"/>
    <w:rsid w:val="00B933EB"/>
    <w:rsid w:val="00BA5BD0"/>
    <w:rsid w:val="00BB1D82"/>
    <w:rsid w:val="00BC217E"/>
    <w:rsid w:val="00BD51C5"/>
    <w:rsid w:val="00BE6683"/>
    <w:rsid w:val="00BF26E7"/>
    <w:rsid w:val="00C1305F"/>
    <w:rsid w:val="00C36CEC"/>
    <w:rsid w:val="00C51DD7"/>
    <w:rsid w:val="00C53FCA"/>
    <w:rsid w:val="00C60951"/>
    <w:rsid w:val="00C71DEB"/>
    <w:rsid w:val="00C76BAF"/>
    <w:rsid w:val="00C814B9"/>
    <w:rsid w:val="00CA3D96"/>
    <w:rsid w:val="00CB62F1"/>
    <w:rsid w:val="00CB685A"/>
    <w:rsid w:val="00CD516F"/>
    <w:rsid w:val="00D119A7"/>
    <w:rsid w:val="00D2436D"/>
    <w:rsid w:val="00D25FBA"/>
    <w:rsid w:val="00D32B28"/>
    <w:rsid w:val="00D3426F"/>
    <w:rsid w:val="00D352B7"/>
    <w:rsid w:val="00D42954"/>
    <w:rsid w:val="00D50F4E"/>
    <w:rsid w:val="00D66EAC"/>
    <w:rsid w:val="00D730DF"/>
    <w:rsid w:val="00D772F0"/>
    <w:rsid w:val="00D77BDC"/>
    <w:rsid w:val="00DC0FAC"/>
    <w:rsid w:val="00DC402B"/>
    <w:rsid w:val="00DE0932"/>
    <w:rsid w:val="00DF15E8"/>
    <w:rsid w:val="00DF3246"/>
    <w:rsid w:val="00E03A27"/>
    <w:rsid w:val="00E049F1"/>
    <w:rsid w:val="00E215CE"/>
    <w:rsid w:val="00E37A25"/>
    <w:rsid w:val="00E5121E"/>
    <w:rsid w:val="00E537FF"/>
    <w:rsid w:val="00E567DE"/>
    <w:rsid w:val="00E60CB2"/>
    <w:rsid w:val="00E6509A"/>
    <w:rsid w:val="00E6539B"/>
    <w:rsid w:val="00E70A31"/>
    <w:rsid w:val="00E723A7"/>
    <w:rsid w:val="00EA3F38"/>
    <w:rsid w:val="00EA5AB6"/>
    <w:rsid w:val="00EC7615"/>
    <w:rsid w:val="00ED16AA"/>
    <w:rsid w:val="00ED6B8D"/>
    <w:rsid w:val="00EE3D0D"/>
    <w:rsid w:val="00EE3D7B"/>
    <w:rsid w:val="00EF662E"/>
    <w:rsid w:val="00F10064"/>
    <w:rsid w:val="00F148F1"/>
    <w:rsid w:val="00F60F27"/>
    <w:rsid w:val="00F711A7"/>
    <w:rsid w:val="00F91E78"/>
    <w:rsid w:val="00FA0446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97FD14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2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21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11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17321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73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211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FCF1B-3109-4FE9-BF59-1C587B9467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63055-685E-4B92-830F-F6F8211988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AACDB77-A4FA-4B09-830C-79E2FD78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634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R23-WRC23-C-0062!A24-A3!MSW-F</vt:lpstr>
    </vt:vector>
  </TitlesOfParts>
  <Manager>Secrétariat général - Pool</Manager>
  <Company>Union internationale des télécommunications (UIT)</Company>
  <LinksUpToDate>false</LinksUpToDate>
  <CharactersWithSpaces>4112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16</cp:revision>
  <cp:lastPrinted>2003-06-05T19:34:00Z</cp:lastPrinted>
  <dcterms:created xsi:type="dcterms:W3CDTF">2023-10-16T06:53:00Z</dcterms:created>
  <dcterms:modified xsi:type="dcterms:W3CDTF">2023-10-16T09:37:00Z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