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87C2E" w14:paraId="35761B33" w14:textId="77777777" w:rsidTr="0080079E">
        <w:trPr>
          <w:cantSplit/>
        </w:trPr>
        <w:tc>
          <w:tcPr>
            <w:tcW w:w="1418" w:type="dxa"/>
            <w:vAlign w:val="center"/>
          </w:tcPr>
          <w:p w14:paraId="048C5A47" w14:textId="77777777" w:rsidR="0080079E" w:rsidRPr="00087C2E" w:rsidRDefault="0080079E" w:rsidP="0080079E">
            <w:pPr>
              <w:spacing w:before="0" w:line="240" w:lineRule="atLeast"/>
              <w:rPr>
                <w:rFonts w:ascii="Verdana" w:hAnsi="Verdana"/>
                <w:position w:val="6"/>
              </w:rPr>
            </w:pPr>
            <w:r w:rsidRPr="00087C2E">
              <w:rPr>
                <w:noProof/>
              </w:rPr>
              <w:drawing>
                <wp:inline distT="0" distB="0" distL="0" distR="0" wp14:anchorId="58EEB4FE" wp14:editId="58A2653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76FFCD5" w14:textId="297F2414" w:rsidR="0080079E" w:rsidRPr="00087C2E" w:rsidRDefault="0080079E" w:rsidP="00C44E9E">
            <w:pPr>
              <w:spacing w:before="400" w:after="48" w:line="240" w:lineRule="atLeast"/>
              <w:rPr>
                <w:rFonts w:ascii="Verdana" w:hAnsi="Verdana"/>
                <w:position w:val="6"/>
              </w:rPr>
            </w:pPr>
            <w:r w:rsidRPr="00087C2E">
              <w:rPr>
                <w:rFonts w:ascii="Verdana" w:hAnsi="Verdana" w:cs="Times"/>
                <w:b/>
                <w:position w:val="6"/>
                <w:sz w:val="20"/>
              </w:rPr>
              <w:t>Conferencia Mundial de Radiocomunicaciones (CMR-23)</w:t>
            </w:r>
            <w:r w:rsidRPr="00087C2E">
              <w:rPr>
                <w:rFonts w:ascii="Verdana" w:hAnsi="Verdana" w:cs="Times"/>
                <w:b/>
                <w:position w:val="6"/>
                <w:sz w:val="20"/>
              </w:rPr>
              <w:br/>
            </w:r>
            <w:r w:rsidRPr="00087C2E">
              <w:rPr>
                <w:rFonts w:ascii="Verdana" w:hAnsi="Verdana" w:cs="Times"/>
                <w:b/>
                <w:position w:val="6"/>
                <w:sz w:val="18"/>
                <w:szCs w:val="18"/>
              </w:rPr>
              <w:t xml:space="preserve">Dubái, 20 de noviembre </w:t>
            </w:r>
            <w:r w:rsidR="00525649" w:rsidRPr="00525649">
              <w:rPr>
                <w:rFonts w:ascii="Verdana" w:hAnsi="Verdana" w:cs="Times"/>
                <w:b/>
                <w:position w:val="6"/>
                <w:sz w:val="18"/>
                <w:szCs w:val="18"/>
              </w:rPr>
              <w:t>–</w:t>
            </w:r>
            <w:r w:rsidRPr="00087C2E">
              <w:rPr>
                <w:rFonts w:ascii="Verdana" w:hAnsi="Verdana" w:cs="Times"/>
                <w:b/>
                <w:position w:val="6"/>
                <w:sz w:val="18"/>
                <w:szCs w:val="18"/>
              </w:rPr>
              <w:t xml:space="preserve"> 15 de diciembre de 2023</w:t>
            </w:r>
          </w:p>
        </w:tc>
        <w:tc>
          <w:tcPr>
            <w:tcW w:w="1809" w:type="dxa"/>
            <w:vAlign w:val="center"/>
          </w:tcPr>
          <w:p w14:paraId="3E434335" w14:textId="77777777" w:rsidR="0080079E" w:rsidRPr="00087C2E" w:rsidRDefault="0080079E" w:rsidP="0080079E">
            <w:pPr>
              <w:spacing w:before="0" w:line="240" w:lineRule="atLeast"/>
            </w:pPr>
            <w:bookmarkStart w:id="0" w:name="ditulogo"/>
            <w:bookmarkEnd w:id="0"/>
            <w:r w:rsidRPr="00087C2E">
              <w:rPr>
                <w:noProof/>
              </w:rPr>
              <w:drawing>
                <wp:inline distT="0" distB="0" distL="0" distR="0" wp14:anchorId="6910D85F" wp14:editId="4649B0F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87C2E" w14:paraId="3679D36A" w14:textId="77777777" w:rsidTr="0050008E">
        <w:trPr>
          <w:cantSplit/>
        </w:trPr>
        <w:tc>
          <w:tcPr>
            <w:tcW w:w="6911" w:type="dxa"/>
            <w:gridSpan w:val="2"/>
            <w:tcBorders>
              <w:bottom w:val="single" w:sz="12" w:space="0" w:color="auto"/>
            </w:tcBorders>
          </w:tcPr>
          <w:p w14:paraId="0EFE504B" w14:textId="77777777" w:rsidR="0090121B" w:rsidRPr="00087C2E"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D5AFBC7" w14:textId="77777777" w:rsidR="0090121B" w:rsidRPr="00087C2E" w:rsidRDefault="0090121B" w:rsidP="0090121B">
            <w:pPr>
              <w:spacing w:before="0" w:line="240" w:lineRule="atLeast"/>
              <w:rPr>
                <w:rFonts w:ascii="Verdana" w:hAnsi="Verdana"/>
                <w:szCs w:val="24"/>
              </w:rPr>
            </w:pPr>
          </w:p>
        </w:tc>
      </w:tr>
      <w:tr w:rsidR="0090121B" w:rsidRPr="00087C2E" w14:paraId="7B12CE87" w14:textId="77777777" w:rsidTr="0090121B">
        <w:trPr>
          <w:cantSplit/>
        </w:trPr>
        <w:tc>
          <w:tcPr>
            <w:tcW w:w="6911" w:type="dxa"/>
            <w:gridSpan w:val="2"/>
            <w:tcBorders>
              <w:top w:val="single" w:sz="12" w:space="0" w:color="auto"/>
            </w:tcBorders>
          </w:tcPr>
          <w:p w14:paraId="7AB06657" w14:textId="77777777" w:rsidR="0090121B" w:rsidRPr="00087C2E"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C5319D4" w14:textId="77777777" w:rsidR="0090121B" w:rsidRPr="00087C2E" w:rsidRDefault="0090121B" w:rsidP="0090121B">
            <w:pPr>
              <w:spacing w:before="0" w:line="240" w:lineRule="atLeast"/>
              <w:rPr>
                <w:rFonts w:ascii="Verdana" w:hAnsi="Verdana"/>
                <w:sz w:val="20"/>
              </w:rPr>
            </w:pPr>
          </w:p>
        </w:tc>
      </w:tr>
      <w:tr w:rsidR="0090121B" w:rsidRPr="00525649" w14:paraId="71B41ECD" w14:textId="77777777" w:rsidTr="0090121B">
        <w:trPr>
          <w:cantSplit/>
        </w:trPr>
        <w:tc>
          <w:tcPr>
            <w:tcW w:w="6911" w:type="dxa"/>
            <w:gridSpan w:val="2"/>
          </w:tcPr>
          <w:p w14:paraId="1B89FC31" w14:textId="77777777" w:rsidR="0090121B" w:rsidRPr="00087C2E" w:rsidRDefault="001E7D42" w:rsidP="00EA77F0">
            <w:pPr>
              <w:pStyle w:val="Committee"/>
              <w:framePr w:hSpace="0" w:wrap="auto" w:hAnchor="text" w:yAlign="inline"/>
              <w:rPr>
                <w:sz w:val="18"/>
                <w:szCs w:val="18"/>
                <w:lang w:val="es-ES_tradnl"/>
              </w:rPr>
            </w:pPr>
            <w:r w:rsidRPr="00087C2E">
              <w:rPr>
                <w:sz w:val="18"/>
                <w:szCs w:val="18"/>
                <w:lang w:val="es-ES_tradnl"/>
              </w:rPr>
              <w:t>SESIÓN PLENARIA</w:t>
            </w:r>
          </w:p>
        </w:tc>
        <w:tc>
          <w:tcPr>
            <w:tcW w:w="3120" w:type="dxa"/>
            <w:gridSpan w:val="2"/>
          </w:tcPr>
          <w:p w14:paraId="179CB40D" w14:textId="77777777" w:rsidR="0090121B" w:rsidRPr="00525649" w:rsidRDefault="00AE658F" w:rsidP="0045384C">
            <w:pPr>
              <w:spacing w:before="0"/>
              <w:rPr>
                <w:rFonts w:ascii="Verdana" w:hAnsi="Verdana"/>
                <w:sz w:val="18"/>
                <w:szCs w:val="18"/>
                <w:lang w:val="it-IT"/>
              </w:rPr>
            </w:pPr>
            <w:r w:rsidRPr="00525649">
              <w:rPr>
                <w:rFonts w:ascii="Verdana" w:hAnsi="Verdana"/>
                <w:b/>
                <w:sz w:val="18"/>
                <w:szCs w:val="18"/>
                <w:lang w:val="it-IT"/>
              </w:rPr>
              <w:t>Addéndum 2 al</w:t>
            </w:r>
            <w:r w:rsidRPr="00525649">
              <w:rPr>
                <w:rFonts w:ascii="Verdana" w:hAnsi="Verdana"/>
                <w:b/>
                <w:sz w:val="18"/>
                <w:szCs w:val="18"/>
                <w:lang w:val="it-IT"/>
              </w:rPr>
              <w:br/>
              <w:t>Documento 62(Add.24)</w:t>
            </w:r>
            <w:r w:rsidR="0090121B" w:rsidRPr="00525649">
              <w:rPr>
                <w:rFonts w:ascii="Verdana" w:hAnsi="Verdana"/>
                <w:b/>
                <w:sz w:val="18"/>
                <w:szCs w:val="18"/>
                <w:lang w:val="it-IT"/>
              </w:rPr>
              <w:t>-</w:t>
            </w:r>
            <w:r w:rsidRPr="00525649">
              <w:rPr>
                <w:rFonts w:ascii="Verdana" w:hAnsi="Verdana"/>
                <w:b/>
                <w:sz w:val="18"/>
                <w:szCs w:val="18"/>
                <w:lang w:val="it-IT"/>
              </w:rPr>
              <w:t>S</w:t>
            </w:r>
          </w:p>
        </w:tc>
      </w:tr>
      <w:bookmarkEnd w:id="1"/>
      <w:tr w:rsidR="000A5B9A" w:rsidRPr="00087C2E" w14:paraId="0DAF4E3B" w14:textId="77777777" w:rsidTr="0090121B">
        <w:trPr>
          <w:cantSplit/>
        </w:trPr>
        <w:tc>
          <w:tcPr>
            <w:tcW w:w="6911" w:type="dxa"/>
            <w:gridSpan w:val="2"/>
          </w:tcPr>
          <w:p w14:paraId="260E94A3" w14:textId="77777777" w:rsidR="000A5B9A" w:rsidRPr="00525649" w:rsidRDefault="000A5B9A" w:rsidP="0045384C">
            <w:pPr>
              <w:spacing w:before="0" w:after="48"/>
              <w:rPr>
                <w:rFonts w:ascii="Verdana" w:hAnsi="Verdana"/>
                <w:b/>
                <w:smallCaps/>
                <w:sz w:val="18"/>
                <w:szCs w:val="18"/>
                <w:lang w:val="it-IT"/>
              </w:rPr>
            </w:pPr>
          </w:p>
        </w:tc>
        <w:tc>
          <w:tcPr>
            <w:tcW w:w="3120" w:type="dxa"/>
            <w:gridSpan w:val="2"/>
          </w:tcPr>
          <w:p w14:paraId="1868F5ED" w14:textId="77777777" w:rsidR="000A5B9A" w:rsidRPr="00087C2E" w:rsidRDefault="000A5B9A" w:rsidP="0045384C">
            <w:pPr>
              <w:spacing w:before="0"/>
              <w:rPr>
                <w:rFonts w:ascii="Verdana" w:hAnsi="Verdana"/>
                <w:b/>
                <w:sz w:val="18"/>
                <w:szCs w:val="18"/>
              </w:rPr>
            </w:pPr>
            <w:r w:rsidRPr="00087C2E">
              <w:rPr>
                <w:rFonts w:ascii="Verdana" w:hAnsi="Verdana"/>
                <w:b/>
                <w:sz w:val="18"/>
                <w:szCs w:val="18"/>
              </w:rPr>
              <w:t>26 de septiembre de 2023</w:t>
            </w:r>
          </w:p>
        </w:tc>
      </w:tr>
      <w:tr w:rsidR="000A5B9A" w:rsidRPr="00087C2E" w14:paraId="3D1BB912" w14:textId="77777777" w:rsidTr="0090121B">
        <w:trPr>
          <w:cantSplit/>
        </w:trPr>
        <w:tc>
          <w:tcPr>
            <w:tcW w:w="6911" w:type="dxa"/>
            <w:gridSpan w:val="2"/>
          </w:tcPr>
          <w:p w14:paraId="1958EBB4" w14:textId="77777777" w:rsidR="000A5B9A" w:rsidRPr="00087C2E" w:rsidRDefault="000A5B9A" w:rsidP="0045384C">
            <w:pPr>
              <w:spacing w:before="0" w:after="48"/>
              <w:rPr>
                <w:rFonts w:ascii="Verdana" w:hAnsi="Verdana"/>
                <w:b/>
                <w:smallCaps/>
                <w:sz w:val="18"/>
                <w:szCs w:val="18"/>
              </w:rPr>
            </w:pPr>
          </w:p>
        </w:tc>
        <w:tc>
          <w:tcPr>
            <w:tcW w:w="3120" w:type="dxa"/>
            <w:gridSpan w:val="2"/>
          </w:tcPr>
          <w:p w14:paraId="035709B3" w14:textId="77777777" w:rsidR="000A5B9A" w:rsidRPr="00087C2E" w:rsidRDefault="000A5B9A" w:rsidP="0045384C">
            <w:pPr>
              <w:spacing w:before="0"/>
              <w:rPr>
                <w:rFonts w:ascii="Verdana" w:hAnsi="Verdana"/>
                <w:b/>
                <w:sz w:val="18"/>
                <w:szCs w:val="18"/>
              </w:rPr>
            </w:pPr>
            <w:r w:rsidRPr="00087C2E">
              <w:rPr>
                <w:rFonts w:ascii="Verdana" w:hAnsi="Verdana"/>
                <w:b/>
                <w:sz w:val="18"/>
                <w:szCs w:val="18"/>
              </w:rPr>
              <w:t>Original: inglés</w:t>
            </w:r>
          </w:p>
        </w:tc>
      </w:tr>
      <w:tr w:rsidR="000A5B9A" w:rsidRPr="00087C2E" w14:paraId="387AD10F" w14:textId="77777777" w:rsidTr="006744FC">
        <w:trPr>
          <w:cantSplit/>
        </w:trPr>
        <w:tc>
          <w:tcPr>
            <w:tcW w:w="10031" w:type="dxa"/>
            <w:gridSpan w:val="4"/>
          </w:tcPr>
          <w:p w14:paraId="6B97C559" w14:textId="77777777" w:rsidR="000A5B9A" w:rsidRPr="00087C2E" w:rsidRDefault="000A5B9A" w:rsidP="0045384C">
            <w:pPr>
              <w:spacing w:before="0"/>
              <w:rPr>
                <w:rFonts w:ascii="Verdana" w:hAnsi="Verdana"/>
                <w:b/>
                <w:sz w:val="18"/>
                <w:szCs w:val="22"/>
              </w:rPr>
            </w:pPr>
          </w:p>
        </w:tc>
      </w:tr>
      <w:tr w:rsidR="000A5B9A" w:rsidRPr="00087C2E" w14:paraId="1CFA451D" w14:textId="77777777" w:rsidTr="0050008E">
        <w:trPr>
          <w:cantSplit/>
        </w:trPr>
        <w:tc>
          <w:tcPr>
            <w:tcW w:w="10031" w:type="dxa"/>
            <w:gridSpan w:val="4"/>
          </w:tcPr>
          <w:p w14:paraId="5AB2EB50" w14:textId="77777777" w:rsidR="000A5B9A" w:rsidRPr="00087C2E" w:rsidRDefault="000A5B9A" w:rsidP="000A5B9A">
            <w:pPr>
              <w:pStyle w:val="Source"/>
            </w:pPr>
            <w:bookmarkStart w:id="2" w:name="dsource" w:colFirst="0" w:colLast="0"/>
            <w:r w:rsidRPr="00087C2E">
              <w:t>Propuestas Comunes de la Telecomunidad Asia-Pacífico</w:t>
            </w:r>
          </w:p>
        </w:tc>
      </w:tr>
      <w:tr w:rsidR="000A5B9A" w:rsidRPr="00087C2E" w14:paraId="7C43620C" w14:textId="77777777" w:rsidTr="0050008E">
        <w:trPr>
          <w:cantSplit/>
        </w:trPr>
        <w:tc>
          <w:tcPr>
            <w:tcW w:w="10031" w:type="dxa"/>
            <w:gridSpan w:val="4"/>
          </w:tcPr>
          <w:p w14:paraId="483A3656" w14:textId="3CA25587" w:rsidR="000A5B9A" w:rsidRPr="00087C2E" w:rsidRDefault="006838A3" w:rsidP="000A5B9A">
            <w:pPr>
              <w:pStyle w:val="Title1"/>
            </w:pPr>
            <w:bookmarkStart w:id="3" w:name="dtitle1" w:colFirst="0" w:colLast="0"/>
            <w:bookmarkEnd w:id="2"/>
            <w:r w:rsidRPr="00087C2E">
              <w:t>PROPUESTAS PARA LOS TRABAJOS DE LA CONFERENCIA</w:t>
            </w:r>
          </w:p>
        </w:tc>
      </w:tr>
      <w:tr w:rsidR="000A5B9A" w:rsidRPr="00087C2E" w14:paraId="0E350946" w14:textId="77777777" w:rsidTr="0050008E">
        <w:trPr>
          <w:cantSplit/>
        </w:trPr>
        <w:tc>
          <w:tcPr>
            <w:tcW w:w="10031" w:type="dxa"/>
            <w:gridSpan w:val="4"/>
          </w:tcPr>
          <w:p w14:paraId="40155A46" w14:textId="77777777" w:rsidR="000A5B9A" w:rsidRPr="00087C2E" w:rsidRDefault="000A5B9A" w:rsidP="000A5B9A">
            <w:pPr>
              <w:pStyle w:val="Title2"/>
            </w:pPr>
            <w:bookmarkStart w:id="4" w:name="dtitle2" w:colFirst="0" w:colLast="0"/>
            <w:bookmarkEnd w:id="3"/>
          </w:p>
        </w:tc>
      </w:tr>
      <w:tr w:rsidR="000A5B9A" w:rsidRPr="00087C2E" w14:paraId="68CBC50C" w14:textId="77777777" w:rsidTr="0050008E">
        <w:trPr>
          <w:cantSplit/>
        </w:trPr>
        <w:tc>
          <w:tcPr>
            <w:tcW w:w="10031" w:type="dxa"/>
            <w:gridSpan w:val="4"/>
          </w:tcPr>
          <w:p w14:paraId="23B16DBE" w14:textId="77777777" w:rsidR="000A5B9A" w:rsidRPr="00087C2E" w:rsidRDefault="000A5B9A" w:rsidP="000A5B9A">
            <w:pPr>
              <w:pStyle w:val="Agendaitem"/>
            </w:pPr>
            <w:bookmarkStart w:id="5" w:name="dtitle3" w:colFirst="0" w:colLast="0"/>
            <w:bookmarkEnd w:id="4"/>
            <w:r w:rsidRPr="00087C2E">
              <w:t>Punto 9.1(9.1-b) del orden del día</w:t>
            </w:r>
          </w:p>
        </w:tc>
      </w:tr>
    </w:tbl>
    <w:bookmarkEnd w:id="5"/>
    <w:p w14:paraId="6C5351F2" w14:textId="77777777" w:rsidR="00E72C96" w:rsidRPr="00087C2E" w:rsidRDefault="00E72C96" w:rsidP="00525649">
      <w:pPr>
        <w:pStyle w:val="Normalaftertitle"/>
      </w:pPr>
      <w:r w:rsidRPr="00087C2E">
        <w:t>9</w:t>
      </w:r>
      <w:r w:rsidRPr="00087C2E">
        <w:tab/>
        <w:t>examinar y aprobar el Informe del Director de la Oficina de Radiocomunicaciones, de conformidad con el Artículo 7 del Convenio de la UIT:</w:t>
      </w:r>
    </w:p>
    <w:p w14:paraId="537BA307" w14:textId="77777777" w:rsidR="00E72C96" w:rsidRPr="00087C2E" w:rsidRDefault="00E72C96" w:rsidP="0062039A">
      <w:r w:rsidRPr="00087C2E">
        <w:t>9.1</w:t>
      </w:r>
      <w:r w:rsidRPr="00087C2E">
        <w:tab/>
        <w:t>sobre las actividades del Sector de Radiocomunicaciones de la UIT desde la CMR</w:t>
      </w:r>
      <w:r w:rsidRPr="00087C2E">
        <w:noBreakHyphen/>
        <w:t>19;</w:t>
      </w:r>
    </w:p>
    <w:p w14:paraId="492A35F5" w14:textId="0A282F30" w:rsidR="00E72C96" w:rsidRPr="00087C2E" w:rsidRDefault="00E72C96" w:rsidP="003F6416">
      <w:r w:rsidRPr="00087C2E">
        <w:t>(9.1-b)</w:t>
      </w:r>
      <w:r w:rsidRPr="00087C2E">
        <w:tab/>
        <w:t>revisar las atribuciones al servicio de aficionados y al servicio de aficionados por satélite en la banda de frecuencias 1 240</w:t>
      </w:r>
      <w:r w:rsidRPr="00087C2E">
        <w:noBreakHyphen/>
        <w:t>1 300</w:t>
      </w:r>
      <w:r w:rsidR="007C1537">
        <w:t> </w:t>
      </w:r>
      <w:r w:rsidRPr="00087C2E">
        <w:t>MHz con el fin de determinar si son necesarias medidas adicionales para garantizar la protección del servicio de radionavegación por satélite (espacio-Tierra) que funciona en la misma banda, de conformidad con la Resolución</w:t>
      </w:r>
      <w:r w:rsidR="007C1537">
        <w:t> </w:t>
      </w:r>
      <w:r w:rsidRPr="00087C2E">
        <w:rPr>
          <w:b/>
        </w:rPr>
        <w:t>774</w:t>
      </w:r>
      <w:r w:rsidR="007C1537">
        <w:rPr>
          <w:b/>
        </w:rPr>
        <w:t> </w:t>
      </w:r>
      <w:r w:rsidRPr="00087C2E">
        <w:rPr>
          <w:b/>
        </w:rPr>
        <w:t>(CMR</w:t>
      </w:r>
      <w:r w:rsidR="007C1537">
        <w:rPr>
          <w:b/>
        </w:rPr>
        <w:noBreakHyphen/>
      </w:r>
      <w:r w:rsidRPr="00087C2E">
        <w:rPr>
          <w:b/>
        </w:rPr>
        <w:t>19)</w:t>
      </w:r>
      <w:r w:rsidRPr="00087C2E">
        <w:rPr>
          <w:bCs/>
        </w:rPr>
        <w:t>;</w:t>
      </w:r>
    </w:p>
    <w:p w14:paraId="7364DFDA" w14:textId="08E7D335" w:rsidR="00E72C96" w:rsidRPr="00087C2E" w:rsidRDefault="00E72C96" w:rsidP="00765262">
      <w:r w:rsidRPr="00087C2E">
        <w:t xml:space="preserve">Resolución </w:t>
      </w:r>
      <w:r w:rsidRPr="00087C2E">
        <w:rPr>
          <w:b/>
          <w:bCs/>
        </w:rPr>
        <w:t>774(CMR-19)</w:t>
      </w:r>
      <w:r w:rsidRPr="00087C2E">
        <w:t xml:space="preserve"> </w:t>
      </w:r>
      <w:r w:rsidR="00B06D0A">
        <w:t>–</w:t>
      </w:r>
      <w:r w:rsidRPr="00087C2E">
        <w:t xml:space="preserve"> Estudios sobre las medidas técnicas y operativas aplicables en la banda de frecuencias 1 240-1 300 MHz para garantizar la protección del servicio de radionavegación por satélite (espacio Tierra)</w:t>
      </w:r>
    </w:p>
    <w:p w14:paraId="12B03E06" w14:textId="159B6C30" w:rsidR="006838A3" w:rsidRPr="00087C2E" w:rsidRDefault="006838A3" w:rsidP="006838A3">
      <w:pPr>
        <w:pStyle w:val="Headingb"/>
        <w:rPr>
          <w:lang w:eastAsia="ko-KR"/>
        </w:rPr>
      </w:pPr>
      <w:r w:rsidRPr="00087C2E">
        <w:rPr>
          <w:lang w:eastAsia="ko-KR"/>
        </w:rPr>
        <w:t>Introducción</w:t>
      </w:r>
    </w:p>
    <w:p w14:paraId="0E4833E4" w14:textId="6FE40312" w:rsidR="006838A3" w:rsidRPr="00087C2E" w:rsidRDefault="006838A3" w:rsidP="00180826">
      <w:r w:rsidRPr="00087C2E">
        <w:rPr>
          <w:lang w:eastAsia="ko-KR"/>
        </w:rPr>
        <w:t xml:space="preserve">Los miembros de la APT apoyan los estudios llevados a cabo hasta la fecha por el UIT-R de conformidad con la Resolución </w:t>
      </w:r>
      <w:r w:rsidRPr="00087C2E">
        <w:rPr>
          <w:b/>
          <w:bCs/>
          <w:lang w:eastAsia="ko-KR"/>
        </w:rPr>
        <w:t>774 (CMR-19)</w:t>
      </w:r>
      <w:r w:rsidRPr="00087C2E">
        <w:rPr>
          <w:lang w:eastAsia="ko-KR"/>
        </w:rPr>
        <w:t>, así como la elaboración de nuevas Recomendaciones del UIT-R que faciliten directrices para garantizar la protección de los receptores del SRNS (espacio-Tierra) frente a los servicios de aficionados y aficionados por satélite en la banda de frecuencias 1</w:t>
      </w:r>
      <w:r w:rsidR="00C078D5">
        <w:rPr>
          <w:lang w:eastAsia="ko-KR"/>
        </w:rPr>
        <w:t> </w:t>
      </w:r>
      <w:r w:rsidRPr="00087C2E">
        <w:rPr>
          <w:lang w:eastAsia="ko-KR"/>
        </w:rPr>
        <w:t>240-1</w:t>
      </w:r>
      <w:r w:rsidR="00C078D5">
        <w:rPr>
          <w:lang w:eastAsia="ko-KR"/>
        </w:rPr>
        <w:t> </w:t>
      </w:r>
      <w:r w:rsidRPr="00087C2E">
        <w:rPr>
          <w:lang w:eastAsia="ko-KR"/>
        </w:rPr>
        <w:t>300</w:t>
      </w:r>
      <w:r w:rsidR="00C078D5">
        <w:rPr>
          <w:lang w:eastAsia="ko-KR"/>
        </w:rPr>
        <w:t> </w:t>
      </w:r>
      <w:r w:rsidRPr="00087C2E">
        <w:rPr>
          <w:lang w:eastAsia="ko-KR"/>
        </w:rPr>
        <w:t xml:space="preserve">MHz, partiendo del Informe UIT-R M.2513, sin considerar la supresión de las atribuciones a los servicios de aficionados y aficionados por satélite. Los miembros de la APT no apoyan la modificación del Reglamento de Radiocomunicaciones en virtud del tema b) del punto 9.1 del orden del día de la CMR-23. Los miembros de la APT reconocen que las disposiciones de los números </w:t>
      </w:r>
      <w:r w:rsidRPr="00087C2E">
        <w:rPr>
          <w:b/>
          <w:bCs/>
          <w:lang w:eastAsia="ko-KR"/>
        </w:rPr>
        <w:t>5.28</w:t>
      </w:r>
      <w:r w:rsidRPr="00087C2E">
        <w:rPr>
          <w:lang w:eastAsia="ko-KR"/>
        </w:rPr>
        <w:t xml:space="preserve"> a </w:t>
      </w:r>
      <w:r w:rsidRPr="00087C2E">
        <w:rPr>
          <w:b/>
          <w:bCs/>
          <w:lang w:eastAsia="ko-KR"/>
        </w:rPr>
        <w:t>5.30</w:t>
      </w:r>
      <w:r w:rsidRPr="00087C2E">
        <w:rPr>
          <w:lang w:eastAsia="ko-KR"/>
        </w:rPr>
        <w:t xml:space="preserve"> del RR seguirán aplicándose a pesar de la nueva Recomendación en </w:t>
      </w:r>
      <w:r w:rsidR="00180826" w:rsidRPr="00087C2E">
        <w:rPr>
          <w:lang w:eastAsia="ko-KR"/>
        </w:rPr>
        <w:t xml:space="preserve">fase de </w:t>
      </w:r>
      <w:r w:rsidRPr="00087C2E">
        <w:rPr>
          <w:lang w:eastAsia="ko-KR"/>
        </w:rPr>
        <w:t xml:space="preserve">desarrollo. Los Miembros de la APT también apoyan la supresión de la Resolución </w:t>
      </w:r>
      <w:r w:rsidRPr="00087C2E">
        <w:rPr>
          <w:b/>
          <w:bCs/>
          <w:lang w:eastAsia="ko-KR"/>
        </w:rPr>
        <w:t xml:space="preserve">774 (CMR-19) </w:t>
      </w:r>
      <w:r w:rsidRPr="00087C2E">
        <w:rPr>
          <w:lang w:eastAsia="ko-KR"/>
        </w:rPr>
        <w:t xml:space="preserve">si la Recomendación UIT-R M.[AS GUIDANCE] </w:t>
      </w:r>
      <w:r w:rsidR="00180826" w:rsidRPr="00087C2E">
        <w:rPr>
          <w:lang w:eastAsia="ko-KR"/>
        </w:rPr>
        <w:t>llega a</w:t>
      </w:r>
      <w:r w:rsidRPr="00087C2E">
        <w:rPr>
          <w:lang w:eastAsia="ko-KR"/>
        </w:rPr>
        <w:t xml:space="preserve"> finalizarse y aprobarse antes de la CMR-23.</w:t>
      </w:r>
    </w:p>
    <w:p w14:paraId="02FB5ECA" w14:textId="1AB1C8E7" w:rsidR="006838A3" w:rsidRPr="00087C2E" w:rsidRDefault="006838A3" w:rsidP="00525649">
      <w:pPr>
        <w:pStyle w:val="Headingb"/>
        <w:rPr>
          <w:lang w:eastAsia="ko-KR"/>
        </w:rPr>
      </w:pPr>
      <w:r w:rsidRPr="00087C2E">
        <w:rPr>
          <w:lang w:eastAsia="ko-KR"/>
        </w:rPr>
        <w:t>Propuestas</w:t>
      </w:r>
    </w:p>
    <w:p w14:paraId="34812119" w14:textId="77777777" w:rsidR="008750A8" w:rsidRPr="00087C2E" w:rsidRDefault="008750A8" w:rsidP="00525649">
      <w:r w:rsidRPr="00087C2E">
        <w:br w:type="page"/>
      </w:r>
    </w:p>
    <w:p w14:paraId="58DF8AAE" w14:textId="77777777" w:rsidR="00494339" w:rsidRPr="00087C2E" w:rsidRDefault="00E72C96">
      <w:pPr>
        <w:pStyle w:val="Proposal"/>
      </w:pPr>
      <w:r w:rsidRPr="00087C2E">
        <w:rPr>
          <w:u w:val="single"/>
        </w:rPr>
        <w:lastRenderedPageBreak/>
        <w:t>NOC</w:t>
      </w:r>
      <w:r w:rsidRPr="00087C2E">
        <w:tab/>
        <w:t>ACP/62A24A2/1</w:t>
      </w:r>
    </w:p>
    <w:p w14:paraId="12D823CF" w14:textId="77777777" w:rsidR="00E72C96" w:rsidRPr="00087C2E" w:rsidRDefault="00E72C96" w:rsidP="006C3DD2">
      <w:pPr>
        <w:pStyle w:val="Volumetitle"/>
      </w:pPr>
      <w:bookmarkStart w:id="6" w:name="_Toc48141288"/>
      <w:r w:rsidRPr="00087C2E">
        <w:t>ARTÍCULOS</w:t>
      </w:r>
      <w:bookmarkEnd w:id="6"/>
    </w:p>
    <w:p w14:paraId="08E27393" w14:textId="6E383E72" w:rsidR="00494339" w:rsidRPr="00087C2E" w:rsidRDefault="00E72C96">
      <w:pPr>
        <w:pStyle w:val="Reasons"/>
      </w:pPr>
      <w:r w:rsidRPr="007D176B">
        <w:rPr>
          <w:b/>
          <w:bCs/>
        </w:rPr>
        <w:t>Motivos:</w:t>
      </w:r>
      <w:r w:rsidRPr="00087C2E">
        <w:tab/>
      </w:r>
      <w:r w:rsidR="00087C2E" w:rsidRPr="00087C2E">
        <w:t>La modificación del Reglamento de Radiocomunicaciones excede el alcance del punto</w:t>
      </w:r>
      <w:r w:rsidR="007D176B">
        <w:t> </w:t>
      </w:r>
      <w:r w:rsidR="00087C2E" w:rsidRPr="00087C2E">
        <w:t>9.1 del orden del día de la CMR-23.</w:t>
      </w:r>
    </w:p>
    <w:p w14:paraId="72788ACB" w14:textId="77777777" w:rsidR="00494339" w:rsidRPr="00087C2E" w:rsidRDefault="00E72C96">
      <w:pPr>
        <w:pStyle w:val="Proposal"/>
      </w:pPr>
      <w:r w:rsidRPr="00087C2E">
        <w:rPr>
          <w:u w:val="single"/>
        </w:rPr>
        <w:t>NOC</w:t>
      </w:r>
      <w:r w:rsidRPr="00087C2E">
        <w:tab/>
        <w:t>ACP/62A24A2/2</w:t>
      </w:r>
    </w:p>
    <w:p w14:paraId="15717706" w14:textId="77777777" w:rsidR="00E72C96" w:rsidRPr="00087C2E" w:rsidRDefault="00E72C96" w:rsidP="003271E3">
      <w:pPr>
        <w:pStyle w:val="Volumetitle"/>
      </w:pPr>
      <w:bookmarkStart w:id="7" w:name="_Toc327956568"/>
      <w:r w:rsidRPr="00087C2E">
        <w:t>APÉNDICES</w:t>
      </w:r>
      <w:bookmarkEnd w:id="7"/>
    </w:p>
    <w:p w14:paraId="1D22C019" w14:textId="3B4D4E88" w:rsidR="000262F1" w:rsidRDefault="00E72C96" w:rsidP="00411C49">
      <w:pPr>
        <w:pStyle w:val="Reasons"/>
      </w:pPr>
      <w:r w:rsidRPr="007D176B">
        <w:rPr>
          <w:b/>
          <w:bCs/>
        </w:rPr>
        <w:t>Motivos:</w:t>
      </w:r>
      <w:r w:rsidRPr="00087C2E">
        <w:tab/>
      </w:r>
      <w:r w:rsidR="00087C2E" w:rsidRPr="00087C2E">
        <w:t>La modificación del Reglamento de Radiocomunicaciones excede el alcance del punto</w:t>
      </w:r>
      <w:r w:rsidR="007D176B">
        <w:t> </w:t>
      </w:r>
      <w:r w:rsidR="00087C2E" w:rsidRPr="00087C2E">
        <w:t>9.1 del orden del día de la CMR-23.</w:t>
      </w:r>
    </w:p>
    <w:p w14:paraId="1FCA8F73" w14:textId="77777777" w:rsidR="007D176B" w:rsidRDefault="007D176B" w:rsidP="007D176B"/>
    <w:p w14:paraId="38EDF2AA" w14:textId="77777777" w:rsidR="007D176B" w:rsidRDefault="007D176B">
      <w:pPr>
        <w:jc w:val="center"/>
      </w:pPr>
      <w:r>
        <w:t>______________</w:t>
      </w:r>
    </w:p>
    <w:sectPr w:rsidR="007D176B">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951A" w14:textId="77777777" w:rsidR="00666B37" w:rsidRDefault="00666B37">
      <w:r>
        <w:separator/>
      </w:r>
    </w:p>
  </w:endnote>
  <w:endnote w:type="continuationSeparator" w:id="0">
    <w:p w14:paraId="5E30B34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AF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EF09F" w14:textId="7F8CFD7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25649">
      <w:rPr>
        <w:noProof/>
      </w:rPr>
      <w:t>23.10.23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2B75" w14:textId="4AFEDD90" w:rsidR="0077084A" w:rsidRDefault="00E72C96" w:rsidP="00B86034">
    <w:pPr>
      <w:pStyle w:val="Footer"/>
      <w:ind w:right="360"/>
      <w:rPr>
        <w:lang w:val="en-US"/>
      </w:rPr>
    </w:pPr>
    <w:r>
      <w:fldChar w:fldCharType="begin"/>
    </w:r>
    <w:r>
      <w:rPr>
        <w:lang w:val="en-US"/>
      </w:rPr>
      <w:instrText xml:space="preserve"> FILENAME \p  \* MERGEFORMAT </w:instrText>
    </w:r>
    <w:r>
      <w:fldChar w:fldCharType="separate"/>
    </w:r>
    <w:r w:rsidR="00C7007A">
      <w:rPr>
        <w:lang w:val="en-US"/>
      </w:rPr>
      <w:t>P:\ESP\ITU-R\CONF-R\CMR23\000\062ADD24ADD02S.docx</w:t>
    </w:r>
    <w:r>
      <w:fldChar w:fldCharType="end"/>
    </w:r>
    <w:r>
      <w:rPr>
        <w:lang w:val="en-US"/>
      </w:rPr>
      <w:t xml:space="preserve"> (528</w:t>
    </w:r>
    <w:r w:rsidR="00C7007A">
      <w:rPr>
        <w:lang w:val="en-US"/>
      </w:rPr>
      <w:t>645</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48942721"/>
  <w:p w14:paraId="649B0264" w14:textId="7E6B8C1C" w:rsidR="0077084A" w:rsidRPr="00E72C96" w:rsidRDefault="00E72C96" w:rsidP="00B47331">
    <w:pPr>
      <w:pStyle w:val="Footer"/>
      <w:rPr>
        <w:lang w:val="en-US"/>
      </w:rPr>
    </w:pPr>
    <w:r>
      <w:fldChar w:fldCharType="begin"/>
    </w:r>
    <w:r>
      <w:rPr>
        <w:lang w:val="en-US"/>
      </w:rPr>
      <w:instrText xml:space="preserve"> FILENAME \p  \* MERGEFORMAT </w:instrText>
    </w:r>
    <w:r>
      <w:fldChar w:fldCharType="separate"/>
    </w:r>
    <w:r w:rsidR="00C7007A">
      <w:rPr>
        <w:lang w:val="en-US"/>
      </w:rPr>
      <w:t>P:\ESP\ITU-R\CONF-R\CMR23\000\062ADD24ADD02S.docx</w:t>
    </w:r>
    <w:r>
      <w:fldChar w:fldCharType="end"/>
    </w:r>
    <w:bookmarkEnd w:id="8"/>
    <w:r>
      <w:rPr>
        <w:lang w:val="en-US"/>
      </w:rPr>
      <w:t xml:space="preserve"> (</w:t>
    </w:r>
    <w:r w:rsidR="00C7007A">
      <w:rPr>
        <w:lang w:val="en-US"/>
      </w:rPr>
      <w:t>528645</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E89F" w14:textId="77777777" w:rsidR="00666B37" w:rsidRDefault="00666B37">
      <w:r>
        <w:rPr>
          <w:b/>
        </w:rPr>
        <w:t>_______________</w:t>
      </w:r>
    </w:p>
  </w:footnote>
  <w:footnote w:type="continuationSeparator" w:id="0">
    <w:p w14:paraId="2CBA110A"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4A4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D08BC9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62(Add.24)(Add.2)-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106269614">
    <w:abstractNumId w:val="8"/>
  </w:num>
  <w:num w:numId="2" w16cid:durableId="5781772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9836046">
    <w:abstractNumId w:val="9"/>
  </w:num>
  <w:num w:numId="4" w16cid:durableId="557282902">
    <w:abstractNumId w:val="7"/>
  </w:num>
  <w:num w:numId="5" w16cid:durableId="139466767">
    <w:abstractNumId w:val="6"/>
  </w:num>
  <w:num w:numId="6" w16cid:durableId="164395653">
    <w:abstractNumId w:val="5"/>
  </w:num>
  <w:num w:numId="7" w16cid:durableId="1019240311">
    <w:abstractNumId w:val="4"/>
  </w:num>
  <w:num w:numId="8" w16cid:durableId="1437290439">
    <w:abstractNumId w:val="3"/>
  </w:num>
  <w:num w:numId="9" w16cid:durableId="1356270336">
    <w:abstractNumId w:val="2"/>
  </w:num>
  <w:num w:numId="10" w16cid:durableId="622005626">
    <w:abstractNumId w:val="1"/>
  </w:num>
  <w:num w:numId="11" w16cid:durableId="207534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62F1"/>
    <w:rsid w:val="0002785D"/>
    <w:rsid w:val="00087AE8"/>
    <w:rsid w:val="00087C2E"/>
    <w:rsid w:val="00091054"/>
    <w:rsid w:val="000A2A7D"/>
    <w:rsid w:val="000A5B9A"/>
    <w:rsid w:val="000E5BF9"/>
    <w:rsid w:val="000F0E6D"/>
    <w:rsid w:val="00114421"/>
    <w:rsid w:val="00121170"/>
    <w:rsid w:val="00123CC5"/>
    <w:rsid w:val="0015142D"/>
    <w:rsid w:val="001616DC"/>
    <w:rsid w:val="00163962"/>
    <w:rsid w:val="00180826"/>
    <w:rsid w:val="0018638F"/>
    <w:rsid w:val="00191A97"/>
    <w:rsid w:val="0019729C"/>
    <w:rsid w:val="001A083F"/>
    <w:rsid w:val="001C41FA"/>
    <w:rsid w:val="001E2B52"/>
    <w:rsid w:val="001E3F27"/>
    <w:rsid w:val="001E7D42"/>
    <w:rsid w:val="0023659C"/>
    <w:rsid w:val="00236D2A"/>
    <w:rsid w:val="0024569E"/>
    <w:rsid w:val="00255F12"/>
    <w:rsid w:val="00262C09"/>
    <w:rsid w:val="002A791F"/>
    <w:rsid w:val="002B3278"/>
    <w:rsid w:val="002C1A52"/>
    <w:rsid w:val="002C1B26"/>
    <w:rsid w:val="002C5D6C"/>
    <w:rsid w:val="002E701F"/>
    <w:rsid w:val="003140B7"/>
    <w:rsid w:val="003248A9"/>
    <w:rsid w:val="00324FFA"/>
    <w:rsid w:val="0032680B"/>
    <w:rsid w:val="00363A65"/>
    <w:rsid w:val="003A76BB"/>
    <w:rsid w:val="003B1E8C"/>
    <w:rsid w:val="003C0613"/>
    <w:rsid w:val="003C2508"/>
    <w:rsid w:val="003D0AA3"/>
    <w:rsid w:val="003E2086"/>
    <w:rsid w:val="003F7F66"/>
    <w:rsid w:val="00440B3A"/>
    <w:rsid w:val="0044375A"/>
    <w:rsid w:val="0045384C"/>
    <w:rsid w:val="00454553"/>
    <w:rsid w:val="00472A86"/>
    <w:rsid w:val="00494339"/>
    <w:rsid w:val="004B124A"/>
    <w:rsid w:val="004B3095"/>
    <w:rsid w:val="004D2749"/>
    <w:rsid w:val="004D2C7C"/>
    <w:rsid w:val="005133B5"/>
    <w:rsid w:val="00524392"/>
    <w:rsid w:val="00525649"/>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38A3"/>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1537"/>
    <w:rsid w:val="007C2317"/>
    <w:rsid w:val="007D176B"/>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06D0A"/>
    <w:rsid w:val="00B239FA"/>
    <w:rsid w:val="00B372AB"/>
    <w:rsid w:val="00B47331"/>
    <w:rsid w:val="00B52D55"/>
    <w:rsid w:val="00B8288C"/>
    <w:rsid w:val="00B86034"/>
    <w:rsid w:val="00BE2E80"/>
    <w:rsid w:val="00BE5EDD"/>
    <w:rsid w:val="00BE6A1F"/>
    <w:rsid w:val="00C078D5"/>
    <w:rsid w:val="00C126C4"/>
    <w:rsid w:val="00C44E9E"/>
    <w:rsid w:val="00C63EB5"/>
    <w:rsid w:val="00C7007A"/>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72C96"/>
    <w:rsid w:val="00EA77F0"/>
    <w:rsid w:val="00F32316"/>
    <w:rsid w:val="00F66597"/>
    <w:rsid w:val="00F675D0"/>
    <w:rsid w:val="00F8150C"/>
    <w:rsid w:val="00F9091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A23F3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R23-WRC23-C-0062!A24-A2!MSW-S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EDE9-9369-48E0-8430-5146E476B1DC}">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32a1a8c5-2265-4ebc-b7a0-2071e2c5c9bb"/>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CBF981-1CE3-4A12-8289-A6743765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F19C0-8038-40A6-AC6D-669EA4F3462F}">
  <ds:schemaRefs>
    <ds:schemaRef ds:uri="http://schemas.microsoft.com/sharepoint/events"/>
  </ds:schemaRefs>
</ds:datastoreItem>
</file>

<file path=customXml/itemProps4.xml><?xml version="1.0" encoding="utf-8"?>
<ds:datastoreItem xmlns:ds="http://schemas.openxmlformats.org/officeDocument/2006/customXml" ds:itemID="{814752A1-D452-42DA-8527-6D2C4810A73E}">
  <ds:schemaRefs>
    <ds:schemaRef ds:uri="http://schemas.microsoft.com/sharepoint/v3/contenttype/forms"/>
  </ds:schemaRefs>
</ds:datastoreItem>
</file>

<file path=customXml/itemProps5.xml><?xml version="1.0" encoding="utf-8"?>
<ds:datastoreItem xmlns:ds="http://schemas.openxmlformats.org/officeDocument/2006/customXml" ds:itemID="{1C6C0D01-9690-4AC6-B2E6-2E714462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395</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R23-WRC23-C-0062!A24-A2!MSW-S</vt:lpstr>
    </vt:vector>
  </TitlesOfParts>
  <Manager>Secretaría General - Pool</Manager>
  <Company>Unión Internacional de Telecomunicaciones (UIT)</Company>
  <LinksUpToDate>false</LinksUpToDate>
  <CharactersWithSpaces>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R23-WRC23-C-0062!A24-A2!MSW-S</dc:title>
  <dc:subject>Conferencia Mundial de Radiocomunicaciones - 2019</dc:subject>
  <dc:creator>Documents Proposals Manager (DPM)</dc:creator>
  <cp:keywords>DPM_v2023.8.1.1_prod</cp:keywords>
  <dc:description/>
  <cp:lastModifiedBy>Spanish83</cp:lastModifiedBy>
  <cp:revision>10</cp:revision>
  <cp:lastPrinted>2003-02-19T20:20:00Z</cp:lastPrinted>
  <dcterms:created xsi:type="dcterms:W3CDTF">2023-10-23T08:09:00Z</dcterms:created>
  <dcterms:modified xsi:type="dcterms:W3CDTF">2023-10-27T09:12:00Z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