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84882" w:rsidTr="00C1305F">
        <w:trPr>
          <w:cantSplit/>
        </w:trPr>
        <w:tc>
          <w:tcPr>
            <w:tcW w:w="1418" w:type="dxa"/>
            <w:vAlign w:val="center"/>
          </w:tcPr>
          <w:p w:rsidR="00C1305F" w:rsidRPr="00A84882" w:rsidRDefault="00C1305F" w:rsidP="00C1305F">
            <w:pPr>
              <w:spacing w:before="0" w:line="240" w:lineRule="atLeast"/>
              <w:rPr>
                <w:rFonts w:ascii="Verdana" w:hAnsi="Verdana"/>
                <w:b/>
                <w:bCs/>
                <w:sz w:val="20"/>
              </w:rPr>
            </w:pPr>
            <w:r w:rsidRPr="00A84882">
              <w:drawing>
                <wp:inline distT="0" distB="0" distL="0" distR="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rsidR="00C1305F" w:rsidRPr="00A84882" w:rsidRDefault="00C1305F" w:rsidP="00F10064">
            <w:pPr>
              <w:spacing w:before="400" w:after="48" w:line="240" w:lineRule="atLeast"/>
              <w:rPr>
                <w:rFonts w:ascii="Verdana" w:hAnsi="Verdana"/>
                <w:b/>
                <w:bCs/>
                <w:sz w:val="20"/>
              </w:rPr>
            </w:pPr>
            <w:r w:rsidRPr="00A84882">
              <w:rPr>
                <w:rFonts w:ascii="Verdana" w:hAnsi="Verdana"/>
                <w:b/>
                <w:bCs/>
                <w:sz w:val="20"/>
              </w:rPr>
              <w:t>Conférence mondiale des radiocommunications (CMR-23)</w:t>
            </w:r>
            <w:r w:rsidRPr="00A84882">
              <w:rPr>
                <w:rFonts w:ascii="Verdana" w:hAnsi="Verdana"/>
                <w:b/>
                <w:bCs/>
                <w:sz w:val="20"/>
              </w:rPr>
              <w:br/>
            </w:r>
            <w:r w:rsidRPr="00A84882">
              <w:rPr>
                <w:rFonts w:ascii="Verdana" w:hAnsi="Verdana"/>
                <w:b/>
                <w:bCs/>
                <w:sz w:val="18"/>
                <w:szCs w:val="18"/>
              </w:rPr>
              <w:t xml:space="preserve">Dubaï, 20 novembre </w:t>
            </w:r>
            <w:r w:rsidR="00061C5E" w:rsidRPr="00A84882">
              <w:rPr>
                <w:rFonts w:ascii="Verdana" w:hAnsi="Verdana"/>
                <w:b/>
                <w:bCs/>
                <w:sz w:val="18"/>
                <w:szCs w:val="18"/>
              </w:rPr>
              <w:t>–</w:t>
            </w:r>
            <w:r w:rsidRPr="00A84882">
              <w:rPr>
                <w:rFonts w:ascii="Verdana" w:hAnsi="Verdana"/>
                <w:b/>
                <w:bCs/>
                <w:sz w:val="18"/>
                <w:szCs w:val="18"/>
              </w:rPr>
              <w:t xml:space="preserve"> 15 décembre 2023</w:t>
            </w:r>
          </w:p>
        </w:tc>
        <w:tc>
          <w:tcPr>
            <w:tcW w:w="1809" w:type="dxa"/>
            <w:vAlign w:val="center"/>
          </w:tcPr>
          <w:p w:rsidR="00C1305F" w:rsidRPr="00A84882" w:rsidRDefault="00C1305F" w:rsidP="00C1305F">
            <w:pPr>
              <w:spacing w:before="0" w:line="240" w:lineRule="atLeast"/>
            </w:pPr>
            <w:r w:rsidRPr="00A84882">
              <w:drawing>
                <wp:inline distT="0" distB="0" distL="0" distR="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84882" w:rsidTr="0050008E">
        <w:trPr>
          <w:cantSplit/>
        </w:trPr>
        <w:tc>
          <w:tcPr>
            <w:tcW w:w="6911" w:type="dxa"/>
            <w:gridSpan w:val="2"/>
            <w:tcBorders>
              <w:bottom w:val="single" w:sz="12" w:space="0" w:color="auto"/>
            </w:tcBorders>
          </w:tcPr>
          <w:p w:rsidR="00BB1D82" w:rsidRPr="00A84882"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rsidR="00BB1D82" w:rsidRPr="00A84882" w:rsidRDefault="00BB1D82" w:rsidP="00BB1D82">
            <w:pPr>
              <w:spacing w:before="0" w:line="240" w:lineRule="atLeast"/>
              <w:rPr>
                <w:rFonts w:ascii="Verdana" w:hAnsi="Verdana"/>
                <w:szCs w:val="24"/>
              </w:rPr>
            </w:pPr>
          </w:p>
        </w:tc>
      </w:tr>
      <w:tr w:rsidR="00BB1D82" w:rsidRPr="00A84882" w:rsidTr="00BB1D82">
        <w:trPr>
          <w:cantSplit/>
        </w:trPr>
        <w:tc>
          <w:tcPr>
            <w:tcW w:w="6911" w:type="dxa"/>
            <w:gridSpan w:val="2"/>
            <w:tcBorders>
              <w:top w:val="single" w:sz="12" w:space="0" w:color="auto"/>
            </w:tcBorders>
          </w:tcPr>
          <w:p w:rsidR="00BB1D82" w:rsidRPr="00A84882"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rsidR="00BB1D82" w:rsidRPr="00A84882" w:rsidRDefault="00BB1D82" w:rsidP="00BB1D82">
            <w:pPr>
              <w:spacing w:before="0" w:line="240" w:lineRule="atLeast"/>
              <w:rPr>
                <w:rFonts w:ascii="Verdana" w:hAnsi="Verdana"/>
                <w:sz w:val="20"/>
              </w:rPr>
            </w:pPr>
          </w:p>
        </w:tc>
      </w:tr>
      <w:tr w:rsidR="00BB1D82" w:rsidRPr="00A84882" w:rsidTr="00BB1D82">
        <w:trPr>
          <w:cantSplit/>
        </w:trPr>
        <w:tc>
          <w:tcPr>
            <w:tcW w:w="6911" w:type="dxa"/>
            <w:gridSpan w:val="2"/>
          </w:tcPr>
          <w:p w:rsidR="00BB1D82" w:rsidRPr="00A84882" w:rsidRDefault="006D4724" w:rsidP="00BA5BD0">
            <w:pPr>
              <w:spacing w:before="0"/>
              <w:rPr>
                <w:rFonts w:ascii="Verdana" w:hAnsi="Verdana"/>
                <w:b/>
                <w:sz w:val="20"/>
              </w:rPr>
            </w:pPr>
            <w:r w:rsidRPr="00A84882">
              <w:rPr>
                <w:rFonts w:ascii="Verdana" w:hAnsi="Verdana"/>
                <w:b/>
                <w:sz w:val="20"/>
              </w:rPr>
              <w:t>SÉANCE PLÉNIÈRE</w:t>
            </w:r>
          </w:p>
        </w:tc>
        <w:tc>
          <w:tcPr>
            <w:tcW w:w="3120" w:type="dxa"/>
            <w:gridSpan w:val="2"/>
          </w:tcPr>
          <w:p w:rsidR="00BB1D82" w:rsidRPr="00A84882" w:rsidRDefault="006D4724" w:rsidP="00BA5BD0">
            <w:pPr>
              <w:spacing w:before="0"/>
              <w:rPr>
                <w:rFonts w:ascii="Verdana" w:hAnsi="Verdana"/>
                <w:sz w:val="20"/>
              </w:rPr>
            </w:pPr>
            <w:r w:rsidRPr="00A84882">
              <w:rPr>
                <w:rFonts w:ascii="Verdana" w:hAnsi="Verdana"/>
                <w:b/>
                <w:sz w:val="20"/>
              </w:rPr>
              <w:t>Addendum 11 au</w:t>
            </w:r>
            <w:r w:rsidRPr="00A84882">
              <w:rPr>
                <w:rFonts w:ascii="Verdana" w:hAnsi="Verdana"/>
                <w:b/>
                <w:sz w:val="20"/>
              </w:rPr>
              <w:br/>
              <w:t>Document 62(Add.22)</w:t>
            </w:r>
            <w:r w:rsidR="00BB1D82" w:rsidRPr="00A84882">
              <w:rPr>
                <w:rFonts w:ascii="Verdana" w:hAnsi="Verdana"/>
                <w:b/>
                <w:sz w:val="20"/>
              </w:rPr>
              <w:t>-</w:t>
            </w:r>
            <w:r w:rsidRPr="00A84882">
              <w:rPr>
                <w:rFonts w:ascii="Verdana" w:hAnsi="Verdana"/>
                <w:b/>
                <w:sz w:val="20"/>
              </w:rPr>
              <w:t>F</w:t>
            </w:r>
          </w:p>
        </w:tc>
      </w:tr>
      <w:bookmarkEnd w:id="0"/>
      <w:tr w:rsidR="00690C7B" w:rsidRPr="00A84882" w:rsidTr="00BB1D82">
        <w:trPr>
          <w:cantSplit/>
        </w:trPr>
        <w:tc>
          <w:tcPr>
            <w:tcW w:w="6911" w:type="dxa"/>
            <w:gridSpan w:val="2"/>
          </w:tcPr>
          <w:p w:rsidR="00690C7B" w:rsidRPr="00A84882" w:rsidRDefault="00690C7B" w:rsidP="00BA5BD0">
            <w:pPr>
              <w:spacing w:before="0"/>
              <w:rPr>
                <w:rFonts w:ascii="Verdana" w:hAnsi="Verdana"/>
                <w:b/>
                <w:sz w:val="20"/>
              </w:rPr>
            </w:pPr>
          </w:p>
        </w:tc>
        <w:tc>
          <w:tcPr>
            <w:tcW w:w="3120" w:type="dxa"/>
            <w:gridSpan w:val="2"/>
          </w:tcPr>
          <w:p w:rsidR="00690C7B" w:rsidRPr="00A84882" w:rsidRDefault="00690C7B" w:rsidP="00BA5BD0">
            <w:pPr>
              <w:spacing w:before="0"/>
              <w:rPr>
                <w:rFonts w:ascii="Verdana" w:hAnsi="Verdana"/>
                <w:b/>
                <w:sz w:val="20"/>
              </w:rPr>
            </w:pPr>
            <w:r w:rsidRPr="00A84882">
              <w:rPr>
                <w:rFonts w:ascii="Verdana" w:hAnsi="Verdana"/>
                <w:b/>
                <w:sz w:val="20"/>
              </w:rPr>
              <w:t>26 septembre 2023</w:t>
            </w:r>
          </w:p>
        </w:tc>
      </w:tr>
      <w:tr w:rsidR="00690C7B" w:rsidRPr="00A84882" w:rsidTr="00BB1D82">
        <w:trPr>
          <w:cantSplit/>
        </w:trPr>
        <w:tc>
          <w:tcPr>
            <w:tcW w:w="6911" w:type="dxa"/>
            <w:gridSpan w:val="2"/>
          </w:tcPr>
          <w:p w:rsidR="00690C7B" w:rsidRPr="00A84882" w:rsidRDefault="00690C7B" w:rsidP="00BA5BD0">
            <w:pPr>
              <w:spacing w:before="0" w:after="48"/>
              <w:rPr>
                <w:rFonts w:ascii="Verdana" w:hAnsi="Verdana"/>
                <w:b/>
                <w:smallCaps/>
                <w:sz w:val="20"/>
              </w:rPr>
            </w:pPr>
          </w:p>
        </w:tc>
        <w:tc>
          <w:tcPr>
            <w:tcW w:w="3120" w:type="dxa"/>
            <w:gridSpan w:val="2"/>
          </w:tcPr>
          <w:p w:rsidR="00690C7B" w:rsidRPr="00A84882" w:rsidRDefault="00690C7B" w:rsidP="00BA5BD0">
            <w:pPr>
              <w:spacing w:before="0"/>
              <w:rPr>
                <w:rFonts w:ascii="Verdana" w:hAnsi="Verdana"/>
                <w:b/>
                <w:sz w:val="20"/>
              </w:rPr>
            </w:pPr>
            <w:r w:rsidRPr="00A84882">
              <w:rPr>
                <w:rFonts w:ascii="Verdana" w:hAnsi="Verdana"/>
                <w:b/>
                <w:sz w:val="20"/>
              </w:rPr>
              <w:t>Original: anglais</w:t>
            </w:r>
          </w:p>
        </w:tc>
      </w:tr>
      <w:tr w:rsidR="00690C7B" w:rsidRPr="00A84882" w:rsidTr="00C11970">
        <w:trPr>
          <w:cantSplit/>
        </w:trPr>
        <w:tc>
          <w:tcPr>
            <w:tcW w:w="10031" w:type="dxa"/>
            <w:gridSpan w:val="4"/>
          </w:tcPr>
          <w:p w:rsidR="00690C7B" w:rsidRPr="00A84882" w:rsidRDefault="00690C7B" w:rsidP="00BA5BD0">
            <w:pPr>
              <w:spacing w:before="0"/>
              <w:rPr>
                <w:rFonts w:ascii="Verdana" w:hAnsi="Verdana"/>
                <w:b/>
                <w:sz w:val="20"/>
              </w:rPr>
            </w:pPr>
          </w:p>
        </w:tc>
      </w:tr>
      <w:tr w:rsidR="00690C7B" w:rsidRPr="00A84882" w:rsidTr="0050008E">
        <w:trPr>
          <w:cantSplit/>
        </w:trPr>
        <w:tc>
          <w:tcPr>
            <w:tcW w:w="10031" w:type="dxa"/>
            <w:gridSpan w:val="4"/>
          </w:tcPr>
          <w:p w:rsidR="00690C7B" w:rsidRPr="00A84882" w:rsidRDefault="00690C7B" w:rsidP="00690C7B">
            <w:pPr>
              <w:pStyle w:val="Source"/>
            </w:pPr>
            <w:bookmarkStart w:id="1" w:name="dsource" w:colFirst="0" w:colLast="0"/>
            <w:r w:rsidRPr="00A84882">
              <w:t>Propositions communes de la Télécommunauté Asie-Pacifique</w:t>
            </w:r>
          </w:p>
        </w:tc>
      </w:tr>
      <w:tr w:rsidR="00690C7B" w:rsidRPr="00A84882" w:rsidTr="0050008E">
        <w:trPr>
          <w:cantSplit/>
        </w:trPr>
        <w:tc>
          <w:tcPr>
            <w:tcW w:w="10031" w:type="dxa"/>
            <w:gridSpan w:val="4"/>
          </w:tcPr>
          <w:p w:rsidR="00690C7B" w:rsidRPr="00A84882" w:rsidRDefault="00061C5E" w:rsidP="00690C7B">
            <w:pPr>
              <w:pStyle w:val="Title1"/>
            </w:pPr>
            <w:bookmarkStart w:id="2" w:name="dtitle1" w:colFirst="0" w:colLast="0"/>
            <w:bookmarkEnd w:id="1"/>
            <w:r w:rsidRPr="00A84882">
              <w:t>PROPOSITIONS POUR LES TRAVAUX DE LA CONFéRENCE</w:t>
            </w:r>
          </w:p>
        </w:tc>
      </w:tr>
      <w:tr w:rsidR="00690C7B" w:rsidRPr="00A84882" w:rsidTr="0050008E">
        <w:trPr>
          <w:cantSplit/>
        </w:trPr>
        <w:tc>
          <w:tcPr>
            <w:tcW w:w="10031" w:type="dxa"/>
            <w:gridSpan w:val="4"/>
          </w:tcPr>
          <w:p w:rsidR="00690C7B" w:rsidRPr="00A84882" w:rsidRDefault="00690C7B" w:rsidP="00690C7B">
            <w:pPr>
              <w:pStyle w:val="Title2"/>
            </w:pPr>
            <w:bookmarkStart w:id="3" w:name="dtitle2" w:colFirst="0" w:colLast="0"/>
            <w:bookmarkEnd w:id="2"/>
          </w:p>
        </w:tc>
      </w:tr>
      <w:tr w:rsidR="00690C7B" w:rsidRPr="00A84882" w:rsidTr="0050008E">
        <w:trPr>
          <w:cantSplit/>
        </w:trPr>
        <w:tc>
          <w:tcPr>
            <w:tcW w:w="10031" w:type="dxa"/>
            <w:gridSpan w:val="4"/>
          </w:tcPr>
          <w:p w:rsidR="00690C7B" w:rsidRPr="00A84882" w:rsidRDefault="00690C7B" w:rsidP="00690C7B">
            <w:pPr>
              <w:pStyle w:val="Agendaitem"/>
              <w:rPr>
                <w:lang w:val="fr-FR"/>
              </w:rPr>
            </w:pPr>
            <w:bookmarkStart w:id="4" w:name="dtitle3" w:colFirst="0" w:colLast="0"/>
            <w:bookmarkEnd w:id="3"/>
            <w:r w:rsidRPr="00A84882">
              <w:rPr>
                <w:lang w:val="fr-FR"/>
              </w:rPr>
              <w:t>Point 7(I) de l'ordre du jour</w:t>
            </w:r>
          </w:p>
        </w:tc>
      </w:tr>
    </w:tbl>
    <w:bookmarkEnd w:id="4"/>
    <w:p w:rsidR="00A84882" w:rsidRPr="00A84882" w:rsidRDefault="00A84882" w:rsidP="00783A6F">
      <w:r w:rsidRPr="00A84882">
        <w:t>7</w:t>
      </w:r>
      <w:r w:rsidRPr="00A84882">
        <w:tab/>
        <w:t xml:space="preserve">examiner d'éventuels changements à apporter en application de la Résolution 86 (Rév. Marrakech, 2002) de la Conférence de </w:t>
      </w:r>
      <w:r w:rsidRPr="00A84882">
        <w:t>plénipotentiaires, intitulée «Procédures de publication anticipée, de coordination, de notification et d'inscription des assignations de fréquence relatives aux réseaux à satellite», conformément à la Résolution </w:t>
      </w:r>
      <w:r w:rsidRPr="00A84882">
        <w:rPr>
          <w:b/>
          <w:bCs/>
        </w:rPr>
        <w:t>86 (Rév.CMR-07)</w:t>
      </w:r>
      <w:r w:rsidRPr="00A84882">
        <w:t>, afin de faciliter l'utilisation rationnelle, efficace et économique des fréquences radioélectriques et des orbites associées, y compris de l'orbite des satellites géostationnaires;</w:t>
      </w:r>
    </w:p>
    <w:p w:rsidR="00A84882" w:rsidRPr="00A84882" w:rsidRDefault="00A84882" w:rsidP="00191FB5">
      <w:r w:rsidRPr="00A84882">
        <w:t>7(</w:t>
      </w:r>
      <w:r w:rsidRPr="00A84882">
        <w:t>I</w:t>
      </w:r>
      <w:r w:rsidRPr="00A84882">
        <w:t>)</w:t>
      </w:r>
      <w:r w:rsidRPr="00A84882">
        <w:tab/>
      </w:r>
      <w:r w:rsidRPr="00A84882">
        <w:t>Question</w:t>
      </w:r>
      <w:r w:rsidRPr="00A84882">
        <w:t xml:space="preserve"> I – Accords spéciaux au titre de l'Appendice </w:t>
      </w:r>
      <w:r w:rsidRPr="00A84882">
        <w:rPr>
          <w:b/>
          <w:bCs/>
        </w:rPr>
        <w:t>30B</w:t>
      </w:r>
      <w:r w:rsidRPr="00A84882">
        <w:t xml:space="preserve"> du RR</w:t>
      </w:r>
    </w:p>
    <w:p w:rsidR="00810BB5" w:rsidRPr="00A84882" w:rsidRDefault="00810BB5" w:rsidP="00810BB5">
      <w:pPr>
        <w:pStyle w:val="Headingb"/>
      </w:pPr>
      <w:r w:rsidRPr="00A84882">
        <w:t>Introduction</w:t>
      </w:r>
    </w:p>
    <w:p w:rsidR="00810BB5" w:rsidRPr="00A84882" w:rsidRDefault="00810BB5" w:rsidP="00810BB5">
      <w:r w:rsidRPr="00A84882">
        <w:t>Les Membres de l'APT ont examiné la Question I du point 7 de l'ordre du jour de la CMR-23 et élaboré des Propositions communes de l'APT tendant à appuyer la Méthode I2 figurant dans le Rapport de la RPC pour traiter cette question.</w:t>
      </w:r>
    </w:p>
    <w:p w:rsidR="003A583E" w:rsidRPr="00A84882" w:rsidRDefault="00810BB5" w:rsidP="00810BB5">
      <w:pPr>
        <w:pStyle w:val="Headingb"/>
      </w:pPr>
      <w:r w:rsidRPr="00A84882">
        <w:t>Propositions</w:t>
      </w:r>
    </w:p>
    <w:p w:rsidR="0015203F" w:rsidRPr="00A84882" w:rsidRDefault="0015203F">
      <w:pPr>
        <w:tabs>
          <w:tab w:val="clear" w:pos="1134"/>
          <w:tab w:val="clear" w:pos="1871"/>
          <w:tab w:val="clear" w:pos="2268"/>
        </w:tabs>
        <w:overflowPunct/>
        <w:autoSpaceDE/>
        <w:autoSpaceDN/>
        <w:adjustRightInd/>
        <w:spacing w:before="0"/>
        <w:textAlignment w:val="auto"/>
      </w:pPr>
      <w:r w:rsidRPr="00A84882">
        <w:br w:type="page"/>
      </w:r>
    </w:p>
    <w:p w:rsidR="00A84882" w:rsidRPr="00A84882" w:rsidRDefault="00A84882" w:rsidP="00FE41A8">
      <w:pPr>
        <w:pStyle w:val="AppendixNo"/>
      </w:pPr>
      <w:bookmarkStart w:id="5" w:name="_Toc459986382"/>
      <w:bookmarkStart w:id="6" w:name="_Toc459987816"/>
      <w:bookmarkStart w:id="7" w:name="_Toc46345867"/>
      <w:r w:rsidRPr="00A84882">
        <w:lastRenderedPageBreak/>
        <w:t xml:space="preserve">APPENDICE </w:t>
      </w:r>
      <w:r w:rsidRPr="00A84882">
        <w:rPr>
          <w:rStyle w:val="href"/>
        </w:rPr>
        <w:t>30B</w:t>
      </w:r>
      <w:r w:rsidRPr="00A84882">
        <w:t xml:space="preserve"> (R</w:t>
      </w:r>
      <w:r w:rsidRPr="00A84882">
        <w:rPr>
          <w:caps w:val="0"/>
        </w:rPr>
        <w:t>ÉV</w:t>
      </w:r>
      <w:r w:rsidRPr="00A84882">
        <w:t>.CMR-1</w:t>
      </w:r>
      <w:r w:rsidRPr="00A84882">
        <w:t>9</w:t>
      </w:r>
      <w:r w:rsidRPr="00A84882">
        <w:t>)</w:t>
      </w:r>
      <w:bookmarkEnd w:id="5"/>
      <w:bookmarkEnd w:id="6"/>
      <w:bookmarkEnd w:id="7"/>
    </w:p>
    <w:p w:rsidR="00A84882" w:rsidRPr="00A84882" w:rsidRDefault="00A84882" w:rsidP="009F1174">
      <w:pPr>
        <w:pStyle w:val="Appendixtitle"/>
        <w:spacing w:before="120" w:after="120"/>
        <w:rPr>
          <w:color w:val="000000"/>
        </w:rPr>
      </w:pPr>
      <w:bookmarkStart w:id="8" w:name="_Toc459986383"/>
      <w:bookmarkStart w:id="9" w:name="_Toc459987817"/>
      <w:bookmarkStart w:id="10" w:name="_Toc46345868"/>
      <w:r w:rsidRPr="00A84882">
        <w:rPr>
          <w:color w:val="000000"/>
        </w:rPr>
        <w:t>Dispositions et Plan associé pour le service fixe par satellite</w:t>
      </w:r>
      <w:r w:rsidRPr="00A84882">
        <w:rPr>
          <w:color w:val="000000"/>
        </w:rPr>
        <w:br/>
        <w:t>dans les bandes 4</w:t>
      </w:r>
      <w:r w:rsidRPr="00A84882">
        <w:rPr>
          <w:rFonts w:ascii="Tms Rmn" w:hAnsi="Tms Rmn"/>
          <w:color w:val="000000"/>
          <w:sz w:val="12"/>
        </w:rPr>
        <w:t> </w:t>
      </w:r>
      <w:r w:rsidRPr="00A84882">
        <w:rPr>
          <w:color w:val="000000"/>
        </w:rPr>
        <w:t>500-4</w:t>
      </w:r>
      <w:r w:rsidRPr="00A84882">
        <w:rPr>
          <w:rFonts w:ascii="Tms Rmn" w:hAnsi="Tms Rmn"/>
          <w:color w:val="000000"/>
          <w:sz w:val="12"/>
        </w:rPr>
        <w:t> </w:t>
      </w:r>
      <w:r w:rsidRPr="00A84882">
        <w:rPr>
          <w:color w:val="000000"/>
        </w:rPr>
        <w:t>800 MHz, 6</w:t>
      </w:r>
      <w:r w:rsidRPr="00A84882">
        <w:rPr>
          <w:rFonts w:ascii="Tms Rmn" w:hAnsi="Tms Rmn"/>
          <w:color w:val="000000"/>
          <w:sz w:val="12"/>
        </w:rPr>
        <w:t> </w:t>
      </w:r>
      <w:r w:rsidRPr="00A84882">
        <w:rPr>
          <w:color w:val="000000"/>
        </w:rPr>
        <w:t>725-7</w:t>
      </w:r>
      <w:r w:rsidRPr="00A84882">
        <w:rPr>
          <w:rFonts w:ascii="Tms Rmn" w:hAnsi="Tms Rmn"/>
          <w:color w:val="000000"/>
          <w:sz w:val="12"/>
        </w:rPr>
        <w:t> </w:t>
      </w:r>
      <w:r w:rsidRPr="00A84882">
        <w:rPr>
          <w:color w:val="000000"/>
        </w:rPr>
        <w:t>025 MHz,</w:t>
      </w:r>
      <w:r w:rsidRPr="00A84882">
        <w:rPr>
          <w:color w:val="000000"/>
        </w:rPr>
        <w:br/>
        <w:t>10,70-10,95 GHz, 11,20-11,45 GHz et 12,75-13,25 GHz</w:t>
      </w:r>
      <w:bookmarkEnd w:id="8"/>
      <w:bookmarkEnd w:id="9"/>
      <w:bookmarkEnd w:id="10"/>
    </w:p>
    <w:p w:rsidR="00A84882" w:rsidRPr="00A84882" w:rsidRDefault="00A84882" w:rsidP="009F1174">
      <w:pPr>
        <w:pStyle w:val="AppArtNo"/>
      </w:pPr>
      <w:r w:rsidRPr="00A84882">
        <w:t>                </w:t>
      </w:r>
      <w:r w:rsidRPr="00A84882">
        <w:t>ARTICLE 6</w:t>
      </w:r>
      <w:r w:rsidRPr="00A84882">
        <w:rPr>
          <w:sz w:val="16"/>
          <w:szCs w:val="16"/>
        </w:rPr>
        <w:t>     (Rév.CMR</w:t>
      </w:r>
      <w:r w:rsidRPr="00A84882">
        <w:rPr>
          <w:caps w:val="0"/>
          <w:sz w:val="16"/>
          <w:szCs w:val="16"/>
        </w:rPr>
        <w:noBreakHyphen/>
        <w:t>19)</w:t>
      </w:r>
    </w:p>
    <w:p w:rsidR="00A84882" w:rsidRPr="00A84882" w:rsidRDefault="00A84882" w:rsidP="009F1174">
      <w:pPr>
        <w:pStyle w:val="AppArttitle"/>
        <w:rPr>
          <w:b w:val="0"/>
          <w:sz w:val="16"/>
          <w:szCs w:val="16"/>
          <w:lang w:val="fr-FR"/>
        </w:rPr>
      </w:pPr>
      <w:r w:rsidRPr="00A84882">
        <w:rPr>
          <w:lang w:val="fr-FR"/>
        </w:rPr>
        <w:t xml:space="preserve">Procédures applicables à la conversion d'un allotissement en assignation, </w:t>
      </w:r>
      <w:r w:rsidRPr="00A84882">
        <w:rPr>
          <w:lang w:val="fr-FR"/>
        </w:rPr>
        <w:br/>
        <w:t xml:space="preserve">à la mise en œuvre d'un système additionnel ou à la modification </w:t>
      </w:r>
      <w:r w:rsidRPr="00A84882">
        <w:rPr>
          <w:lang w:val="fr-FR"/>
        </w:rPr>
        <w:br/>
        <w:t>d'une assignation figurant dans la Liste</w:t>
      </w:r>
      <w:r w:rsidR="00810BB5" w:rsidRPr="00A84882">
        <w:rPr>
          <w:rStyle w:val="FootnoteReference"/>
          <w:b w:val="0"/>
          <w:bCs/>
          <w:lang w:val="fr-FR"/>
        </w:rPr>
        <w:t>1, 2, 2</w:t>
      </w:r>
      <w:r w:rsidR="00810BB5" w:rsidRPr="00A84882">
        <w:rPr>
          <w:rStyle w:val="FootnoteReference"/>
          <w:b w:val="0"/>
          <w:bCs/>
          <w:i/>
          <w:iCs/>
          <w:lang w:val="fr-FR"/>
        </w:rPr>
        <w:t>bis</w:t>
      </w:r>
      <w:r w:rsidRPr="00A84882">
        <w:rPr>
          <w:bCs/>
          <w:sz w:val="16"/>
          <w:szCs w:val="16"/>
          <w:lang w:val="fr-FR"/>
        </w:rPr>
        <w:t>     </w:t>
      </w:r>
      <w:r w:rsidRPr="00A84882">
        <w:rPr>
          <w:b w:val="0"/>
          <w:sz w:val="16"/>
          <w:szCs w:val="16"/>
          <w:lang w:val="fr-FR"/>
        </w:rPr>
        <w:t>(CMR</w:t>
      </w:r>
      <w:r w:rsidRPr="00A84882">
        <w:rPr>
          <w:b w:val="0"/>
          <w:sz w:val="16"/>
          <w:szCs w:val="16"/>
          <w:lang w:val="fr-FR"/>
        </w:rPr>
        <w:noBreakHyphen/>
        <w:t>19)</w:t>
      </w:r>
    </w:p>
    <w:p w:rsidR="005920F3" w:rsidRPr="00A84882" w:rsidRDefault="00A84882">
      <w:pPr>
        <w:pStyle w:val="Proposal"/>
      </w:pPr>
      <w:r w:rsidRPr="00A84882">
        <w:t>ADD</w:t>
      </w:r>
      <w:r w:rsidRPr="00A84882">
        <w:tab/>
        <w:t>ACP/62A22A11/1</w:t>
      </w:r>
      <w:r w:rsidRPr="00A84882">
        <w:rPr>
          <w:vanish/>
          <w:color w:val="7F7F7F" w:themeColor="text1" w:themeTint="80"/>
          <w:vertAlign w:val="superscript"/>
        </w:rPr>
        <w:t>#2149</w:t>
      </w:r>
    </w:p>
    <w:p w:rsidR="00A84882" w:rsidRPr="00A84882" w:rsidRDefault="00A84882" w:rsidP="00756C3A">
      <w:r w:rsidRPr="00A84882">
        <w:t>6.4</w:t>
      </w:r>
      <w:r w:rsidRPr="00A84882">
        <w:rPr>
          <w:i/>
        </w:rPr>
        <w:t>bis</w:t>
      </w:r>
      <w:r w:rsidRPr="00A84882">
        <w:tab/>
        <w:t>Lorsque l'examen relativement au § 6.3 de chaque assignation figurant dans une fiche de notification reçue au titre du § 6.1, pour la conversion d'un allotissement en assignation, aboutit à une conclusion favorable, le Bureau envoie immédiatement une télécopie aux administrations qui ont appliqué le § 6.15</w:t>
      </w:r>
      <w:r w:rsidRPr="00A84882">
        <w:rPr>
          <w:i/>
          <w:iCs/>
        </w:rPr>
        <w:t>quat</w:t>
      </w:r>
      <w:r w:rsidRPr="00A84882">
        <w:t xml:space="preserve"> concernant cette fiche de notification, afin d'informer ces administrations que la fiche de notification en question a été reçue au titre du § 6.1.</w:t>
      </w:r>
      <w:r w:rsidRPr="00A84882">
        <w:rPr>
          <w:sz w:val="16"/>
          <w:szCs w:val="16"/>
        </w:rPr>
        <w:t>     (CMR</w:t>
      </w:r>
      <w:r w:rsidRPr="00A84882">
        <w:rPr>
          <w:sz w:val="16"/>
          <w:szCs w:val="16"/>
        </w:rPr>
        <w:noBreakHyphen/>
        <w:t>23)</w:t>
      </w:r>
    </w:p>
    <w:p w:rsidR="005920F3" w:rsidRPr="00A84882" w:rsidRDefault="005920F3">
      <w:pPr>
        <w:pStyle w:val="Reasons"/>
      </w:pPr>
    </w:p>
    <w:p w:rsidR="005920F3" w:rsidRPr="00A84882" w:rsidRDefault="00A84882">
      <w:pPr>
        <w:pStyle w:val="Proposal"/>
      </w:pPr>
      <w:r w:rsidRPr="00A84882">
        <w:t>ADD</w:t>
      </w:r>
      <w:r w:rsidRPr="00A84882">
        <w:tab/>
        <w:t>ACP/62A22A11/2</w:t>
      </w:r>
      <w:r w:rsidRPr="00A84882">
        <w:rPr>
          <w:vanish/>
          <w:color w:val="7F7F7F" w:themeColor="text1" w:themeTint="80"/>
          <w:vertAlign w:val="superscript"/>
        </w:rPr>
        <w:t>#2150</w:t>
      </w:r>
    </w:p>
    <w:p w:rsidR="00A84882" w:rsidRPr="00A84882" w:rsidRDefault="00A84882" w:rsidP="00756C3A">
      <w:r w:rsidRPr="00A84882">
        <w:t>6.15</w:t>
      </w:r>
      <w:r w:rsidRPr="00A84882">
        <w:rPr>
          <w:i/>
          <w:iCs/>
        </w:rPr>
        <w:t>quat</w:t>
      </w:r>
      <w:r w:rsidRPr="00A84882">
        <w:tab/>
        <w:t>L'accord des administrations affectées en ce qui concerne leurs allotissements figurant dans le Plan peut également être obtenu conformément au présent paragraphe. Lorsque cet accord exprès au titre du présent paragraphe est conclu avec une administration affectée, l'administration notificatrice s'engage à respecter les limites de puissance surfacique indiquées au § 2.2 de l'Annexe 4 en tout point du</w:t>
      </w:r>
      <w:r w:rsidRPr="00A84882" w:rsidDel="0037637B">
        <w:t xml:space="preserve"> </w:t>
      </w:r>
      <w:r w:rsidRPr="00A84882">
        <w:t xml:space="preserve">territoire, situé à l'intérieur du contour à –3 dB de la zone couverte par le faisceau associé, de </w:t>
      </w:r>
      <w:r w:rsidRPr="00A84882">
        <w:t>l'administration dont l'allotissement a constitué la base du désaccord à la date à laquelle l'assignation de fréquence doit être mise en service, communiquée au titre du § 8.10</w:t>
      </w:r>
      <w:r w:rsidRPr="00A84882">
        <w:rPr>
          <w:i/>
        </w:rPr>
        <w:t>bis</w:t>
      </w:r>
      <w:r w:rsidRPr="00A84882">
        <w:t>, ou dans un délai de 12 mois à compter de la date d'envoi de la télécopie conformément au § 8.10</w:t>
      </w:r>
      <w:r w:rsidRPr="00A84882">
        <w:rPr>
          <w:i/>
        </w:rPr>
        <w:t>bis</w:t>
      </w:r>
      <w:r w:rsidRPr="00A84882">
        <w:rPr>
          <w:i/>
          <w:iCs/>
        </w:rPr>
        <w:t>,</w:t>
      </w:r>
      <w:r w:rsidRPr="00A84882">
        <w:t xml:space="preserve"> la date la plus tardive étant retenue.</w:t>
      </w:r>
      <w:r w:rsidRPr="00A84882">
        <w:rPr>
          <w:sz w:val="16"/>
          <w:szCs w:val="16"/>
        </w:rPr>
        <w:t>     (CMR</w:t>
      </w:r>
      <w:r w:rsidRPr="00A84882">
        <w:rPr>
          <w:sz w:val="16"/>
          <w:szCs w:val="16"/>
        </w:rPr>
        <w:noBreakHyphen/>
        <w:t>23)</w:t>
      </w:r>
    </w:p>
    <w:p w:rsidR="005920F3" w:rsidRPr="00A84882" w:rsidRDefault="005920F3">
      <w:pPr>
        <w:pStyle w:val="Reasons"/>
      </w:pPr>
    </w:p>
    <w:p w:rsidR="005920F3" w:rsidRPr="00A84882" w:rsidRDefault="00A84882">
      <w:pPr>
        <w:pStyle w:val="Proposal"/>
      </w:pPr>
      <w:r w:rsidRPr="00A84882">
        <w:t>ADD</w:t>
      </w:r>
      <w:r w:rsidRPr="00A84882">
        <w:tab/>
        <w:t>ACP/62A22A11/3</w:t>
      </w:r>
      <w:r w:rsidRPr="00A84882">
        <w:rPr>
          <w:vanish/>
          <w:color w:val="7F7F7F" w:themeColor="text1" w:themeTint="80"/>
          <w:vertAlign w:val="superscript"/>
        </w:rPr>
        <w:t>#2151</w:t>
      </w:r>
    </w:p>
    <w:p w:rsidR="00A84882" w:rsidRPr="00A84882" w:rsidRDefault="00A84882" w:rsidP="00756C3A">
      <w:r w:rsidRPr="00A84882">
        <w:t>6.15</w:t>
      </w:r>
      <w:r w:rsidRPr="00A84882">
        <w:rPr>
          <w:i/>
          <w:iCs/>
        </w:rPr>
        <w:t>quin</w:t>
      </w:r>
      <w:r w:rsidRPr="00A84882">
        <w:tab/>
        <w:t>Dès qu'il reçoit les accords au titre du § 6.15</w:t>
      </w:r>
      <w:r w:rsidRPr="00A84882">
        <w:rPr>
          <w:i/>
        </w:rPr>
        <w:t>quat</w:t>
      </w:r>
      <w:r w:rsidRPr="00A84882">
        <w:t>, lors de l'inscription de l'assignation dans la Liste, le Bureau indique les administrations dont les allotissements ont constitué la base de l'accord.</w:t>
      </w:r>
      <w:r w:rsidRPr="00A84882">
        <w:rPr>
          <w:sz w:val="16"/>
          <w:szCs w:val="16"/>
        </w:rPr>
        <w:t>     (CMR</w:t>
      </w:r>
      <w:r w:rsidRPr="00A84882">
        <w:rPr>
          <w:sz w:val="16"/>
          <w:szCs w:val="16"/>
        </w:rPr>
        <w:noBreakHyphen/>
        <w:t>23)</w:t>
      </w:r>
    </w:p>
    <w:p w:rsidR="005920F3" w:rsidRPr="00A84882" w:rsidRDefault="005920F3">
      <w:pPr>
        <w:pStyle w:val="Reasons"/>
      </w:pPr>
    </w:p>
    <w:p w:rsidR="005920F3" w:rsidRPr="00A84882" w:rsidRDefault="00A84882">
      <w:pPr>
        <w:pStyle w:val="Proposal"/>
      </w:pPr>
      <w:r w:rsidRPr="00A84882">
        <w:t>ADD</w:t>
      </w:r>
      <w:r w:rsidRPr="00A84882">
        <w:tab/>
        <w:t>ACP/62A22A11/4</w:t>
      </w:r>
      <w:r w:rsidRPr="00A84882">
        <w:rPr>
          <w:vanish/>
          <w:color w:val="7F7F7F" w:themeColor="text1" w:themeTint="80"/>
          <w:vertAlign w:val="superscript"/>
        </w:rPr>
        <w:t>#2152</w:t>
      </w:r>
    </w:p>
    <w:p w:rsidR="00A84882" w:rsidRPr="00A84882" w:rsidRDefault="00A84882" w:rsidP="00756C3A">
      <w:r w:rsidRPr="00A84882">
        <w:t>6.27</w:t>
      </w:r>
      <w:r w:rsidRPr="00A84882">
        <w:rPr>
          <w:i/>
          <w:iCs/>
        </w:rPr>
        <w:t>bis</w:t>
      </w:r>
      <w:r w:rsidRPr="00A84882">
        <w:tab/>
        <w:t>Lorsqu'une assignation est inscrite dans la Liste visée au § 6.15</w:t>
      </w:r>
      <w:r w:rsidRPr="00A84882">
        <w:rPr>
          <w:i/>
          <w:iCs/>
        </w:rPr>
        <w:t>quin</w:t>
      </w:r>
      <w:r w:rsidRPr="00A84882">
        <w:t>, cette assignation n'est pas prise en compte dans la mise à jour de la situation de référence des allotissements qui ont constitué la base de l'accord au titre du § 6.15</w:t>
      </w:r>
      <w:r w:rsidRPr="00A84882">
        <w:rPr>
          <w:i/>
        </w:rPr>
        <w:t>quat</w:t>
      </w:r>
      <w:r w:rsidRPr="00A84882">
        <w:t>.</w:t>
      </w:r>
      <w:r w:rsidRPr="00A84882">
        <w:rPr>
          <w:sz w:val="16"/>
          <w:szCs w:val="16"/>
        </w:rPr>
        <w:t>     (CMR</w:t>
      </w:r>
      <w:r w:rsidRPr="00A84882">
        <w:rPr>
          <w:sz w:val="16"/>
          <w:szCs w:val="16"/>
        </w:rPr>
        <w:noBreakHyphen/>
        <w:t>23)</w:t>
      </w:r>
    </w:p>
    <w:p w:rsidR="005920F3" w:rsidRPr="00A84882" w:rsidRDefault="005920F3">
      <w:pPr>
        <w:pStyle w:val="Reasons"/>
      </w:pPr>
    </w:p>
    <w:p w:rsidR="005920F3" w:rsidRPr="00A84882" w:rsidRDefault="00A84882">
      <w:pPr>
        <w:pStyle w:val="Proposal"/>
      </w:pPr>
      <w:r w:rsidRPr="00A84882">
        <w:lastRenderedPageBreak/>
        <w:t>ADD</w:t>
      </w:r>
      <w:r w:rsidRPr="00A84882">
        <w:tab/>
        <w:t>ACP/62A22A11/5</w:t>
      </w:r>
      <w:r w:rsidRPr="00A84882">
        <w:rPr>
          <w:vanish/>
          <w:color w:val="7F7F7F" w:themeColor="text1" w:themeTint="80"/>
          <w:vertAlign w:val="superscript"/>
        </w:rPr>
        <w:t>#2153</w:t>
      </w:r>
    </w:p>
    <w:p w:rsidR="00A84882" w:rsidRPr="00A84882" w:rsidRDefault="00A84882" w:rsidP="00756C3A">
      <w:r w:rsidRPr="00A84882">
        <w:t>6.29</w:t>
      </w:r>
      <w:r w:rsidRPr="00A84882">
        <w:rPr>
          <w:i/>
          <w:iCs/>
        </w:rPr>
        <w:t>bis</w:t>
      </w:r>
      <w:r w:rsidRPr="00A84882">
        <w:tab/>
        <w:t>Si l'engagement pris conformément au</w:t>
      </w:r>
      <w:r w:rsidRPr="00A84882" w:rsidDel="00A93BCB">
        <w:t xml:space="preserve"> </w:t>
      </w:r>
      <w:r w:rsidRPr="00A84882">
        <w:t>§ 6.15</w:t>
      </w:r>
      <w:r w:rsidRPr="00A84882">
        <w:rPr>
          <w:i/>
        </w:rPr>
        <w:t>quat</w:t>
      </w:r>
      <w:r w:rsidRPr="00A84882">
        <w:t xml:space="preserve"> n'est pas respecté par une assignation figurant dans la Liste, le Bureau consulte immédiatement l'administration responsable de cette assignation en lui demandant de respecter avec effet immédiat les conditions indiquées au § 6.15</w:t>
      </w:r>
      <w:r w:rsidRPr="00A84882">
        <w:rPr>
          <w:i/>
        </w:rPr>
        <w:t>quat</w:t>
      </w:r>
      <w:r w:rsidRPr="00A84882">
        <w:t>.</w:t>
      </w:r>
      <w:r w:rsidRPr="00A84882">
        <w:rPr>
          <w:sz w:val="16"/>
          <w:szCs w:val="16"/>
        </w:rPr>
        <w:t>     (CMR</w:t>
      </w:r>
      <w:r w:rsidRPr="00A84882">
        <w:rPr>
          <w:sz w:val="16"/>
          <w:szCs w:val="16"/>
        </w:rPr>
        <w:noBreakHyphen/>
        <w:t>23)</w:t>
      </w:r>
    </w:p>
    <w:p w:rsidR="005920F3" w:rsidRPr="00A84882" w:rsidRDefault="005920F3">
      <w:pPr>
        <w:pStyle w:val="Reasons"/>
      </w:pPr>
    </w:p>
    <w:p w:rsidR="005920F3" w:rsidRPr="00A84882" w:rsidRDefault="00A84882">
      <w:pPr>
        <w:pStyle w:val="Proposal"/>
      </w:pPr>
      <w:r w:rsidRPr="00A84882">
        <w:t>ADD</w:t>
      </w:r>
      <w:r w:rsidRPr="00A84882">
        <w:tab/>
        <w:t>ACP/62A22A11/6</w:t>
      </w:r>
      <w:r w:rsidRPr="00A84882">
        <w:rPr>
          <w:vanish/>
          <w:color w:val="7F7F7F" w:themeColor="text1" w:themeTint="80"/>
          <w:vertAlign w:val="superscript"/>
        </w:rPr>
        <w:t>#2154</w:t>
      </w:r>
    </w:p>
    <w:p w:rsidR="00A84882" w:rsidRPr="00A84882" w:rsidRDefault="00A84882" w:rsidP="00756C3A">
      <w:r w:rsidRPr="00A84882">
        <w:t>6.29</w:t>
      </w:r>
      <w:r w:rsidRPr="00A84882">
        <w:rPr>
          <w:i/>
          <w:iCs/>
        </w:rPr>
        <w:t>ter</w:t>
      </w:r>
      <w:r w:rsidRPr="00A84882">
        <w:tab/>
        <w:t>Si, malgré l'application du § 6.29</w:t>
      </w:r>
      <w:r w:rsidRPr="00A84882">
        <w:rPr>
          <w:i/>
        </w:rPr>
        <w:t>bis</w:t>
      </w:r>
      <w:r w:rsidRPr="00A84882">
        <w:t>, les conditions indiquées au § 6.15</w:t>
      </w:r>
      <w:r w:rsidRPr="00A84882">
        <w:rPr>
          <w:i/>
        </w:rPr>
        <w:t>quat</w:t>
      </w:r>
      <w:r w:rsidRPr="00A84882">
        <w:t xml:space="preserve"> ne sont toujours pas respectées par une assignation figurant dans la Liste, le Bureau informe immédiatement le Comité du Règlement des radiocommunications.</w:t>
      </w:r>
      <w:r w:rsidRPr="00A84882">
        <w:rPr>
          <w:sz w:val="16"/>
          <w:szCs w:val="16"/>
        </w:rPr>
        <w:t>     (CMR</w:t>
      </w:r>
      <w:r w:rsidRPr="00A84882">
        <w:rPr>
          <w:sz w:val="16"/>
          <w:szCs w:val="16"/>
        </w:rPr>
        <w:noBreakHyphen/>
        <w:t>23)</w:t>
      </w:r>
    </w:p>
    <w:p w:rsidR="005920F3" w:rsidRPr="00A84882" w:rsidRDefault="005920F3">
      <w:pPr>
        <w:pStyle w:val="Reasons"/>
      </w:pPr>
    </w:p>
    <w:p w:rsidR="00A84882" w:rsidRPr="00A84882" w:rsidRDefault="00A84882" w:rsidP="009F1174">
      <w:pPr>
        <w:pStyle w:val="AppArtNo"/>
      </w:pPr>
      <w:r w:rsidRPr="00A84882">
        <w:t>                </w:t>
      </w:r>
      <w:r w:rsidRPr="00A84882">
        <w:t>ARTICLE 8</w:t>
      </w:r>
      <w:r w:rsidRPr="00A84882">
        <w:rPr>
          <w:sz w:val="16"/>
          <w:szCs w:val="16"/>
        </w:rPr>
        <w:t>     (RÉV.CMR</w:t>
      </w:r>
      <w:r w:rsidRPr="00A84882">
        <w:rPr>
          <w:sz w:val="16"/>
          <w:szCs w:val="16"/>
        </w:rPr>
        <w:noBreakHyphen/>
        <w:t>19)</w:t>
      </w:r>
    </w:p>
    <w:p w:rsidR="00A84882" w:rsidRPr="00A84882" w:rsidRDefault="00A84882" w:rsidP="009F1174">
      <w:pPr>
        <w:pStyle w:val="AppArttitle"/>
        <w:rPr>
          <w:b w:val="0"/>
          <w:bCs/>
          <w:sz w:val="16"/>
          <w:szCs w:val="16"/>
          <w:lang w:val="fr-FR"/>
        </w:rPr>
      </w:pPr>
      <w:r w:rsidRPr="00A84882">
        <w:rPr>
          <w:lang w:val="fr-FR"/>
        </w:rPr>
        <w:t xml:space="preserve">Procédure de notification et d'inscription dans le Fichier de </w:t>
      </w:r>
      <w:r w:rsidRPr="00A84882">
        <w:rPr>
          <w:lang w:val="fr-FR"/>
        </w:rPr>
        <w:br/>
        <w:t xml:space="preserve">référence des assignations dans les bandes planifiées </w:t>
      </w:r>
      <w:r w:rsidRPr="00A84882">
        <w:rPr>
          <w:lang w:val="fr-FR"/>
        </w:rPr>
        <w:br/>
        <w:t>du service fixe par satellite</w:t>
      </w:r>
      <w:r w:rsidR="00810BB5" w:rsidRPr="00A84882">
        <w:rPr>
          <w:rStyle w:val="FootnoteReference"/>
          <w:b w:val="0"/>
          <w:bCs/>
          <w:lang w:val="fr-FR"/>
        </w:rPr>
        <w:t>11,</w:t>
      </w:r>
      <w:r w:rsidR="00810BB5" w:rsidRPr="00A84882">
        <w:rPr>
          <w:b w:val="0"/>
          <w:bCs/>
          <w:lang w:val="fr-FR"/>
        </w:rPr>
        <w:t xml:space="preserve"> </w:t>
      </w:r>
      <w:r w:rsidR="00810BB5" w:rsidRPr="00A84882">
        <w:rPr>
          <w:rStyle w:val="FootnoteReference"/>
          <w:b w:val="0"/>
          <w:bCs/>
          <w:lang w:val="fr-FR"/>
        </w:rPr>
        <w:t>12</w:t>
      </w:r>
      <w:r w:rsidRPr="00A84882">
        <w:rPr>
          <w:b w:val="0"/>
          <w:bCs/>
          <w:sz w:val="16"/>
          <w:szCs w:val="16"/>
          <w:lang w:val="fr-FR"/>
        </w:rPr>
        <w:t>     (CMR</w:t>
      </w:r>
      <w:r w:rsidRPr="00A84882">
        <w:rPr>
          <w:b w:val="0"/>
          <w:bCs/>
          <w:sz w:val="16"/>
          <w:szCs w:val="16"/>
          <w:lang w:val="fr-FR"/>
        </w:rPr>
        <w:noBreakHyphen/>
        <w:t>19)</w:t>
      </w:r>
    </w:p>
    <w:p w:rsidR="005920F3" w:rsidRPr="00A84882" w:rsidRDefault="00A84882">
      <w:pPr>
        <w:pStyle w:val="Proposal"/>
      </w:pPr>
      <w:r w:rsidRPr="00A84882">
        <w:t>ADD</w:t>
      </w:r>
      <w:r w:rsidRPr="00A84882">
        <w:tab/>
        <w:t>ACP/62A22A11/7</w:t>
      </w:r>
      <w:r w:rsidRPr="00A84882">
        <w:rPr>
          <w:vanish/>
          <w:color w:val="7F7F7F" w:themeColor="text1" w:themeTint="80"/>
          <w:vertAlign w:val="superscript"/>
        </w:rPr>
        <w:t>#2155</w:t>
      </w:r>
    </w:p>
    <w:p w:rsidR="00A84882" w:rsidRPr="00A84882" w:rsidRDefault="00A84882" w:rsidP="00756C3A">
      <w:r w:rsidRPr="00A84882">
        <w:t>8.10</w:t>
      </w:r>
      <w:r w:rsidRPr="00A84882">
        <w:rPr>
          <w:i/>
          <w:iCs/>
        </w:rPr>
        <w:t>bis</w:t>
      </w:r>
      <w:r w:rsidRPr="00A84882">
        <w:tab/>
        <w:t xml:space="preserve">Lorsque l'examen au titre du § 8.9 aboutit à une </w:t>
      </w:r>
      <w:r w:rsidRPr="00A84882">
        <w:t>conclusion favorable, le Bureau envoie immédiatement une télécopie aux administrations qui ont appliqué le § 6.15</w:t>
      </w:r>
      <w:r w:rsidRPr="00A84882">
        <w:rPr>
          <w:i/>
          <w:iCs/>
        </w:rPr>
        <w:t>quat</w:t>
      </w:r>
      <w:r w:rsidRPr="00A84882">
        <w:t xml:space="preserve"> en ce qui concerne la fiche de notification en question, le cas échéant. Dans cette télécopie, le Bureau informe les administrations concernées de la notification au titre du § 8.1 de la fiche de notification en question ainsi que de la date à laquelle l'assignation de fréquence doit être mise en service.</w:t>
      </w:r>
      <w:r w:rsidRPr="00A84882">
        <w:rPr>
          <w:sz w:val="16"/>
          <w:szCs w:val="16"/>
        </w:rPr>
        <w:t>     (CMR</w:t>
      </w:r>
      <w:r w:rsidRPr="00A84882">
        <w:rPr>
          <w:sz w:val="16"/>
          <w:szCs w:val="16"/>
        </w:rPr>
        <w:noBreakHyphen/>
        <w:t>23)</w:t>
      </w:r>
    </w:p>
    <w:p w:rsidR="005920F3" w:rsidRPr="00A84882" w:rsidRDefault="005920F3">
      <w:pPr>
        <w:pStyle w:val="Reasons"/>
      </w:pPr>
    </w:p>
    <w:p w:rsidR="005920F3" w:rsidRPr="00A84882" w:rsidRDefault="00A84882">
      <w:pPr>
        <w:pStyle w:val="Proposal"/>
      </w:pPr>
      <w:r w:rsidRPr="00A84882">
        <w:t>ADD</w:t>
      </w:r>
      <w:r w:rsidRPr="00A84882">
        <w:tab/>
        <w:t>ACP/62A22A11/8</w:t>
      </w:r>
      <w:r w:rsidRPr="00A84882">
        <w:rPr>
          <w:vanish/>
          <w:color w:val="7F7F7F" w:themeColor="text1" w:themeTint="80"/>
          <w:vertAlign w:val="superscript"/>
        </w:rPr>
        <w:t>#2156</w:t>
      </w:r>
    </w:p>
    <w:p w:rsidR="00A84882" w:rsidRPr="00A84882" w:rsidRDefault="00A84882" w:rsidP="00756C3A">
      <w:pPr>
        <w:pStyle w:val="ResNo"/>
      </w:pPr>
      <w:r w:rsidRPr="00A84882">
        <w:rPr>
          <w:caps w:val="0"/>
        </w:rPr>
        <w:t xml:space="preserve">PROJET DE NOUVELLE RÉSOLUTION </w:t>
      </w:r>
      <w:r w:rsidRPr="00A84882">
        <w:t>[</w:t>
      </w:r>
      <w:r w:rsidR="00457D70" w:rsidRPr="00A84882">
        <w:t>ACP-</w:t>
      </w:r>
      <w:r w:rsidRPr="00A84882">
        <w:t>A7(I)</w:t>
      </w:r>
      <w:r w:rsidRPr="00A84882">
        <w:t>]</w:t>
      </w:r>
    </w:p>
    <w:p w:rsidR="00A84882" w:rsidRPr="00A84882" w:rsidRDefault="00A84882" w:rsidP="00756C3A">
      <w:pPr>
        <w:pStyle w:val="Restitle"/>
      </w:pPr>
      <w:r w:rsidRPr="00A84882">
        <w:t>Mesures réglementaires provisoires dans l'Appendice 30B visant à améliorer la situation de référence des allotissements nationaux gravement affectés</w:t>
      </w:r>
    </w:p>
    <w:p w:rsidR="00A84882" w:rsidRPr="00A84882" w:rsidRDefault="00A84882" w:rsidP="00756C3A">
      <w:pPr>
        <w:pStyle w:val="Normalaftertitle"/>
      </w:pPr>
      <w:r w:rsidRPr="00A84882">
        <w:t>La Conférence mondiale des radiocommunications (Dubaï, 2023),</w:t>
      </w:r>
    </w:p>
    <w:p w:rsidR="00A84882" w:rsidRPr="00A84882" w:rsidRDefault="00A84882" w:rsidP="00756C3A">
      <w:pPr>
        <w:pStyle w:val="Call"/>
      </w:pPr>
      <w:r w:rsidRPr="00A84882">
        <w:t>considérant</w:t>
      </w:r>
    </w:p>
    <w:p w:rsidR="00A84882" w:rsidRPr="00A84882" w:rsidRDefault="00A84882" w:rsidP="00756C3A">
      <w:r w:rsidRPr="00A84882">
        <w:rPr>
          <w:i/>
          <w:iCs/>
        </w:rPr>
        <w:t>a)</w:t>
      </w:r>
      <w:r w:rsidRPr="00A84882">
        <w:tab/>
        <w:t xml:space="preserve">que certains allotissements nationaux, notamment ceux des pays en développement, présentent des valeurs peu élevées du rapport porteuse/brouillage global dans l'Appendice </w:t>
      </w:r>
      <w:r w:rsidRPr="00A84882">
        <w:rPr>
          <w:b/>
          <w:bCs/>
        </w:rPr>
        <w:t>30B</w:t>
      </w:r>
      <w:r w:rsidRPr="00A84882">
        <w:t>;</w:t>
      </w:r>
    </w:p>
    <w:p w:rsidR="00A84882" w:rsidRPr="00A84882" w:rsidRDefault="00A84882" w:rsidP="00756C3A">
      <w:r w:rsidRPr="00A84882">
        <w:rPr>
          <w:i/>
          <w:iCs/>
        </w:rPr>
        <w:t>b)</w:t>
      </w:r>
      <w:r w:rsidRPr="00A84882">
        <w:tab/>
        <w:t>que la mise en œuvre d'un allotissement national présentant une valeur peu élevée du rapport porteuse/brouillage global pourrait se révéler difficile,</w:t>
      </w:r>
    </w:p>
    <w:p w:rsidR="00A84882" w:rsidRPr="00A84882" w:rsidRDefault="00A84882" w:rsidP="00756C3A">
      <w:pPr>
        <w:pStyle w:val="Call"/>
      </w:pPr>
      <w:r w:rsidRPr="00A84882">
        <w:t>reconnaissant</w:t>
      </w:r>
    </w:p>
    <w:p w:rsidR="00A84882" w:rsidRPr="00A84882" w:rsidRDefault="00A84882" w:rsidP="00756C3A">
      <w:r w:rsidRPr="00A84882">
        <w:rPr>
          <w:i/>
          <w:iCs/>
        </w:rPr>
        <w:t>a)</w:t>
      </w:r>
      <w:r w:rsidRPr="00A84882">
        <w:tab/>
        <w:t>que la procédure spéciale décrite dans la présente Résolution risque d'être</w:t>
      </w:r>
      <w:r w:rsidRPr="00A84882" w:rsidDel="00B22311">
        <w:t xml:space="preserve"> </w:t>
      </w:r>
      <w:r w:rsidRPr="00A84882">
        <w:t xml:space="preserve">difficile à mettre en œuvre lorsque le territoire d'un allotissement national est voisin des territoires compris </w:t>
      </w:r>
      <w:r w:rsidRPr="00A84882">
        <w:lastRenderedPageBreak/>
        <w:t>dans la zone de service de l'assignation figurant dans la Liste pour laquelle le § 6.15 de l'Appendice </w:t>
      </w:r>
      <w:r w:rsidRPr="00A84882">
        <w:rPr>
          <w:b/>
          <w:bCs/>
        </w:rPr>
        <w:t>30B</w:t>
      </w:r>
      <w:r w:rsidRPr="00A84882">
        <w:t xml:space="preserve"> a été appliqué;</w:t>
      </w:r>
    </w:p>
    <w:p w:rsidR="00A84882" w:rsidRPr="00A84882" w:rsidRDefault="00A84882" w:rsidP="00756C3A">
      <w:pPr>
        <w:keepLines/>
      </w:pPr>
      <w:r w:rsidRPr="00A84882">
        <w:rPr>
          <w:i/>
          <w:iCs/>
        </w:rPr>
        <w:t>b)</w:t>
      </w:r>
      <w:r w:rsidRPr="00A84882">
        <w:tab/>
        <w:t>qu'aux termes de l'article 44 de la Constitution de l'UIT: «Lors de l'utilisation de bandes de fréquences pour les services de radiocommunication, les États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w:t>
      </w:r>
      <w:r w:rsidRPr="00A84882">
        <w:t xml:space="preserve"> accès équitable des différents pays, ou groupes de pays à ces orbites et à ces fréquences, compte tenu des besoins spéciaux des pays en développement et de la situation géographique de certains pays»;</w:t>
      </w:r>
    </w:p>
    <w:p w:rsidR="00A84882" w:rsidRPr="00A84882" w:rsidRDefault="00A84882" w:rsidP="00756C3A">
      <w:r w:rsidRPr="00A84882">
        <w:rPr>
          <w:i/>
          <w:iCs/>
        </w:rPr>
        <w:t>c)</w:t>
      </w:r>
      <w:r w:rsidRPr="00A84882">
        <w:tab/>
        <w:t xml:space="preserve">que l'administration responsable d'une assignation figurant dans la Liste qui a appliqué le § 6.15 de l'Appendice </w:t>
      </w:r>
      <w:r w:rsidRPr="00A84882">
        <w:rPr>
          <w:b/>
          <w:bCs/>
        </w:rPr>
        <w:t>30B</w:t>
      </w:r>
      <w:r w:rsidRPr="00A84882">
        <w:t xml:space="preserve"> concernant un allotissement national peut conclure un accord au titre du § 6.15</w:t>
      </w:r>
      <w:r w:rsidRPr="00A84882">
        <w:rPr>
          <w:i/>
        </w:rPr>
        <w:t>quat</w:t>
      </w:r>
      <w:r w:rsidRPr="00A84882">
        <w:t xml:space="preserve"> dudit Appendice (CMR-23),</w:t>
      </w:r>
    </w:p>
    <w:p w:rsidR="00A84882" w:rsidRPr="00A84882" w:rsidRDefault="00A84882" w:rsidP="00756C3A">
      <w:pPr>
        <w:pStyle w:val="Call"/>
      </w:pPr>
      <w:r w:rsidRPr="00A84882">
        <w:t>décide</w:t>
      </w:r>
    </w:p>
    <w:p w:rsidR="00A84882" w:rsidRPr="00A84882" w:rsidRDefault="00A84882" w:rsidP="00756C3A">
      <w:r w:rsidRPr="00A84882">
        <w:t>1</w:t>
      </w:r>
      <w:r w:rsidRPr="00A84882">
        <w:tab/>
      </w:r>
      <w:r w:rsidRPr="00A84882">
        <w:t xml:space="preserve">que la procédure spéciale décrite dans la présente Résolution doit uniquement être appliquée par les administrations responsables d'assignations figurant dans la Liste et par les administrations responsables d'allotissements nationaux pour lesquels le § 6.15 de l'Appendice </w:t>
      </w:r>
      <w:r w:rsidRPr="00A84882">
        <w:rPr>
          <w:b/>
          <w:bCs/>
        </w:rPr>
        <w:t>30B</w:t>
      </w:r>
      <w:r w:rsidRPr="00A84882">
        <w:t xml:space="preserve"> a été appliqué, respectivement;</w:t>
      </w:r>
    </w:p>
    <w:p w:rsidR="00A84882" w:rsidRPr="00A84882" w:rsidRDefault="00A84882" w:rsidP="00756C3A">
      <w:r w:rsidRPr="00A84882">
        <w:t>2</w:t>
      </w:r>
      <w:r w:rsidRPr="00A84882">
        <w:tab/>
        <w:t>que, lorsqu'il reçoit des accords au titre du § 6.15</w:t>
      </w:r>
      <w:r w:rsidRPr="00A84882">
        <w:rPr>
          <w:i/>
        </w:rPr>
        <w:t>quat</w:t>
      </w:r>
      <w:r w:rsidRPr="00A84882">
        <w:t xml:space="preserve"> de l'Appendice </w:t>
      </w:r>
      <w:r w:rsidRPr="00A84882">
        <w:rPr>
          <w:b/>
          <w:bCs/>
        </w:rPr>
        <w:t>30B</w:t>
      </w:r>
      <w:r w:rsidRPr="00A84882">
        <w:t xml:space="preserve"> conformément au point </w:t>
      </w:r>
      <w:r w:rsidRPr="00A84882">
        <w:rPr>
          <w:i/>
          <w:iCs/>
        </w:rPr>
        <w:t>c)</w:t>
      </w:r>
      <w:r w:rsidRPr="00A84882">
        <w:t xml:space="preserve"> du </w:t>
      </w:r>
      <w:r w:rsidRPr="00A84882">
        <w:rPr>
          <w:i/>
          <w:iCs/>
        </w:rPr>
        <w:t xml:space="preserve">reconnaissant, </w:t>
      </w:r>
      <w:r w:rsidRPr="00A84882">
        <w:t>le Bureau des radiocommunications (BR) doit appliquer immédiatement le § 6.15quin et le § 6.27</w:t>
      </w:r>
      <w:r w:rsidRPr="00A84882">
        <w:rPr>
          <w:i/>
        </w:rPr>
        <w:t>bis</w:t>
      </w:r>
      <w:r w:rsidRPr="00A84882">
        <w:t xml:space="preserve"> de l'Appendice </w:t>
      </w:r>
      <w:r w:rsidRPr="00A84882">
        <w:rPr>
          <w:b/>
          <w:bCs/>
        </w:rPr>
        <w:t>30B</w:t>
      </w:r>
      <w:r w:rsidRPr="00A84882">
        <w:t xml:space="preserve"> (CMR-23) et mettre à jour la situation de référence sans revoir les examens précédents;</w:t>
      </w:r>
    </w:p>
    <w:p w:rsidR="00A84882" w:rsidRPr="00A84882" w:rsidRDefault="00A84882" w:rsidP="00756C3A">
      <w:r w:rsidRPr="00A84882">
        <w:t>3</w:t>
      </w:r>
      <w:r w:rsidRPr="00A84882">
        <w:tab/>
        <w:t xml:space="preserve">de demander aux administrations qui notifient des assignations pour lesquelles les procédures de l'Article 6 de l'Appendice </w:t>
      </w:r>
      <w:r w:rsidRPr="00A84882">
        <w:rPr>
          <w:b/>
          <w:bCs/>
        </w:rPr>
        <w:t>30B</w:t>
      </w:r>
      <w:r w:rsidRPr="00A84882">
        <w:t xml:space="preserve"> n'ont pas encore été menées à bien et qui ont été examinées par le Bureau avant qu'il applique le point 2 du </w:t>
      </w:r>
      <w:r w:rsidRPr="00A84882">
        <w:rPr>
          <w:i/>
          <w:iCs/>
        </w:rPr>
        <w:t>décide</w:t>
      </w:r>
      <w:r w:rsidRPr="00A84882">
        <w:t xml:space="preserve">, de faire tout ce qui est en leur pouvoir pour tenir compte de la nouvelle situation de référence des allotissements nationaux, pour lesquels la procédure spéciale de la présente Résolution a été appliquée, lorsqu'elles soumettent leur fiche de notification au titre </w:t>
      </w:r>
      <w:r w:rsidRPr="00A84882">
        <w:t xml:space="preserve">du § 6.17 ou du § 6.25 de l'Appendice </w:t>
      </w:r>
      <w:r w:rsidRPr="00A84882">
        <w:rPr>
          <w:b/>
          <w:bCs/>
        </w:rPr>
        <w:t>30B</w:t>
      </w:r>
      <w:r w:rsidRPr="00A84882">
        <w:t>,</w:t>
      </w:r>
    </w:p>
    <w:p w:rsidR="00A84882" w:rsidRPr="00A84882" w:rsidRDefault="00A84882" w:rsidP="00756C3A">
      <w:pPr>
        <w:pStyle w:val="Call"/>
      </w:pPr>
      <w:r w:rsidRPr="00A84882">
        <w:t>charge le Bureau des radiocommunications</w:t>
      </w:r>
    </w:p>
    <w:p w:rsidR="00A84882" w:rsidRPr="00A84882" w:rsidRDefault="00A84882" w:rsidP="00756C3A">
      <w:r w:rsidRPr="00A84882">
        <w:t>1</w:t>
      </w:r>
      <w:r w:rsidRPr="00A84882">
        <w:tab/>
        <w:t xml:space="preserve">de prendre les mesures nécessaires pour mettre en œuvre la présente Résolution, en particulier pour attirer l'attention des administrations notificatrices sur le point 3 du </w:t>
      </w:r>
      <w:r w:rsidRPr="00A84882">
        <w:rPr>
          <w:i/>
          <w:iCs/>
        </w:rPr>
        <w:t>décide</w:t>
      </w:r>
      <w:r w:rsidRPr="00A84882">
        <w:t xml:space="preserve"> pour fournir l'assistance nécessaire aux administrations notificatrices dans l'application du point 3 du </w:t>
      </w:r>
      <w:r w:rsidRPr="00A84882">
        <w:rPr>
          <w:i/>
          <w:iCs/>
        </w:rPr>
        <w:t>décide</w:t>
      </w:r>
      <w:r w:rsidRPr="00A84882">
        <w:t>;</w:t>
      </w:r>
    </w:p>
    <w:p w:rsidR="00A84882" w:rsidRPr="00A84882" w:rsidRDefault="00A84882" w:rsidP="00756C3A">
      <w:r w:rsidRPr="00A84882">
        <w:t>2</w:t>
      </w:r>
      <w:r w:rsidRPr="00A84882">
        <w:tab/>
        <w:t xml:space="preserve">de faire rapport aux réunions pertinentes du Comité du Règlement des radiocommunications sur les efforts déployés par les administrations notificatrices dans le cadre de la mise en œuvre du point 3 du </w:t>
      </w:r>
      <w:r w:rsidRPr="00A84882">
        <w:rPr>
          <w:i/>
          <w:iCs/>
        </w:rPr>
        <w:t>décide</w:t>
      </w:r>
      <w:r w:rsidRPr="00A84882">
        <w:t>, pour que celui-ci les examine plus avant;</w:t>
      </w:r>
    </w:p>
    <w:p w:rsidR="00A84882" w:rsidRPr="00A84882" w:rsidRDefault="00A84882" w:rsidP="00756C3A">
      <w:r w:rsidRPr="00A84882">
        <w:t>3</w:t>
      </w:r>
      <w:r w:rsidRPr="00A84882">
        <w:tab/>
        <w:t>de rendre compte à chaque Conférence mondiale des radiocommunications future des éventuelles difficultés rencontrées lors de la mise en œuvre de la présente Résolution,</w:t>
      </w:r>
    </w:p>
    <w:p w:rsidR="00A84882" w:rsidRPr="00A84882" w:rsidRDefault="00A84882" w:rsidP="00756C3A">
      <w:pPr>
        <w:pStyle w:val="Call"/>
      </w:pPr>
      <w:r w:rsidRPr="00A84882">
        <w:t>charge le Comité du Règlement des radiocommunications</w:t>
      </w:r>
    </w:p>
    <w:p w:rsidR="00A84882" w:rsidRPr="00A84882" w:rsidRDefault="00A84882" w:rsidP="00756C3A">
      <w:r w:rsidRPr="00A84882">
        <w:t xml:space="preserve">de présenter à chaque Conférence mondiale des radiocommunications future un rapport sur les mesures prises par les administrations notificatrices dans le cadre de la mise en œuvre du point 3 du </w:t>
      </w:r>
      <w:r w:rsidRPr="00A84882">
        <w:rPr>
          <w:i/>
          <w:iCs/>
        </w:rPr>
        <w:t>décide</w:t>
      </w:r>
      <w:r w:rsidRPr="00A84882">
        <w:t>.</w:t>
      </w:r>
    </w:p>
    <w:p w:rsidR="00457D70" w:rsidRPr="00A84882" w:rsidRDefault="00457D70" w:rsidP="00411C49">
      <w:pPr>
        <w:pStyle w:val="Reasons"/>
      </w:pPr>
    </w:p>
    <w:p w:rsidR="00457D70" w:rsidRPr="00A84882" w:rsidRDefault="00457D70">
      <w:pPr>
        <w:jc w:val="center"/>
      </w:pPr>
      <w:r w:rsidRPr="00A84882">
        <w:t>______________</w:t>
      </w:r>
    </w:p>
    <w:sectPr w:rsidR="00457D70" w:rsidRPr="00A8488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85A" w:rsidRDefault="00CB685A">
      <w:r>
        <w:separator/>
      </w:r>
    </w:p>
  </w:endnote>
  <w:endnote w:type="continuationSeparator" w:id="0">
    <w:p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366A1">
      <w:rPr>
        <w:noProof/>
      </w:rPr>
      <w:t>27.10.23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0BB5" w:rsidRDefault="00810BB5" w:rsidP="00810BB5">
    <w:pPr>
      <w:pStyle w:val="Footer"/>
      <w:rPr>
        <w:lang w:val="en-US"/>
      </w:rPr>
    </w:pPr>
    <w:r>
      <w:fldChar w:fldCharType="begin"/>
    </w:r>
    <w:r>
      <w:rPr>
        <w:lang w:val="en-US"/>
      </w:rPr>
      <w:instrText xml:space="preserve"> FILENAME \p  \* MERGEFORMAT </w:instrText>
    </w:r>
    <w:r>
      <w:fldChar w:fldCharType="separate"/>
    </w:r>
    <w:r>
      <w:rPr>
        <w:lang w:val="en-US"/>
      </w:rPr>
      <w:t>P:\FRA\ITU-R\CONF-R\CMR23\000\062ADD22ADD11F.docx</w:t>
    </w:r>
    <w:r>
      <w:fldChar w:fldCharType="end"/>
    </w:r>
    <w:r>
      <w:t xml:space="preserve"> (528928)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10BB5">
      <w:rPr>
        <w:lang w:val="en-US"/>
      </w:rPr>
      <w:t>P:\FRA\ITU-R\CONF-R\CMR23\000\062ADD22ADD11F.docx</w:t>
    </w:r>
    <w:r>
      <w:fldChar w:fldCharType="end"/>
    </w:r>
    <w:r w:rsidR="00810BB5">
      <w:t xml:space="preserve"> (528928)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85A" w:rsidRDefault="00CB685A">
      <w:r>
        <w:rPr>
          <w:b/>
        </w:rPr>
        <w:t>_______________</w:t>
      </w:r>
    </w:p>
  </w:footnote>
  <w:footnote w:type="continuationSeparator" w:id="0">
    <w:p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rsidR="004F1F8E" w:rsidRDefault="00225CF2" w:rsidP="00FD7AA3">
    <w:pPr>
      <w:pStyle w:val="Header"/>
    </w:pPr>
    <w:r>
      <w:t>WRC</w:t>
    </w:r>
    <w:r w:rsidR="00D3426F">
      <w:t>23</w:t>
    </w:r>
    <w:r w:rsidR="004F1F8E">
      <w:t>/</w:t>
    </w:r>
    <w:r w:rsidR="006A4B45">
      <w:t>62(Add.22)(Add.11)-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38052586">
    <w:abstractNumId w:val="0"/>
  </w:num>
  <w:num w:numId="2" w16cid:durableId="69234370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1C5E"/>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57D70"/>
    <w:rsid w:val="00466211"/>
    <w:rsid w:val="00483196"/>
    <w:rsid w:val="004834A9"/>
    <w:rsid w:val="004D01FC"/>
    <w:rsid w:val="004E28C3"/>
    <w:rsid w:val="004F1F8E"/>
    <w:rsid w:val="00512A32"/>
    <w:rsid w:val="005343DA"/>
    <w:rsid w:val="00560874"/>
    <w:rsid w:val="00586CF2"/>
    <w:rsid w:val="005920F3"/>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366A1"/>
    <w:rsid w:val="007426B9"/>
    <w:rsid w:val="00764342"/>
    <w:rsid w:val="00774362"/>
    <w:rsid w:val="00786598"/>
    <w:rsid w:val="00790C74"/>
    <w:rsid w:val="007A04E8"/>
    <w:rsid w:val="007B2C34"/>
    <w:rsid w:val="007F282B"/>
    <w:rsid w:val="00810BB5"/>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84882"/>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EF311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R23-WRC23-C-0062!A22-A11!MSW-F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8187E6-3B21-48D8-BEA7-20B42EE38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2D386-1336-47EC-83F2-138A779E69F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CC182C1F-EF99-4DAB-A7C8-4D0E2543C5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1321</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R23-WRC23-C-0062!A22-A11!MSW-F</dc:title>
  <dc:subject>Conférence mondiale des radiocommunications - 2019</dc:subject>
  <dc:creator>Documents Proposals Manager (DPM)</dc:creator>
  <cp:keywords>DPM_v2023.8.1.1_prod</cp:keywords>
  <dc:description/>
  <cp:lastModifiedBy>Gozel, Elsa</cp:lastModifiedBy>
  <cp:revision>6</cp:revision>
  <cp:lastPrinted>2003-06-05T19:34:00Z</cp:lastPrinted>
  <dcterms:created xsi:type="dcterms:W3CDTF">2023-10-27T09:05:00Z</dcterms:created>
  <dcterms:modified xsi:type="dcterms:W3CDTF">2023-10-27T09:39:00Z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