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0766D" w14:paraId="55B67E92" w14:textId="77777777" w:rsidTr="00C1305F">
        <w:trPr>
          <w:cantSplit/>
        </w:trPr>
        <w:tc>
          <w:tcPr>
            <w:tcW w:w="1418" w:type="dxa"/>
            <w:vAlign w:val="center"/>
          </w:tcPr>
          <w:p w14:paraId="51F6C7BD" w14:textId="77777777" w:rsidR="00C1305F" w:rsidRPr="00F0766D" w:rsidRDefault="00C1305F" w:rsidP="00C1305F">
            <w:pPr>
              <w:spacing w:before="0" w:line="240" w:lineRule="atLeast"/>
              <w:rPr>
                <w:rFonts w:ascii="Verdana" w:hAnsi="Verdana"/>
                <w:b/>
                <w:bCs/>
                <w:sz w:val="20"/>
              </w:rPr>
            </w:pPr>
            <w:r w:rsidRPr="00F0766D">
              <w:drawing>
                <wp:inline distT="0" distB="0" distL="0" distR="0" wp14:anchorId="0DBB8B67" wp14:editId="6EDFAF3A">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3598930" w14:textId="6CDEF5E4" w:rsidR="00C1305F" w:rsidRPr="00F0766D" w:rsidRDefault="00C1305F" w:rsidP="00F10064">
            <w:pPr>
              <w:spacing w:before="400" w:after="48" w:line="240" w:lineRule="atLeast"/>
              <w:rPr>
                <w:rFonts w:ascii="Verdana" w:hAnsi="Verdana"/>
                <w:b/>
                <w:bCs/>
                <w:sz w:val="20"/>
              </w:rPr>
            </w:pPr>
            <w:r w:rsidRPr="00F0766D">
              <w:rPr>
                <w:rFonts w:ascii="Verdana" w:hAnsi="Verdana"/>
                <w:b/>
                <w:bCs/>
                <w:sz w:val="20"/>
              </w:rPr>
              <w:t>Conférence mondiale des radiocommunications (CMR-23)</w:t>
            </w:r>
            <w:r w:rsidRPr="00F0766D">
              <w:rPr>
                <w:rFonts w:ascii="Verdana" w:hAnsi="Verdana"/>
                <w:b/>
                <w:bCs/>
                <w:sz w:val="20"/>
              </w:rPr>
              <w:br/>
            </w:r>
            <w:r w:rsidRPr="00F0766D">
              <w:rPr>
                <w:rFonts w:ascii="Verdana" w:hAnsi="Verdana"/>
                <w:b/>
                <w:bCs/>
                <w:sz w:val="18"/>
                <w:szCs w:val="18"/>
              </w:rPr>
              <w:t xml:space="preserve">Dubaï, 20 novembre </w:t>
            </w:r>
            <w:r w:rsidR="00853363" w:rsidRPr="00F0766D">
              <w:rPr>
                <w:rFonts w:ascii="Verdana" w:hAnsi="Verdana"/>
                <w:b/>
                <w:bCs/>
                <w:sz w:val="18"/>
                <w:szCs w:val="18"/>
              </w:rPr>
              <w:t xml:space="preserve">– </w:t>
            </w:r>
            <w:r w:rsidRPr="00F0766D">
              <w:rPr>
                <w:rFonts w:ascii="Verdana" w:hAnsi="Verdana"/>
                <w:b/>
                <w:bCs/>
                <w:sz w:val="18"/>
                <w:szCs w:val="18"/>
              </w:rPr>
              <w:t>15 décembre 2023</w:t>
            </w:r>
          </w:p>
        </w:tc>
        <w:tc>
          <w:tcPr>
            <w:tcW w:w="1809" w:type="dxa"/>
            <w:vAlign w:val="center"/>
          </w:tcPr>
          <w:p w14:paraId="1CF09CA7" w14:textId="77777777" w:rsidR="00C1305F" w:rsidRPr="00F0766D" w:rsidRDefault="00C1305F" w:rsidP="00C1305F">
            <w:pPr>
              <w:spacing w:before="0" w:line="240" w:lineRule="atLeast"/>
            </w:pPr>
            <w:r w:rsidRPr="00F0766D">
              <w:drawing>
                <wp:inline distT="0" distB="0" distL="0" distR="0" wp14:anchorId="165248D9" wp14:editId="6DC15B3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0766D" w14:paraId="2237446D" w14:textId="77777777" w:rsidTr="0050008E">
        <w:trPr>
          <w:cantSplit/>
        </w:trPr>
        <w:tc>
          <w:tcPr>
            <w:tcW w:w="6911" w:type="dxa"/>
            <w:gridSpan w:val="2"/>
            <w:tcBorders>
              <w:bottom w:val="single" w:sz="12" w:space="0" w:color="auto"/>
            </w:tcBorders>
          </w:tcPr>
          <w:p w14:paraId="552280F4" w14:textId="77777777" w:rsidR="00BB1D82" w:rsidRPr="00F0766D"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27B9E948" w14:textId="77777777" w:rsidR="00BB1D82" w:rsidRPr="00F0766D" w:rsidRDefault="00BB1D82" w:rsidP="00BB1D82">
            <w:pPr>
              <w:spacing w:before="0" w:line="240" w:lineRule="atLeast"/>
              <w:rPr>
                <w:rFonts w:ascii="Verdana" w:hAnsi="Verdana"/>
                <w:szCs w:val="24"/>
              </w:rPr>
            </w:pPr>
          </w:p>
        </w:tc>
      </w:tr>
      <w:tr w:rsidR="00BB1D82" w:rsidRPr="00F0766D" w14:paraId="0746C437" w14:textId="77777777" w:rsidTr="00BB1D82">
        <w:trPr>
          <w:cantSplit/>
        </w:trPr>
        <w:tc>
          <w:tcPr>
            <w:tcW w:w="6911" w:type="dxa"/>
            <w:gridSpan w:val="2"/>
            <w:tcBorders>
              <w:top w:val="single" w:sz="12" w:space="0" w:color="auto"/>
            </w:tcBorders>
          </w:tcPr>
          <w:p w14:paraId="3D48D833" w14:textId="77777777" w:rsidR="00BB1D82" w:rsidRPr="00F0766D"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2E9AE4C2" w14:textId="77777777" w:rsidR="00BB1D82" w:rsidRPr="00F0766D" w:rsidRDefault="00BB1D82" w:rsidP="00BB1D82">
            <w:pPr>
              <w:spacing w:before="0" w:line="240" w:lineRule="atLeast"/>
              <w:rPr>
                <w:rFonts w:ascii="Verdana" w:hAnsi="Verdana"/>
                <w:sz w:val="20"/>
              </w:rPr>
            </w:pPr>
          </w:p>
        </w:tc>
      </w:tr>
      <w:tr w:rsidR="00BB1D82" w:rsidRPr="00F0766D" w14:paraId="3B118FBA" w14:textId="77777777" w:rsidTr="00BB1D82">
        <w:trPr>
          <w:cantSplit/>
        </w:trPr>
        <w:tc>
          <w:tcPr>
            <w:tcW w:w="6911" w:type="dxa"/>
            <w:gridSpan w:val="2"/>
          </w:tcPr>
          <w:p w14:paraId="40E22E5F" w14:textId="77777777" w:rsidR="00BB1D82" w:rsidRPr="00F0766D" w:rsidRDefault="006D4724" w:rsidP="00BA5BD0">
            <w:pPr>
              <w:spacing w:before="0"/>
              <w:rPr>
                <w:rFonts w:ascii="Verdana" w:hAnsi="Verdana"/>
                <w:b/>
                <w:sz w:val="20"/>
              </w:rPr>
            </w:pPr>
            <w:r w:rsidRPr="00F0766D">
              <w:rPr>
                <w:rFonts w:ascii="Verdana" w:hAnsi="Verdana"/>
                <w:b/>
                <w:sz w:val="20"/>
              </w:rPr>
              <w:t>SÉANCE PLÉNIÈRE</w:t>
            </w:r>
          </w:p>
        </w:tc>
        <w:tc>
          <w:tcPr>
            <w:tcW w:w="3120" w:type="dxa"/>
            <w:gridSpan w:val="2"/>
          </w:tcPr>
          <w:p w14:paraId="4019DBC9" w14:textId="77777777" w:rsidR="00BB1D82" w:rsidRPr="00F0766D" w:rsidRDefault="006D4724" w:rsidP="00BA5BD0">
            <w:pPr>
              <w:spacing w:before="0"/>
              <w:rPr>
                <w:rFonts w:ascii="Verdana" w:hAnsi="Verdana"/>
                <w:sz w:val="20"/>
              </w:rPr>
            </w:pPr>
            <w:r w:rsidRPr="00F0766D">
              <w:rPr>
                <w:rFonts w:ascii="Verdana" w:hAnsi="Verdana"/>
                <w:b/>
                <w:sz w:val="20"/>
              </w:rPr>
              <w:t>Addendum 1 au</w:t>
            </w:r>
            <w:r w:rsidRPr="00F0766D">
              <w:rPr>
                <w:rFonts w:ascii="Verdana" w:hAnsi="Verdana"/>
                <w:b/>
                <w:sz w:val="20"/>
              </w:rPr>
              <w:br/>
              <w:t>Document 62(Add.22)</w:t>
            </w:r>
            <w:r w:rsidR="00BB1D82" w:rsidRPr="00F0766D">
              <w:rPr>
                <w:rFonts w:ascii="Verdana" w:hAnsi="Verdana"/>
                <w:b/>
                <w:sz w:val="20"/>
              </w:rPr>
              <w:t>-</w:t>
            </w:r>
            <w:r w:rsidRPr="00F0766D">
              <w:rPr>
                <w:rFonts w:ascii="Verdana" w:hAnsi="Verdana"/>
                <w:b/>
                <w:sz w:val="20"/>
              </w:rPr>
              <w:t>F</w:t>
            </w:r>
          </w:p>
        </w:tc>
      </w:tr>
      <w:bookmarkEnd w:id="0"/>
      <w:tr w:rsidR="00690C7B" w:rsidRPr="00F0766D" w14:paraId="5449A830" w14:textId="77777777" w:rsidTr="00BB1D82">
        <w:trPr>
          <w:cantSplit/>
        </w:trPr>
        <w:tc>
          <w:tcPr>
            <w:tcW w:w="6911" w:type="dxa"/>
            <w:gridSpan w:val="2"/>
          </w:tcPr>
          <w:p w14:paraId="2BC3A704" w14:textId="77777777" w:rsidR="00690C7B" w:rsidRPr="00F0766D" w:rsidRDefault="00690C7B" w:rsidP="00BA5BD0">
            <w:pPr>
              <w:spacing w:before="0"/>
              <w:rPr>
                <w:rFonts w:ascii="Verdana" w:hAnsi="Verdana"/>
                <w:b/>
                <w:sz w:val="20"/>
              </w:rPr>
            </w:pPr>
          </w:p>
        </w:tc>
        <w:tc>
          <w:tcPr>
            <w:tcW w:w="3120" w:type="dxa"/>
            <w:gridSpan w:val="2"/>
          </w:tcPr>
          <w:p w14:paraId="0BEB1322" w14:textId="77777777" w:rsidR="00690C7B" w:rsidRPr="00F0766D" w:rsidRDefault="00690C7B" w:rsidP="00BA5BD0">
            <w:pPr>
              <w:spacing w:before="0"/>
              <w:rPr>
                <w:rFonts w:ascii="Verdana" w:hAnsi="Verdana"/>
                <w:b/>
                <w:sz w:val="20"/>
              </w:rPr>
            </w:pPr>
            <w:r w:rsidRPr="00F0766D">
              <w:rPr>
                <w:rFonts w:ascii="Verdana" w:hAnsi="Verdana"/>
                <w:b/>
                <w:sz w:val="20"/>
              </w:rPr>
              <w:t>26 septembre 2023</w:t>
            </w:r>
          </w:p>
        </w:tc>
      </w:tr>
      <w:tr w:rsidR="00690C7B" w:rsidRPr="00F0766D" w14:paraId="0FBADCF4" w14:textId="77777777" w:rsidTr="00BB1D82">
        <w:trPr>
          <w:cantSplit/>
        </w:trPr>
        <w:tc>
          <w:tcPr>
            <w:tcW w:w="6911" w:type="dxa"/>
            <w:gridSpan w:val="2"/>
          </w:tcPr>
          <w:p w14:paraId="28C6130E" w14:textId="77777777" w:rsidR="00690C7B" w:rsidRPr="00F0766D" w:rsidRDefault="00690C7B" w:rsidP="00BA5BD0">
            <w:pPr>
              <w:spacing w:before="0" w:after="48"/>
              <w:rPr>
                <w:rFonts w:ascii="Verdana" w:hAnsi="Verdana"/>
                <w:b/>
                <w:smallCaps/>
                <w:sz w:val="20"/>
              </w:rPr>
            </w:pPr>
          </w:p>
        </w:tc>
        <w:tc>
          <w:tcPr>
            <w:tcW w:w="3120" w:type="dxa"/>
            <w:gridSpan w:val="2"/>
          </w:tcPr>
          <w:p w14:paraId="51D5BCDA" w14:textId="77777777" w:rsidR="00690C7B" w:rsidRPr="00F0766D" w:rsidRDefault="00690C7B" w:rsidP="00BA5BD0">
            <w:pPr>
              <w:spacing w:before="0"/>
              <w:rPr>
                <w:rFonts w:ascii="Verdana" w:hAnsi="Verdana"/>
                <w:b/>
                <w:sz w:val="20"/>
              </w:rPr>
            </w:pPr>
            <w:r w:rsidRPr="00F0766D">
              <w:rPr>
                <w:rFonts w:ascii="Verdana" w:hAnsi="Verdana"/>
                <w:b/>
                <w:sz w:val="20"/>
              </w:rPr>
              <w:t>Original: anglais</w:t>
            </w:r>
          </w:p>
        </w:tc>
      </w:tr>
      <w:tr w:rsidR="00690C7B" w:rsidRPr="00F0766D" w14:paraId="3C49168E" w14:textId="77777777" w:rsidTr="00C11970">
        <w:trPr>
          <w:cantSplit/>
        </w:trPr>
        <w:tc>
          <w:tcPr>
            <w:tcW w:w="10031" w:type="dxa"/>
            <w:gridSpan w:val="4"/>
          </w:tcPr>
          <w:p w14:paraId="0EBB2362" w14:textId="77777777" w:rsidR="00690C7B" w:rsidRPr="00F0766D" w:rsidRDefault="00690C7B" w:rsidP="00BA5BD0">
            <w:pPr>
              <w:spacing w:before="0"/>
              <w:rPr>
                <w:rFonts w:ascii="Verdana" w:hAnsi="Verdana"/>
                <w:b/>
                <w:sz w:val="20"/>
              </w:rPr>
            </w:pPr>
          </w:p>
        </w:tc>
      </w:tr>
      <w:tr w:rsidR="00690C7B" w:rsidRPr="00F0766D" w14:paraId="3D7959B7" w14:textId="77777777" w:rsidTr="0050008E">
        <w:trPr>
          <w:cantSplit/>
        </w:trPr>
        <w:tc>
          <w:tcPr>
            <w:tcW w:w="10031" w:type="dxa"/>
            <w:gridSpan w:val="4"/>
          </w:tcPr>
          <w:p w14:paraId="5AF32904" w14:textId="77777777" w:rsidR="00690C7B" w:rsidRPr="00F0766D" w:rsidRDefault="00690C7B" w:rsidP="00690C7B">
            <w:pPr>
              <w:pStyle w:val="Source"/>
            </w:pPr>
            <w:bookmarkStart w:id="1" w:name="dsource" w:colFirst="0" w:colLast="0"/>
            <w:r w:rsidRPr="00F0766D">
              <w:t>Propositions communes de la Télécommunauté Asie-Pacifique</w:t>
            </w:r>
          </w:p>
        </w:tc>
      </w:tr>
      <w:tr w:rsidR="00690C7B" w:rsidRPr="00F0766D" w14:paraId="36791AAF" w14:textId="77777777" w:rsidTr="0050008E">
        <w:trPr>
          <w:cantSplit/>
        </w:trPr>
        <w:tc>
          <w:tcPr>
            <w:tcW w:w="10031" w:type="dxa"/>
            <w:gridSpan w:val="4"/>
          </w:tcPr>
          <w:p w14:paraId="7373A475" w14:textId="33266142" w:rsidR="00690C7B" w:rsidRPr="00F0766D" w:rsidRDefault="00853363" w:rsidP="00690C7B">
            <w:pPr>
              <w:pStyle w:val="Title1"/>
            </w:pPr>
            <w:bookmarkStart w:id="2" w:name="dtitle1" w:colFirst="0" w:colLast="0"/>
            <w:bookmarkEnd w:id="1"/>
            <w:r w:rsidRPr="00F0766D">
              <w:t>Propositions pour les travaux de la Conférence</w:t>
            </w:r>
          </w:p>
        </w:tc>
      </w:tr>
      <w:tr w:rsidR="00690C7B" w:rsidRPr="00F0766D" w14:paraId="57BB8CF0" w14:textId="77777777" w:rsidTr="0050008E">
        <w:trPr>
          <w:cantSplit/>
        </w:trPr>
        <w:tc>
          <w:tcPr>
            <w:tcW w:w="10031" w:type="dxa"/>
            <w:gridSpan w:val="4"/>
          </w:tcPr>
          <w:p w14:paraId="5F0180EA" w14:textId="77777777" w:rsidR="00690C7B" w:rsidRPr="00F0766D" w:rsidRDefault="00690C7B" w:rsidP="00690C7B">
            <w:pPr>
              <w:pStyle w:val="Title2"/>
            </w:pPr>
            <w:bookmarkStart w:id="3" w:name="dtitle2" w:colFirst="0" w:colLast="0"/>
            <w:bookmarkEnd w:id="2"/>
          </w:p>
        </w:tc>
      </w:tr>
      <w:tr w:rsidR="00690C7B" w:rsidRPr="00F0766D" w14:paraId="09EADA82" w14:textId="77777777" w:rsidTr="0050008E">
        <w:trPr>
          <w:cantSplit/>
        </w:trPr>
        <w:tc>
          <w:tcPr>
            <w:tcW w:w="10031" w:type="dxa"/>
            <w:gridSpan w:val="4"/>
          </w:tcPr>
          <w:p w14:paraId="511ABDA9" w14:textId="77777777" w:rsidR="00690C7B" w:rsidRPr="00F0766D" w:rsidRDefault="00690C7B" w:rsidP="00690C7B">
            <w:pPr>
              <w:pStyle w:val="Agendaitem"/>
              <w:rPr>
                <w:lang w:val="fr-FR"/>
              </w:rPr>
            </w:pPr>
            <w:bookmarkStart w:id="4" w:name="dtitle3" w:colFirst="0" w:colLast="0"/>
            <w:bookmarkEnd w:id="3"/>
            <w:r w:rsidRPr="00F0766D">
              <w:rPr>
                <w:lang w:val="fr-FR"/>
              </w:rPr>
              <w:t>Point 7(A) de l'ordre du jour</w:t>
            </w:r>
          </w:p>
        </w:tc>
      </w:tr>
    </w:tbl>
    <w:bookmarkEnd w:id="4"/>
    <w:p w14:paraId="11CD661A" w14:textId="534BFBA9" w:rsidR="00446E09" w:rsidRPr="00F0766D" w:rsidRDefault="00446E09" w:rsidP="00783A6F">
      <w:r w:rsidRPr="00F0766D">
        <w:t>7</w:t>
      </w:r>
      <w:r w:rsidRPr="00F0766D">
        <w:tab/>
        <w:t>examiner d'éventuels changements à apporter en application de la Résolution 86 (Rév. Marrakech,</w:t>
      </w:r>
      <w:r w:rsidR="001270C0" w:rsidRPr="00F0766D">
        <w:t> </w:t>
      </w:r>
      <w:r w:rsidRPr="00F0766D">
        <w:t>2002) de la Conférence de plénipotentiaires, intitulée «Procédures de publication anticipée, de coordination, de notification et d'inscription des assignations de fréquence relatives aux réseaux à satellite», conformément à la Résolution </w:t>
      </w:r>
      <w:r w:rsidRPr="00F0766D">
        <w:rPr>
          <w:b/>
          <w:bCs/>
        </w:rPr>
        <w:t>86 (Rév.CMR-07)</w:t>
      </w:r>
      <w:r w:rsidRPr="00F0766D">
        <w:t>, afin de faciliter l'utilisation rationnelle, efficace et économique des fréquences radioélectriques et des orbites associées, y compris de l'orbite des satellites géostationnaires;</w:t>
      </w:r>
    </w:p>
    <w:p w14:paraId="0FD2A1C1" w14:textId="77777777" w:rsidR="00446E09" w:rsidRPr="00F0766D" w:rsidRDefault="00446E09" w:rsidP="006D140A">
      <w:r w:rsidRPr="00F0766D">
        <w:t>7(A)</w:t>
      </w:r>
      <w:r w:rsidRPr="00F0766D">
        <w:tab/>
        <w:t>Question A – Tolérances pour certaines caractéristiques orbitales des stations spatiales non OSG du SFS, du SRS ou du SMS</w:t>
      </w:r>
    </w:p>
    <w:p w14:paraId="2CBB1DF3" w14:textId="1BB16F21" w:rsidR="00853363" w:rsidRPr="00F0766D" w:rsidRDefault="00853363" w:rsidP="00853363">
      <w:pPr>
        <w:pStyle w:val="Headingb"/>
      </w:pPr>
      <w:r w:rsidRPr="00F0766D">
        <w:t>Introduction</w:t>
      </w:r>
    </w:p>
    <w:p w14:paraId="214530FE" w14:textId="1DDA21AA" w:rsidR="00853363" w:rsidRPr="00F0766D" w:rsidRDefault="0084780D" w:rsidP="006D140A">
      <w:r w:rsidRPr="00F0766D">
        <w:t>Les Membres de l'APT ont examiné le point</w:t>
      </w:r>
      <w:r w:rsidR="001270C0" w:rsidRPr="00F0766D">
        <w:t> </w:t>
      </w:r>
      <w:r w:rsidRPr="00F0766D">
        <w:t>7 (Question</w:t>
      </w:r>
      <w:r w:rsidR="001270C0" w:rsidRPr="00F0766D">
        <w:t> </w:t>
      </w:r>
      <w:r w:rsidRPr="00F0766D">
        <w:t xml:space="preserve">A) de l'ordre du jour de la CMR-23 et élaboré des propositions communes </w:t>
      </w:r>
      <w:r w:rsidR="00986D7C" w:rsidRPr="00F0766D">
        <w:t xml:space="preserve">de l'APT </w:t>
      </w:r>
      <w:r w:rsidRPr="00F0766D">
        <w:t>visant à appuyer la Méthode</w:t>
      </w:r>
      <w:r w:rsidR="001270C0" w:rsidRPr="00F0766D">
        <w:t> </w:t>
      </w:r>
      <w:r w:rsidRPr="00F0766D">
        <w:t>A2, Option</w:t>
      </w:r>
      <w:r w:rsidR="001270C0" w:rsidRPr="00F0766D">
        <w:t> </w:t>
      </w:r>
      <w:r w:rsidRPr="00F0766D">
        <w:t>A, pour traiter cette question. En outre:</w:t>
      </w:r>
    </w:p>
    <w:p w14:paraId="424B82F3" w14:textId="470DDCD5" w:rsidR="00C56431" w:rsidRPr="00F0766D" w:rsidRDefault="00C56431" w:rsidP="00C56431">
      <w:pPr>
        <w:pStyle w:val="enumlev1"/>
      </w:pPr>
      <w:r w:rsidRPr="00F0766D">
        <w:t>–</w:t>
      </w:r>
      <w:r w:rsidRPr="00F0766D">
        <w:tab/>
      </w:r>
      <w:r w:rsidR="0084780D" w:rsidRPr="00F0766D">
        <w:t xml:space="preserve">Les Membres de l'APT </w:t>
      </w:r>
      <w:r w:rsidR="00CA1809" w:rsidRPr="00F0766D">
        <w:t>sont favorables à</w:t>
      </w:r>
      <w:r w:rsidR="0084780D" w:rsidRPr="00F0766D">
        <w:t xml:space="preserve"> </w:t>
      </w:r>
      <w:r w:rsidR="00CA1809" w:rsidRPr="00F0766D">
        <w:t>la définition</w:t>
      </w:r>
      <w:r w:rsidR="0084780D" w:rsidRPr="00F0766D">
        <w:t xml:space="preserve"> de tolérances pour les stations spatiales sur </w:t>
      </w:r>
      <w:r w:rsidR="00A161B2" w:rsidRPr="00F0766D">
        <w:t xml:space="preserve">une </w:t>
      </w:r>
      <w:r w:rsidR="0084780D" w:rsidRPr="00F0766D">
        <w:t>orbite de satellite non géostationnaire (non</w:t>
      </w:r>
      <w:r w:rsidR="001270C0" w:rsidRPr="00F0766D">
        <w:t> </w:t>
      </w:r>
      <w:r w:rsidR="0084780D" w:rsidRPr="00F0766D">
        <w:t xml:space="preserve">OSG) du SFS, du SRS et du SMS </w:t>
      </w:r>
      <w:r w:rsidR="00CA1809" w:rsidRPr="00F0766D">
        <w:t xml:space="preserve">ayant des </w:t>
      </w:r>
      <w:r w:rsidR="0084780D" w:rsidRPr="00F0766D">
        <w:t>assignations de fréquence assujetties à la Résolution</w:t>
      </w:r>
      <w:r w:rsidR="001270C0" w:rsidRPr="00F0766D">
        <w:t> </w:t>
      </w:r>
      <w:r w:rsidR="0084780D" w:rsidRPr="00F0766D">
        <w:rPr>
          <w:b/>
        </w:rPr>
        <w:t>35</w:t>
      </w:r>
      <w:r w:rsidR="001270C0" w:rsidRPr="00F0766D">
        <w:rPr>
          <w:b/>
        </w:rPr>
        <w:t xml:space="preserve"> </w:t>
      </w:r>
      <w:r w:rsidR="0084780D" w:rsidRPr="00F0766D">
        <w:rPr>
          <w:b/>
        </w:rPr>
        <w:t>(CMR-19)</w:t>
      </w:r>
      <w:r w:rsidR="0084780D" w:rsidRPr="00F0766D">
        <w:t xml:space="preserve">. Les Membres de l'APT </w:t>
      </w:r>
      <w:r w:rsidR="00CA1809" w:rsidRPr="00F0766D">
        <w:t>sont favorables à</w:t>
      </w:r>
      <w:r w:rsidR="0084780D" w:rsidRPr="00F0766D">
        <w:t xml:space="preserve"> l'établissement de ces tolérances dans le cadre de procédures réglementaires de l'UIT, telles que les procédures de mise en service</w:t>
      </w:r>
      <w:r w:rsidR="008E77BB" w:rsidRPr="00F0766D">
        <w:t xml:space="preserve"> et</w:t>
      </w:r>
      <w:r w:rsidR="0084780D" w:rsidRPr="00F0766D">
        <w:t xml:space="preserve"> de remise en service et l'approche par étape</w:t>
      </w:r>
      <w:r w:rsidR="008E77BB" w:rsidRPr="00F0766D">
        <w:t>s</w:t>
      </w:r>
      <w:r w:rsidR="0084780D" w:rsidRPr="00F0766D">
        <w:t>.</w:t>
      </w:r>
    </w:p>
    <w:p w14:paraId="561F4DDF" w14:textId="114AF821" w:rsidR="00C56431" w:rsidRPr="00F0766D" w:rsidRDefault="00C56431" w:rsidP="00C56431">
      <w:pPr>
        <w:pStyle w:val="enumlev1"/>
      </w:pPr>
      <w:r w:rsidRPr="00F0766D">
        <w:t>–</w:t>
      </w:r>
      <w:r w:rsidRPr="00F0766D">
        <w:tab/>
      </w:r>
      <w:r w:rsidR="0084780D" w:rsidRPr="00F0766D">
        <w:t xml:space="preserve">Les Membres de l'APT estiment que </w:t>
      </w:r>
      <w:r w:rsidR="008559D8" w:rsidRPr="00F0766D">
        <w:t>la définition</w:t>
      </w:r>
      <w:r w:rsidR="0084780D" w:rsidRPr="00F0766D">
        <w:t xml:space="preserve"> de tolérances pour les stations spatiales n</w:t>
      </w:r>
      <w:r w:rsidR="003B53B9" w:rsidRPr="00F0766D">
        <w:t>on</w:t>
      </w:r>
      <w:r w:rsidR="001270C0" w:rsidRPr="00F0766D">
        <w:t> </w:t>
      </w:r>
      <w:r w:rsidR="003B53B9" w:rsidRPr="00F0766D">
        <w:t>OSG du SFS, du SRS et du SMS</w:t>
      </w:r>
      <w:r w:rsidR="0084780D" w:rsidRPr="00F0766D">
        <w:t xml:space="preserve"> devrait </w:t>
      </w:r>
      <w:r w:rsidR="009D1593" w:rsidRPr="00F0766D">
        <w:t xml:space="preserve">se limiter à l'inclinaison du plan orbital, </w:t>
      </w:r>
      <w:r w:rsidR="003B53B9" w:rsidRPr="00F0766D">
        <w:t xml:space="preserve">à </w:t>
      </w:r>
      <w:r w:rsidR="009D1593" w:rsidRPr="00F0766D">
        <w:t xml:space="preserve">l'altitude de l'apogée de la station spatiale, </w:t>
      </w:r>
      <w:r w:rsidR="003B53B9" w:rsidRPr="00F0766D">
        <w:t xml:space="preserve">à </w:t>
      </w:r>
      <w:r w:rsidR="009D1593" w:rsidRPr="00F0766D">
        <w:t xml:space="preserve">l'altitude du périgée de la station spatiale et </w:t>
      </w:r>
      <w:r w:rsidR="003B53B9" w:rsidRPr="00F0766D">
        <w:t xml:space="preserve">à </w:t>
      </w:r>
      <w:r w:rsidR="009D1593" w:rsidRPr="00F0766D">
        <w:t>l'argument du périgée du plan orbital, afin de tenir compte des éventuelles différences entre les caractéristiques orbitales notifiées et celles associées aux stations spatiales déployées.</w:t>
      </w:r>
    </w:p>
    <w:p w14:paraId="196081B5" w14:textId="649C9FAD" w:rsidR="00C56431" w:rsidRPr="00F0766D" w:rsidRDefault="00C56431" w:rsidP="00B5234F">
      <w:pPr>
        <w:pStyle w:val="enumlev1"/>
        <w:keepLines/>
      </w:pPr>
      <w:r w:rsidRPr="00F0766D">
        <w:lastRenderedPageBreak/>
        <w:t>–</w:t>
      </w:r>
      <w:r w:rsidRPr="00F0766D">
        <w:tab/>
      </w:r>
      <w:r w:rsidR="009D1593" w:rsidRPr="00F0766D">
        <w:t xml:space="preserve">Les Membres de l'APT estiment également qu'il convient </w:t>
      </w:r>
      <w:r w:rsidR="0099263A" w:rsidRPr="00F0766D">
        <w:t>de prévoir</w:t>
      </w:r>
      <w:r w:rsidR="009D1593" w:rsidRPr="00F0766D">
        <w:t xml:space="preserve"> des </w:t>
      </w:r>
      <w:r w:rsidR="00D1314C" w:rsidRPr="00F0766D">
        <w:t>conséquences</w:t>
      </w:r>
      <w:r w:rsidR="009D1593" w:rsidRPr="00F0766D">
        <w:t>/</w:t>
      </w:r>
      <w:r w:rsidR="00D1314C" w:rsidRPr="00F0766D">
        <w:t xml:space="preserve">mesures </w:t>
      </w:r>
      <w:r w:rsidR="009D1593" w:rsidRPr="00F0766D">
        <w:t>réglementaires appropriées au titre des numéros</w:t>
      </w:r>
      <w:r w:rsidR="001270C0" w:rsidRPr="00F0766D">
        <w:t> </w:t>
      </w:r>
      <w:r w:rsidR="009D1593" w:rsidRPr="00F0766D">
        <w:rPr>
          <w:b/>
        </w:rPr>
        <w:t>11.44C</w:t>
      </w:r>
      <w:r w:rsidR="009D1593" w:rsidRPr="00F0766D">
        <w:t xml:space="preserve">, </w:t>
      </w:r>
      <w:r w:rsidR="009D1593" w:rsidRPr="00F0766D">
        <w:rPr>
          <w:b/>
        </w:rPr>
        <w:t>11.49.2</w:t>
      </w:r>
      <w:r w:rsidR="009D1593" w:rsidRPr="00F0766D">
        <w:t xml:space="preserve"> et </w:t>
      </w:r>
      <w:r w:rsidR="009D1593" w:rsidRPr="00F0766D">
        <w:rPr>
          <w:b/>
        </w:rPr>
        <w:t>11.51</w:t>
      </w:r>
      <w:r w:rsidR="0099263A" w:rsidRPr="00F0766D">
        <w:rPr>
          <w:b/>
        </w:rPr>
        <w:t xml:space="preserve"> </w:t>
      </w:r>
      <w:r w:rsidR="0099263A" w:rsidRPr="00F0766D">
        <w:t>du RR</w:t>
      </w:r>
      <w:r w:rsidR="009D1593" w:rsidRPr="00F0766D">
        <w:t xml:space="preserve">, compte tenu des aspects </w:t>
      </w:r>
      <w:r w:rsidR="00D1314C" w:rsidRPr="00F0766D">
        <w:t>opérationnels</w:t>
      </w:r>
      <w:r w:rsidR="009D1593" w:rsidRPr="00F0766D">
        <w:t xml:space="preserve"> des stations spatiales non</w:t>
      </w:r>
      <w:r w:rsidR="001270C0" w:rsidRPr="00F0766D">
        <w:t> </w:t>
      </w:r>
      <w:r w:rsidR="009D1593" w:rsidRPr="00F0766D">
        <w:t xml:space="preserve">OSG du SFS, du SRS et du SMS </w:t>
      </w:r>
      <w:r w:rsidR="00FF0AE7" w:rsidRPr="00F0766D">
        <w:t xml:space="preserve">ayant des </w:t>
      </w:r>
      <w:r w:rsidR="009D1593" w:rsidRPr="00F0766D">
        <w:t>assignations de fréquence assujetties à la Résolution</w:t>
      </w:r>
      <w:r w:rsidR="001270C0" w:rsidRPr="00F0766D">
        <w:t> </w:t>
      </w:r>
      <w:r w:rsidR="009D1593" w:rsidRPr="00F0766D">
        <w:rPr>
          <w:b/>
        </w:rPr>
        <w:t>35 (CMR-19)</w:t>
      </w:r>
      <w:r w:rsidR="009D1593" w:rsidRPr="00F0766D">
        <w:t>, si les tolérances admissibles indiquées</w:t>
      </w:r>
      <w:r w:rsidR="00FF0AE7" w:rsidRPr="00F0766D">
        <w:t xml:space="preserve"> sont dépassées dans le cadre </w:t>
      </w:r>
      <w:r w:rsidR="00D1314C" w:rsidRPr="00F0766D">
        <w:t>de l'exploitation</w:t>
      </w:r>
      <w:r w:rsidR="009D1593" w:rsidRPr="00F0766D">
        <w:t>. Ces mesures réglementaires devraient être applicables</w:t>
      </w:r>
      <w:r w:rsidR="00E34DB1" w:rsidRPr="00F0766D">
        <w:t>,</w:t>
      </w:r>
      <w:r w:rsidR="007E76B3" w:rsidRPr="00F0766D">
        <w:t xml:space="preserve"> sans effet rétroactif</w:t>
      </w:r>
      <w:r w:rsidR="009D1593" w:rsidRPr="00F0766D">
        <w:t xml:space="preserve">. De plus, il </w:t>
      </w:r>
      <w:r w:rsidR="007E76B3" w:rsidRPr="00F0766D">
        <w:t xml:space="preserve">faudra peut-être </w:t>
      </w:r>
      <w:r w:rsidR="009D1593" w:rsidRPr="00F0766D">
        <w:t>élaborer des mesures de transition nécessaires pour pouvoir appliquer la décision de la CMR-23.</w:t>
      </w:r>
    </w:p>
    <w:p w14:paraId="0A8DF3D6" w14:textId="3E0CDBFF" w:rsidR="00C56431" w:rsidRPr="00F0766D" w:rsidRDefault="00C56431" w:rsidP="00C56431">
      <w:pPr>
        <w:pStyle w:val="enumlev1"/>
      </w:pPr>
      <w:r w:rsidRPr="00F0766D">
        <w:t>–</w:t>
      </w:r>
      <w:r w:rsidRPr="00F0766D">
        <w:tab/>
      </w:r>
      <w:r w:rsidR="009D1593" w:rsidRPr="00F0766D">
        <w:t>Les Membres de l'APT ne sont pas favorables à l'application d'une réglementation excessive ou de méthodes réglementaires trop strictes ou rigides</w:t>
      </w:r>
      <w:r w:rsidR="004B651F" w:rsidRPr="00F0766D">
        <w:t>,</w:t>
      </w:r>
      <w:r w:rsidR="009D1593" w:rsidRPr="00F0766D">
        <w:t xml:space="preserve"> </w:t>
      </w:r>
      <w:r w:rsidR="00AF3683" w:rsidRPr="00F0766D">
        <w:t>car il faut</w:t>
      </w:r>
      <w:r w:rsidR="004B651F" w:rsidRPr="00F0766D">
        <w:t xml:space="preserve"> pouvoir exploiter </w:t>
      </w:r>
      <w:r w:rsidR="002C091B" w:rsidRPr="00F0766D">
        <w:t xml:space="preserve">les satellites nouveaux ou existants </w:t>
      </w:r>
      <w:r w:rsidR="002647C9" w:rsidRPr="00F0766D">
        <w:t>tout en gardant la possibilité d'y apporter</w:t>
      </w:r>
      <w:r w:rsidR="002C091B" w:rsidRPr="00F0766D">
        <w:t xml:space="preserve"> des ajustements</w:t>
      </w:r>
      <w:r w:rsidR="002647C9" w:rsidRPr="00F0766D">
        <w:t>,</w:t>
      </w:r>
      <w:r w:rsidR="002C091B" w:rsidRPr="00F0766D">
        <w:t xml:space="preserve"> </w:t>
      </w:r>
      <w:r w:rsidR="00CC6B69" w:rsidRPr="00F0766D">
        <w:t>afin de</w:t>
      </w:r>
      <w:r w:rsidR="002C091B" w:rsidRPr="00F0766D">
        <w:t xml:space="preserve"> respecter les tolérances </w:t>
      </w:r>
      <w:r w:rsidR="004B651F" w:rsidRPr="00F0766D">
        <w:t>orbitales</w:t>
      </w:r>
      <w:r w:rsidR="002C091B" w:rsidRPr="00F0766D">
        <w:t xml:space="preserve"> établies.</w:t>
      </w:r>
      <w:r w:rsidR="009D1593" w:rsidRPr="00F0766D">
        <w:t xml:space="preserve"> </w:t>
      </w:r>
    </w:p>
    <w:p w14:paraId="044E5E42" w14:textId="09371813" w:rsidR="00C56431" w:rsidRPr="00F0766D" w:rsidRDefault="00C56431" w:rsidP="00C56431">
      <w:pPr>
        <w:pStyle w:val="enumlev1"/>
      </w:pPr>
      <w:r w:rsidRPr="00F0766D">
        <w:t>–</w:t>
      </w:r>
      <w:r w:rsidRPr="00F0766D">
        <w:tab/>
      </w:r>
      <w:r w:rsidR="002C091B" w:rsidRPr="00F0766D">
        <w:t>En ce qui concerne les assignations de fréquence des systèmes non</w:t>
      </w:r>
      <w:r w:rsidR="001270C0" w:rsidRPr="00F0766D">
        <w:t> </w:t>
      </w:r>
      <w:r w:rsidR="002C091B" w:rsidRPr="00F0766D">
        <w:t>OSG du SFS, du SRS et du SMS assujettis à la Résolution</w:t>
      </w:r>
      <w:r w:rsidR="001270C0" w:rsidRPr="00F0766D">
        <w:t> </w:t>
      </w:r>
      <w:r w:rsidR="002C091B" w:rsidRPr="00F0766D">
        <w:rPr>
          <w:b/>
        </w:rPr>
        <w:t>35 (CMR-19)</w:t>
      </w:r>
      <w:r w:rsidR="002C091B" w:rsidRPr="00F0766D">
        <w:t xml:space="preserve"> notifiées avant l'entrée en vigueur des Actes finals de la CMR-23, les Membres de l'APT sont favorables à </w:t>
      </w:r>
      <w:r w:rsidR="002647C9" w:rsidRPr="00F0766D">
        <w:t xml:space="preserve">la possibilité de </w:t>
      </w:r>
      <w:r w:rsidR="002C091B" w:rsidRPr="00F0766D">
        <w:t xml:space="preserve">mettre à jour les paramètres orbitaux notifiés dans des limites raisonnables, </w:t>
      </w:r>
      <w:r w:rsidR="00501A83" w:rsidRPr="00F0766D">
        <w:t>sur la base</w:t>
      </w:r>
      <w:r w:rsidR="002C091B" w:rsidRPr="00F0766D">
        <w:t xml:space="preserve"> des conditions énoncées dans le projet de nouvelle Résolution, afin de s'aligner sur les caractéristiques </w:t>
      </w:r>
      <w:r w:rsidR="00501A83" w:rsidRPr="00F0766D">
        <w:t xml:space="preserve">réelles </w:t>
      </w:r>
      <w:r w:rsidR="002C091B" w:rsidRPr="00F0766D">
        <w:t>déployées, sans modifier la date de réception de la fiche de notification associée.</w:t>
      </w:r>
    </w:p>
    <w:p w14:paraId="1E942655" w14:textId="0A9E672C" w:rsidR="003A583E" w:rsidRPr="00F0766D" w:rsidRDefault="00853363" w:rsidP="00853363">
      <w:pPr>
        <w:pStyle w:val="Headingb"/>
      </w:pPr>
      <w:r w:rsidRPr="00F0766D">
        <w:t>Propositions</w:t>
      </w:r>
    </w:p>
    <w:p w14:paraId="348F4DB7" w14:textId="77777777" w:rsidR="0015203F" w:rsidRPr="00F0766D" w:rsidRDefault="0015203F">
      <w:pPr>
        <w:tabs>
          <w:tab w:val="clear" w:pos="1134"/>
          <w:tab w:val="clear" w:pos="1871"/>
          <w:tab w:val="clear" w:pos="2268"/>
        </w:tabs>
        <w:overflowPunct/>
        <w:autoSpaceDE/>
        <w:autoSpaceDN/>
        <w:adjustRightInd/>
        <w:spacing w:before="0"/>
        <w:textAlignment w:val="auto"/>
      </w:pPr>
      <w:r w:rsidRPr="00F0766D">
        <w:br w:type="page"/>
      </w:r>
    </w:p>
    <w:p w14:paraId="78A54037" w14:textId="77777777" w:rsidR="00446E09" w:rsidRPr="00F0766D" w:rsidRDefault="00446E09" w:rsidP="00361A9D">
      <w:pPr>
        <w:pStyle w:val="ArtNo"/>
      </w:pPr>
      <w:bookmarkStart w:id="5" w:name="_Toc455752927"/>
      <w:bookmarkStart w:id="6" w:name="_Toc455756166"/>
      <w:r w:rsidRPr="00F0766D">
        <w:lastRenderedPageBreak/>
        <w:t xml:space="preserve">ARTICLE </w:t>
      </w:r>
      <w:r w:rsidRPr="00F0766D">
        <w:rPr>
          <w:rStyle w:val="href"/>
        </w:rPr>
        <w:t>11</w:t>
      </w:r>
      <w:bookmarkEnd w:id="5"/>
      <w:bookmarkEnd w:id="6"/>
    </w:p>
    <w:p w14:paraId="769D7CE8" w14:textId="7F9204E0" w:rsidR="00446E09" w:rsidRPr="00F0766D" w:rsidRDefault="00446E09" w:rsidP="004D01BC">
      <w:pPr>
        <w:pStyle w:val="Arttitle"/>
        <w:spacing w:before="120"/>
      </w:pPr>
      <w:bookmarkStart w:id="7" w:name="_Toc35933675"/>
      <w:r w:rsidRPr="00F0766D">
        <w:t>Notification et inscription des assignations</w:t>
      </w:r>
      <w:r w:rsidRPr="00F0766D">
        <w:br/>
        <w:t>de fréquence</w:t>
      </w:r>
      <w:r w:rsidRPr="00F0766D">
        <w:rPr>
          <w:rStyle w:val="FootnoteReference"/>
          <w:b w:val="0"/>
          <w:bCs/>
        </w:rPr>
        <w:t>1, 2, 3, 4, 5, 6, 7</w:t>
      </w:r>
      <w:r w:rsidRPr="00F0766D">
        <w:rPr>
          <w:b w:val="0"/>
          <w:bCs/>
          <w:sz w:val="16"/>
          <w:szCs w:val="16"/>
        </w:rPr>
        <w:t>    </w:t>
      </w:r>
      <w:r w:rsidRPr="00F0766D">
        <w:rPr>
          <w:b w:val="0"/>
          <w:sz w:val="16"/>
          <w:szCs w:val="16"/>
        </w:rPr>
        <w:t>(CMR</w:t>
      </w:r>
      <w:r w:rsidRPr="00F0766D">
        <w:rPr>
          <w:b w:val="0"/>
          <w:sz w:val="16"/>
          <w:szCs w:val="16"/>
        </w:rPr>
        <w:noBreakHyphen/>
        <w:t>19)</w:t>
      </w:r>
      <w:bookmarkEnd w:id="7"/>
    </w:p>
    <w:p w14:paraId="12CDC519" w14:textId="77777777" w:rsidR="00446E09" w:rsidRPr="00F0766D" w:rsidRDefault="00446E09" w:rsidP="008D5FFA">
      <w:pPr>
        <w:pStyle w:val="Section1"/>
      </w:pPr>
      <w:r w:rsidRPr="00F0766D">
        <w:t>Section II – Examen des fiches de notification et inscription des</w:t>
      </w:r>
      <w:r w:rsidRPr="00F0766D">
        <w:br/>
        <w:t>assignations de fréquence dans le Fichier de référence</w:t>
      </w:r>
    </w:p>
    <w:p w14:paraId="7B0F0A73" w14:textId="77777777" w:rsidR="00017F14" w:rsidRPr="00F0766D" w:rsidRDefault="00446E09">
      <w:pPr>
        <w:pStyle w:val="Proposal"/>
      </w:pPr>
      <w:r w:rsidRPr="00F0766D">
        <w:t>MOD</w:t>
      </w:r>
      <w:r w:rsidRPr="00F0766D">
        <w:tab/>
        <w:t>ACP/62A22A1/1</w:t>
      </w:r>
      <w:r w:rsidRPr="00F0766D">
        <w:rPr>
          <w:vanish/>
          <w:color w:val="7F7F7F" w:themeColor="text1" w:themeTint="80"/>
          <w:vertAlign w:val="superscript"/>
        </w:rPr>
        <w:t>#1967</w:t>
      </w:r>
    </w:p>
    <w:p w14:paraId="0B10CABA" w14:textId="77777777" w:rsidR="00446E09" w:rsidRPr="00F0766D" w:rsidRDefault="00446E09" w:rsidP="00756C3A">
      <w:r w:rsidRPr="00F0766D">
        <w:rPr>
          <w:rStyle w:val="Artdef"/>
        </w:rPr>
        <w:t>11.44C</w:t>
      </w:r>
      <w:r w:rsidRPr="00F0766D">
        <w:rPr>
          <w:rStyle w:val="Artdef"/>
        </w:rPr>
        <w:tab/>
      </w:r>
      <w:r w:rsidRPr="00F0766D">
        <w:tab/>
        <w:t>Une assignation de fréquence à une station spatiale sur une orbite de satellites non géostationnaires d'un réseau à satellite ou d'un système à satellites du service fixe par satellite, du service mobile par satellite ou du service de radiodiffusion par satellite est considérée comme ayant été mise en service lorsqu'une station spatiale ayant la capacité d'émettre ou de recevoir sur cette fréquence assignée a été déployée et maintenue dans l'un des plans orbitaux notifiés</w:t>
      </w:r>
      <w:ins w:id="8" w:author="Frenche" w:date="2023-05-05T14:52:00Z">
        <w:r w:rsidRPr="00F0766D">
          <w:rPr>
            <w:rStyle w:val="FootnoteReference"/>
          </w:rPr>
          <w:t>MOD</w:t>
        </w:r>
      </w:ins>
      <w:r w:rsidRPr="00F0766D">
        <w:rPr>
          <w:rStyle w:val="FootnoteReference"/>
        </w:rPr>
        <w:t xml:space="preserve"> 27</w:t>
      </w:r>
      <w:r w:rsidRPr="00F0766D">
        <w:t xml:space="preserve"> du réseau à satellite non géostationnaire ou du système à satellites non géostationnaires pendant une période continue de 90 jours, quel que soit le nombre notifié de plans orbitaux et de satellites par plan orbital dans le réseau ou le système. L'administration notificatrice en informe le Bureau dans un délai de 30 jours à compter de la fin de la période de 90 jours</w:t>
      </w:r>
      <w:r w:rsidRPr="00F0766D">
        <w:rPr>
          <w:rStyle w:val="FootnoteReference"/>
        </w:rPr>
        <w:t>25, 28, 29</w:t>
      </w:r>
      <w:r w:rsidRPr="00F0766D">
        <w:t>. Lorsqu'il reçoit les renseignements envoyés au titre de la présente disposition, le Bureau les met à disposition sur le site web de l'UIT dès que possible et les publie par la suite dans la BR IFIC.</w:t>
      </w:r>
      <w:r w:rsidRPr="00F0766D">
        <w:rPr>
          <w:sz w:val="16"/>
          <w:szCs w:val="16"/>
        </w:rPr>
        <w:t>     (CMR-</w:t>
      </w:r>
      <w:del w:id="9" w:author="Frenche" w:date="2023-05-05T14:52:00Z">
        <w:r w:rsidRPr="00F0766D" w:rsidDel="009D727F">
          <w:rPr>
            <w:sz w:val="16"/>
            <w:szCs w:val="16"/>
          </w:rPr>
          <w:delText>19</w:delText>
        </w:r>
      </w:del>
      <w:ins w:id="10" w:author="Frenche" w:date="2023-05-05T14:52:00Z">
        <w:r w:rsidRPr="00F0766D">
          <w:rPr>
            <w:sz w:val="16"/>
            <w:szCs w:val="16"/>
          </w:rPr>
          <w:t>23</w:t>
        </w:r>
      </w:ins>
      <w:r w:rsidRPr="00F0766D">
        <w:rPr>
          <w:sz w:val="16"/>
          <w:szCs w:val="16"/>
        </w:rPr>
        <w:t>)</w:t>
      </w:r>
    </w:p>
    <w:p w14:paraId="1E3DF93F" w14:textId="77777777" w:rsidR="00017F14" w:rsidRPr="00F0766D" w:rsidRDefault="00017F14">
      <w:pPr>
        <w:pStyle w:val="Reasons"/>
      </w:pPr>
    </w:p>
    <w:p w14:paraId="4A8F97CA" w14:textId="77777777" w:rsidR="00017F14" w:rsidRPr="00F0766D" w:rsidRDefault="00446E09">
      <w:pPr>
        <w:pStyle w:val="Proposal"/>
      </w:pPr>
      <w:r w:rsidRPr="00F0766D">
        <w:t>MOD</w:t>
      </w:r>
      <w:r w:rsidRPr="00F0766D">
        <w:tab/>
        <w:t>ACP/62A22A1/2</w:t>
      </w:r>
      <w:r w:rsidRPr="00F0766D">
        <w:rPr>
          <w:vanish/>
          <w:color w:val="7F7F7F" w:themeColor="text1" w:themeTint="80"/>
          <w:vertAlign w:val="superscript"/>
        </w:rPr>
        <w:t>#1968</w:t>
      </w:r>
    </w:p>
    <w:p w14:paraId="01BEF92D" w14:textId="77777777" w:rsidR="00446E09" w:rsidRPr="00F0766D" w:rsidRDefault="00446E09" w:rsidP="00756C3A">
      <w:r w:rsidRPr="00F0766D">
        <w:t>_______________</w:t>
      </w:r>
    </w:p>
    <w:p w14:paraId="1669F031" w14:textId="72BF0752" w:rsidR="00446E09" w:rsidRPr="00F0766D" w:rsidRDefault="00446E09" w:rsidP="00756C3A">
      <w:pPr>
        <w:pStyle w:val="FootnoteText"/>
        <w:rPr>
          <w:sz w:val="16"/>
          <w:szCs w:val="16"/>
        </w:rPr>
      </w:pPr>
      <w:r w:rsidRPr="00F0766D">
        <w:rPr>
          <w:rStyle w:val="FootnoteReference"/>
        </w:rPr>
        <w:t>27</w:t>
      </w:r>
      <w:r w:rsidRPr="00F0766D">
        <w:rPr>
          <w:rStyle w:val="FootnoteReference"/>
        </w:rPr>
        <w:tab/>
      </w:r>
      <w:r w:rsidRPr="00F0766D">
        <w:rPr>
          <w:rStyle w:val="Artdef"/>
          <w:bCs/>
        </w:rPr>
        <w:t>11.44C.1</w:t>
      </w:r>
      <w:r w:rsidRPr="00F0766D">
        <w:rPr>
          <w:bCs/>
        </w:rPr>
        <w:t xml:space="preserve"> et </w:t>
      </w:r>
      <w:r w:rsidRPr="00F0766D">
        <w:rPr>
          <w:b/>
        </w:rPr>
        <w:t>11.44D.1</w:t>
      </w:r>
      <w:r w:rsidRPr="00F0766D">
        <w:tab/>
        <w:t xml:space="preserve">Aux fins du numéro </w:t>
      </w:r>
      <w:r w:rsidRPr="00F0766D">
        <w:rPr>
          <w:b/>
          <w:bCs/>
        </w:rPr>
        <w:t>11.44C</w:t>
      </w:r>
      <w:r w:rsidRPr="00F0766D">
        <w:t xml:space="preserve"> ou </w:t>
      </w:r>
      <w:r w:rsidRPr="00F0766D">
        <w:rPr>
          <w:b/>
          <w:bCs/>
        </w:rPr>
        <w:t>11.44D</w:t>
      </w:r>
      <w:r w:rsidRPr="00F0766D">
        <w:t>, l'expression «plan orbital notifié» s'entend d'un plan orbital du système à satellites non géostationnaires, tel qu'il a été communiqué au Bureau dans les renseignements de notification les plus récents concernant les assignations de fréquence du système, qui correspond aux éléments A.4.b.4.a, A.4.b.4.d, A.4.b.4.e et A.4.b.5.c (seulement pour les orbites dont les altitudes de l'apogée et du périgée diffèrent), du Tableau A de l'Annexe 2 de l'Appendice </w:t>
      </w:r>
      <w:r w:rsidRPr="00F0766D">
        <w:rPr>
          <w:b/>
          <w:bCs/>
        </w:rPr>
        <w:t>4</w:t>
      </w:r>
      <w:r w:rsidRPr="00F0766D">
        <w:t>.</w:t>
      </w:r>
      <w:ins w:id="11" w:author="french" w:date="2022-10-19T14:26:00Z">
        <w:r w:rsidRPr="00F0766D">
          <w:t xml:space="preserve"> </w:t>
        </w:r>
      </w:ins>
      <w:ins w:id="12" w:author="french" w:date="2022-11-02T10:00:00Z">
        <w:r w:rsidRPr="00F0766D">
          <w:t>Aux fins du numéro</w:t>
        </w:r>
      </w:ins>
      <w:ins w:id="13" w:author="Pirotte, Gabrielle" w:date="2023-10-25T08:30:00Z">
        <w:r w:rsidR="00075CB1" w:rsidRPr="00F0766D">
          <w:t> </w:t>
        </w:r>
      </w:ins>
      <w:ins w:id="14" w:author="french" w:date="2022-11-02T10:01:00Z">
        <w:r w:rsidRPr="00F0766D">
          <w:rPr>
            <w:b/>
            <w:bCs/>
          </w:rPr>
          <w:t>11.44C</w:t>
        </w:r>
        <w:r w:rsidRPr="00F0766D">
          <w:t>, la Résolution</w:t>
        </w:r>
      </w:ins>
      <w:ins w:id="15" w:author="Pirotte, Gabrielle" w:date="2023-10-25T08:30:00Z">
        <w:r w:rsidR="00075CB1" w:rsidRPr="00F0766D">
          <w:t> </w:t>
        </w:r>
      </w:ins>
      <w:ins w:id="16" w:author="french" w:date="2022-11-02T10:01:00Z">
        <w:r w:rsidRPr="00F0766D">
          <w:rPr>
            <w:b/>
            <w:bCs/>
          </w:rPr>
          <w:t>[</w:t>
        </w:r>
      </w:ins>
      <w:ins w:id="17" w:author="Pirotte, Gabrielle" w:date="2023-10-12T11:37:00Z">
        <w:r w:rsidR="00086FD9" w:rsidRPr="00F0766D">
          <w:rPr>
            <w:b/>
            <w:bCs/>
          </w:rPr>
          <w:t>ACP</w:t>
        </w:r>
      </w:ins>
      <w:ins w:id="18" w:author="Gozel, Elsa" w:date="2023-10-26T19:31:00Z">
        <w:r w:rsidR="00F45B64" w:rsidRPr="00F0766D">
          <w:rPr>
            <w:b/>
            <w:bCs/>
          </w:rPr>
          <w:noBreakHyphen/>
        </w:r>
      </w:ins>
      <w:ins w:id="19" w:author="french" w:date="2022-11-02T10:01:00Z">
        <w:r w:rsidRPr="00F0766D">
          <w:rPr>
            <w:b/>
            <w:bCs/>
          </w:rPr>
          <w:t>A7(A)</w:t>
        </w:r>
      </w:ins>
      <w:ins w:id="20" w:author="french" w:date="2022-11-17T14:59:00Z">
        <w:r w:rsidRPr="00F0766D">
          <w:rPr>
            <w:b/>
            <w:bCs/>
          </w:rPr>
          <w:noBreakHyphen/>
        </w:r>
      </w:ins>
      <w:ins w:id="21" w:author="french" w:date="2022-11-02T10:01:00Z">
        <w:r w:rsidRPr="00F0766D">
          <w:rPr>
            <w:b/>
            <w:bCs/>
          </w:rPr>
          <w:t>NGSO-FSS-BSS-MSS-Tolerance] (CMR-23)</w:t>
        </w:r>
        <w:r w:rsidRPr="00F0766D">
          <w:t xml:space="preserve"> s'applique également aux stations spa</w:t>
        </w:r>
      </w:ins>
      <w:ins w:id="22" w:author="french" w:date="2022-11-02T10:02:00Z">
        <w:r w:rsidRPr="00F0766D">
          <w:t xml:space="preserve">tiales d'un système </w:t>
        </w:r>
      </w:ins>
      <w:ins w:id="23" w:author="french" w:date="2022-11-02T10:19:00Z">
        <w:r w:rsidRPr="00F0766D">
          <w:t>non</w:t>
        </w:r>
      </w:ins>
      <w:ins w:id="24" w:author="Pirotte, Gabrielle" w:date="2023-10-25T08:26:00Z">
        <w:r w:rsidR="001270C0" w:rsidRPr="00F0766D">
          <w:t> </w:t>
        </w:r>
      </w:ins>
      <w:ins w:id="25" w:author="french" w:date="2022-11-02T10:19:00Z">
        <w:r w:rsidRPr="00F0766D">
          <w:t>OSG</w:t>
        </w:r>
      </w:ins>
      <w:ins w:id="26" w:author="french" w:date="2022-11-02T12:19:00Z">
        <w:r w:rsidRPr="00F0766D">
          <w:t xml:space="preserve"> </w:t>
        </w:r>
      </w:ins>
      <w:ins w:id="27" w:author="french" w:date="2022-11-02T10:18:00Z">
        <w:r w:rsidRPr="00F0766D">
          <w:t>du</w:t>
        </w:r>
      </w:ins>
      <w:ins w:id="28" w:author="french" w:date="2022-11-02T10:58:00Z">
        <w:r w:rsidRPr="00F0766D">
          <w:t xml:space="preserve"> SFS, du SRS ou du</w:t>
        </w:r>
      </w:ins>
      <w:ins w:id="29" w:author="french" w:date="2022-11-02T10:18:00Z">
        <w:r w:rsidRPr="00F0766D">
          <w:t xml:space="preserve"> SMS</w:t>
        </w:r>
      </w:ins>
      <w:ins w:id="30" w:author="french" w:date="2022-11-02T10:19:00Z">
        <w:r w:rsidRPr="00F0766D">
          <w:t>.</w:t>
        </w:r>
      </w:ins>
      <w:r w:rsidRPr="00F0766D">
        <w:rPr>
          <w:sz w:val="16"/>
          <w:szCs w:val="16"/>
        </w:rPr>
        <w:t>     (CMR</w:t>
      </w:r>
      <w:r w:rsidRPr="00F0766D">
        <w:rPr>
          <w:sz w:val="16"/>
          <w:szCs w:val="16"/>
        </w:rPr>
        <w:noBreakHyphen/>
      </w:r>
      <w:del w:id="31" w:author="french" w:date="2022-10-19T14:26:00Z">
        <w:r w:rsidRPr="00F0766D" w:rsidDel="00CD3EE6">
          <w:rPr>
            <w:sz w:val="16"/>
            <w:szCs w:val="16"/>
          </w:rPr>
          <w:delText>19</w:delText>
        </w:r>
      </w:del>
      <w:ins w:id="32" w:author="french" w:date="2022-10-19T14:26:00Z">
        <w:r w:rsidRPr="00F0766D">
          <w:rPr>
            <w:sz w:val="16"/>
            <w:szCs w:val="16"/>
          </w:rPr>
          <w:t>23</w:t>
        </w:r>
      </w:ins>
      <w:r w:rsidRPr="00F0766D">
        <w:rPr>
          <w:sz w:val="16"/>
          <w:szCs w:val="16"/>
        </w:rPr>
        <w:t>)</w:t>
      </w:r>
    </w:p>
    <w:p w14:paraId="79304E28" w14:textId="77777777" w:rsidR="00017F14" w:rsidRPr="00F0766D" w:rsidRDefault="00017F14">
      <w:pPr>
        <w:pStyle w:val="Reasons"/>
      </w:pPr>
    </w:p>
    <w:p w14:paraId="4D335AE1" w14:textId="77777777" w:rsidR="00017F14" w:rsidRPr="00F0766D" w:rsidRDefault="00446E09">
      <w:pPr>
        <w:pStyle w:val="Proposal"/>
      </w:pPr>
      <w:r w:rsidRPr="00F0766D">
        <w:t>MOD</w:t>
      </w:r>
      <w:r w:rsidRPr="00F0766D">
        <w:tab/>
        <w:t>ACP/62A22A1/3</w:t>
      </w:r>
      <w:r w:rsidRPr="00F0766D">
        <w:rPr>
          <w:vanish/>
          <w:color w:val="7F7F7F" w:themeColor="text1" w:themeTint="80"/>
          <w:vertAlign w:val="superscript"/>
        </w:rPr>
        <w:t>#1969</w:t>
      </w:r>
    </w:p>
    <w:p w14:paraId="46323770" w14:textId="77777777" w:rsidR="00446E09" w:rsidRPr="00F0766D" w:rsidRDefault="00446E09" w:rsidP="00756C3A">
      <w:r w:rsidRPr="00F0766D">
        <w:rPr>
          <w:rStyle w:val="Artdef"/>
        </w:rPr>
        <w:t>11.49</w:t>
      </w:r>
      <w:r w:rsidRPr="00F0766D">
        <w:tab/>
      </w:r>
      <w:r w:rsidRPr="00F0766D">
        <w:tab/>
        <w:t>Chaque fois que l'utilisation d'une assignation de fréquence à une station spatiale d'un réseau à satellite ou à toutes les stations spatiales d'un système à satellites non géostationnaires est suspendue pendant une période de plus de six mois, l'administration notificatrice informe le Bureau de la date à laquelle cette utilisation a été suspendue. Lorsque l'assignation inscrite est remise en service, l'administration notificatrice en informe le Bureau dès que possible, sous réserve des dispositions du numéro </w:t>
      </w:r>
      <w:r w:rsidRPr="00F0766D">
        <w:rPr>
          <w:b/>
          <w:bCs/>
        </w:rPr>
        <w:t>11.49.1</w:t>
      </w:r>
      <w:r w:rsidRPr="00F0766D">
        <w:t xml:space="preserve">, </w:t>
      </w:r>
      <w:r w:rsidRPr="00F0766D">
        <w:rPr>
          <w:b/>
          <w:bCs/>
        </w:rPr>
        <w:t>11.49.2</w:t>
      </w:r>
      <w:r w:rsidRPr="00F0766D">
        <w:t xml:space="preserve">, </w:t>
      </w:r>
      <w:r w:rsidRPr="00F0766D">
        <w:rPr>
          <w:b/>
          <w:bCs/>
        </w:rPr>
        <w:t>11.49.3</w:t>
      </w:r>
      <w:r w:rsidRPr="00F0766D">
        <w:t xml:space="preserve"> ou </w:t>
      </w:r>
      <w:r w:rsidRPr="00F0766D">
        <w:rPr>
          <w:b/>
          <w:bCs/>
        </w:rPr>
        <w:t>11.49.4</w:t>
      </w:r>
      <w:r w:rsidRPr="00F0766D">
        <w:t>, selon le cas. Lorsqu'il reçoit les renseignements envoyés au titre de la présente disposition, le Bureau les met à disposition dès que possible sur le site web de l'UIT et les publie dans la BR IFIC. La date à laquelle l'assignation inscrite est remise en service</w:t>
      </w:r>
      <w:r w:rsidRPr="00F0766D">
        <w:rPr>
          <w:rStyle w:val="FootnoteReference"/>
        </w:rPr>
        <w:t xml:space="preserve">32, 33, 34, 35, </w:t>
      </w:r>
      <w:ins w:id="33" w:author="french" w:date="2022-10-19T14:28:00Z">
        <w:r w:rsidRPr="00F0766D">
          <w:rPr>
            <w:rStyle w:val="FootnoteReference"/>
          </w:rPr>
          <w:t xml:space="preserve">MOD </w:t>
        </w:r>
      </w:ins>
      <w:r w:rsidRPr="00F0766D">
        <w:rPr>
          <w:rStyle w:val="FootnoteReference"/>
        </w:rPr>
        <w:t>36</w:t>
      </w:r>
      <w:r w:rsidRPr="00F0766D">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w:t>
      </w:r>
      <w:r w:rsidRPr="00F0766D">
        <w:lastRenderedPageBreak/>
        <w:t>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annulée. Quatre-vingt-dix jours avant la fin de la période de suspension, le Bureau envoie un rappel à l'administration notificatrice. S'il ne reçoit pas la déclaration du début de la période de remise en service dans les trente jours suivant la date limite de la période de suspension établie conformément à la présente disposition, le Bureau procède à l'annulation de l'inscription dans le Fichier de référence. Toutefois, le Bureau informe l'administration concernée avant de prendre une telle mesure.</w:t>
      </w:r>
      <w:r w:rsidRPr="00F0766D">
        <w:rPr>
          <w:sz w:val="16"/>
          <w:szCs w:val="16"/>
        </w:rPr>
        <w:t>     (CMR</w:t>
      </w:r>
      <w:r w:rsidRPr="00F0766D">
        <w:rPr>
          <w:sz w:val="16"/>
          <w:szCs w:val="16"/>
        </w:rPr>
        <w:noBreakHyphen/>
      </w:r>
      <w:del w:id="34" w:author="french" w:date="2022-10-19T14:29:00Z">
        <w:r w:rsidRPr="00F0766D" w:rsidDel="00CD3EE6">
          <w:rPr>
            <w:sz w:val="16"/>
            <w:szCs w:val="16"/>
          </w:rPr>
          <w:delText>19</w:delText>
        </w:r>
      </w:del>
      <w:ins w:id="35" w:author="french" w:date="2022-10-19T14:29:00Z">
        <w:r w:rsidRPr="00F0766D">
          <w:rPr>
            <w:sz w:val="16"/>
            <w:szCs w:val="16"/>
          </w:rPr>
          <w:t>23</w:t>
        </w:r>
      </w:ins>
      <w:r w:rsidRPr="00F0766D">
        <w:rPr>
          <w:sz w:val="16"/>
          <w:szCs w:val="16"/>
        </w:rPr>
        <w:t>)</w:t>
      </w:r>
    </w:p>
    <w:p w14:paraId="0F85AB64" w14:textId="77777777" w:rsidR="00017F14" w:rsidRPr="00F0766D" w:rsidRDefault="00017F14">
      <w:pPr>
        <w:pStyle w:val="Reasons"/>
      </w:pPr>
    </w:p>
    <w:p w14:paraId="160CDDCB" w14:textId="77777777" w:rsidR="00017F14" w:rsidRPr="00F0766D" w:rsidRDefault="00446E09">
      <w:pPr>
        <w:pStyle w:val="Proposal"/>
      </w:pPr>
      <w:r w:rsidRPr="00F0766D">
        <w:t>MOD</w:t>
      </w:r>
      <w:r w:rsidRPr="00F0766D">
        <w:tab/>
        <w:t>ACP/62A22A1/4</w:t>
      </w:r>
      <w:r w:rsidRPr="00F0766D">
        <w:rPr>
          <w:vanish/>
          <w:color w:val="7F7F7F" w:themeColor="text1" w:themeTint="80"/>
          <w:vertAlign w:val="superscript"/>
        </w:rPr>
        <w:t>#1970</w:t>
      </w:r>
    </w:p>
    <w:p w14:paraId="06A56CA5" w14:textId="77777777" w:rsidR="00446E09" w:rsidRPr="00F0766D" w:rsidRDefault="00446E09" w:rsidP="00756C3A">
      <w:pPr>
        <w:keepNext/>
        <w:keepLines/>
      </w:pPr>
      <w:r w:rsidRPr="00F0766D">
        <w:t>_______________</w:t>
      </w:r>
    </w:p>
    <w:p w14:paraId="1345BCC0" w14:textId="7C48A22E" w:rsidR="00446E09" w:rsidRPr="00F0766D" w:rsidRDefault="00446E09" w:rsidP="00756C3A">
      <w:pPr>
        <w:pStyle w:val="FootnoteText"/>
        <w:keepNext/>
      </w:pPr>
      <w:r w:rsidRPr="00F0766D">
        <w:rPr>
          <w:rStyle w:val="FootnoteReference"/>
        </w:rPr>
        <w:t>36</w:t>
      </w:r>
      <w:r w:rsidRPr="00F0766D">
        <w:tab/>
      </w:r>
      <w:r w:rsidRPr="00F0766D">
        <w:rPr>
          <w:rStyle w:val="Artdef"/>
          <w:bCs/>
        </w:rPr>
        <w:t>11.49.5</w:t>
      </w:r>
      <w:r w:rsidRPr="00F0766D">
        <w:tab/>
        <w:t>Aux fins des numéros </w:t>
      </w:r>
      <w:r w:rsidRPr="00F0766D">
        <w:rPr>
          <w:b/>
          <w:bCs/>
        </w:rPr>
        <w:t xml:space="preserve">11.49.2 </w:t>
      </w:r>
      <w:r w:rsidRPr="00F0766D">
        <w:t xml:space="preserve">et </w:t>
      </w:r>
      <w:r w:rsidRPr="00F0766D">
        <w:rPr>
          <w:b/>
          <w:bCs/>
        </w:rPr>
        <w:t>11.49.3</w:t>
      </w:r>
      <w:r w:rsidRPr="00F0766D">
        <w:t>, l'expression «plan orbital notifié» s'entend d'un plan orbital du système à satellites non géostationnaires, tel qu'il a été communiqué au Bureau dans les renseignements de notification les plus récents concernant les assignations de fréquence du système, qui correspond aux éléments A.4.b.4.a, A.4.b.4.d, A.4.b.4.e et A.4.b.5.c (seulement pour les orbites dont les altitudes de l'apogée et du périgée diffèrent) du Tableau A de l'Annexe 2 de l'Appendice </w:t>
      </w:r>
      <w:r w:rsidRPr="00F0766D">
        <w:rPr>
          <w:b/>
          <w:bCs/>
        </w:rPr>
        <w:t>4</w:t>
      </w:r>
      <w:r w:rsidRPr="00F0766D">
        <w:t>.</w:t>
      </w:r>
      <w:ins w:id="36" w:author="french" w:date="2022-10-19T14:29:00Z">
        <w:r w:rsidRPr="00F0766D">
          <w:t xml:space="preserve"> </w:t>
        </w:r>
      </w:ins>
      <w:ins w:id="37" w:author="french" w:date="2022-11-02T10:59:00Z">
        <w:r w:rsidRPr="00F0766D">
          <w:t>Aux fins du numéro</w:t>
        </w:r>
      </w:ins>
      <w:ins w:id="38" w:author="Pirotte, Gabrielle" w:date="2023-10-25T08:30:00Z">
        <w:r w:rsidR="00075CB1" w:rsidRPr="00F0766D">
          <w:t> </w:t>
        </w:r>
      </w:ins>
      <w:ins w:id="39" w:author="french" w:date="2022-11-02T10:59:00Z">
        <w:r w:rsidRPr="00F0766D">
          <w:rPr>
            <w:b/>
            <w:bCs/>
          </w:rPr>
          <w:t>11.49.2</w:t>
        </w:r>
        <w:r w:rsidRPr="00F0766D">
          <w:t>, la Résolution</w:t>
        </w:r>
      </w:ins>
      <w:ins w:id="40" w:author="Pirotte, Gabrielle" w:date="2023-10-25T08:30:00Z">
        <w:r w:rsidR="00075CB1" w:rsidRPr="00F0766D">
          <w:t> </w:t>
        </w:r>
      </w:ins>
      <w:ins w:id="41" w:author="french" w:date="2022-11-02T10:59:00Z">
        <w:r w:rsidRPr="00F0766D">
          <w:rPr>
            <w:b/>
            <w:bCs/>
          </w:rPr>
          <w:t>[</w:t>
        </w:r>
      </w:ins>
      <w:ins w:id="42" w:author="Pirotte, Gabrielle" w:date="2023-10-12T11:38:00Z">
        <w:r w:rsidR="00086FD9" w:rsidRPr="00F0766D">
          <w:rPr>
            <w:b/>
            <w:bCs/>
          </w:rPr>
          <w:t>ACP-</w:t>
        </w:r>
      </w:ins>
      <w:ins w:id="43" w:author="french" w:date="2022-11-02T10:59:00Z">
        <w:r w:rsidRPr="00F0766D">
          <w:rPr>
            <w:b/>
            <w:bCs/>
          </w:rPr>
          <w:t>A7(A)</w:t>
        </w:r>
      </w:ins>
      <w:ins w:id="44" w:author="Pirotte, Gabrielle" w:date="2023-10-25T08:41:00Z">
        <w:r w:rsidR="00F32BA4" w:rsidRPr="00F0766D">
          <w:rPr>
            <w:b/>
            <w:bCs/>
          </w:rPr>
          <w:t>-</w:t>
        </w:r>
      </w:ins>
      <w:ins w:id="45" w:author="french" w:date="2022-11-02T10:59:00Z">
        <w:r w:rsidRPr="00F0766D">
          <w:rPr>
            <w:b/>
            <w:bCs/>
          </w:rPr>
          <w:t>NGSO</w:t>
        </w:r>
      </w:ins>
      <w:ins w:id="46" w:author="Pirotte, Gabrielle" w:date="2023-10-25T08:41:00Z">
        <w:r w:rsidR="00F32BA4" w:rsidRPr="00F0766D">
          <w:rPr>
            <w:b/>
            <w:bCs/>
          </w:rPr>
          <w:t>-</w:t>
        </w:r>
      </w:ins>
      <w:ins w:id="47" w:author="french" w:date="2022-11-02T10:59:00Z">
        <w:r w:rsidRPr="00F0766D">
          <w:rPr>
            <w:b/>
            <w:bCs/>
          </w:rPr>
          <w:t>FSS</w:t>
        </w:r>
      </w:ins>
      <w:ins w:id="48" w:author="Pirotte, Gabrielle" w:date="2023-10-25T08:41:00Z">
        <w:r w:rsidR="00F32BA4" w:rsidRPr="00F0766D">
          <w:rPr>
            <w:b/>
            <w:bCs/>
          </w:rPr>
          <w:t>-</w:t>
        </w:r>
      </w:ins>
      <w:ins w:id="49" w:author="french" w:date="2022-11-02T10:59:00Z">
        <w:r w:rsidRPr="00F0766D">
          <w:rPr>
            <w:b/>
            <w:bCs/>
          </w:rPr>
          <w:t>BSS</w:t>
        </w:r>
      </w:ins>
      <w:ins w:id="50" w:author="Pirotte, Gabrielle" w:date="2023-10-25T08:41:00Z">
        <w:r w:rsidR="00F32BA4" w:rsidRPr="00F0766D">
          <w:rPr>
            <w:b/>
            <w:bCs/>
          </w:rPr>
          <w:t>-</w:t>
        </w:r>
      </w:ins>
      <w:ins w:id="51" w:author="french" w:date="2022-11-02T10:59:00Z">
        <w:r w:rsidRPr="00F0766D">
          <w:rPr>
            <w:b/>
            <w:bCs/>
          </w:rPr>
          <w:t>MSS</w:t>
        </w:r>
      </w:ins>
      <w:ins w:id="52" w:author="Pirotte, Gabrielle" w:date="2023-10-25T08:41:00Z">
        <w:r w:rsidR="00F32BA4" w:rsidRPr="00F0766D">
          <w:rPr>
            <w:b/>
            <w:bCs/>
          </w:rPr>
          <w:t>-</w:t>
        </w:r>
      </w:ins>
      <w:ins w:id="53" w:author="french" w:date="2022-11-02T10:59:00Z">
        <w:r w:rsidRPr="00F0766D">
          <w:rPr>
            <w:b/>
            <w:bCs/>
          </w:rPr>
          <w:t>Tolerance] (CMR-23)</w:t>
        </w:r>
        <w:r w:rsidRPr="00F0766D">
          <w:t xml:space="preserve"> s'applique également aux stations spatiales d'un système non</w:t>
        </w:r>
      </w:ins>
      <w:ins w:id="54" w:author="Pirotte, Gabrielle" w:date="2023-10-25T08:26:00Z">
        <w:r w:rsidR="001270C0" w:rsidRPr="00F0766D">
          <w:t> </w:t>
        </w:r>
      </w:ins>
      <w:ins w:id="55" w:author="french" w:date="2022-11-02T10:59:00Z">
        <w:r w:rsidRPr="00F0766D">
          <w:t>OSG</w:t>
        </w:r>
      </w:ins>
      <w:ins w:id="56" w:author="french" w:date="2022-11-02T12:18:00Z">
        <w:r w:rsidRPr="00F0766D">
          <w:t xml:space="preserve"> </w:t>
        </w:r>
      </w:ins>
      <w:ins w:id="57" w:author="french" w:date="2022-11-02T10:59:00Z">
        <w:r w:rsidRPr="00F0766D">
          <w:t>du SFS, du SRS ou du SMS</w:t>
        </w:r>
      </w:ins>
      <w:ins w:id="58" w:author="french" w:date="2022-10-19T14:29:00Z">
        <w:r w:rsidRPr="00F0766D">
          <w:t>.</w:t>
        </w:r>
      </w:ins>
      <w:r w:rsidRPr="00F0766D">
        <w:rPr>
          <w:sz w:val="16"/>
          <w:szCs w:val="16"/>
        </w:rPr>
        <w:t>     (CMR</w:t>
      </w:r>
      <w:r w:rsidRPr="00F0766D">
        <w:rPr>
          <w:sz w:val="16"/>
          <w:szCs w:val="16"/>
        </w:rPr>
        <w:noBreakHyphen/>
      </w:r>
      <w:del w:id="59" w:author="french" w:date="2022-10-19T14:29:00Z">
        <w:r w:rsidRPr="00F0766D" w:rsidDel="00CD3EE6">
          <w:rPr>
            <w:sz w:val="16"/>
            <w:szCs w:val="16"/>
          </w:rPr>
          <w:delText>19</w:delText>
        </w:r>
      </w:del>
      <w:ins w:id="60" w:author="french" w:date="2022-10-19T14:29:00Z">
        <w:r w:rsidRPr="00F0766D">
          <w:rPr>
            <w:sz w:val="16"/>
            <w:szCs w:val="16"/>
          </w:rPr>
          <w:t>23</w:t>
        </w:r>
      </w:ins>
      <w:r w:rsidRPr="00F0766D">
        <w:rPr>
          <w:sz w:val="16"/>
          <w:szCs w:val="16"/>
        </w:rPr>
        <w:t>)</w:t>
      </w:r>
    </w:p>
    <w:p w14:paraId="7566DE2D" w14:textId="77777777" w:rsidR="00017F14" w:rsidRPr="00F0766D" w:rsidRDefault="00017F14">
      <w:pPr>
        <w:pStyle w:val="Reasons"/>
      </w:pPr>
    </w:p>
    <w:p w14:paraId="066648AE" w14:textId="77777777" w:rsidR="00446E09" w:rsidRPr="00F0766D" w:rsidRDefault="00446E09" w:rsidP="008D5FFA">
      <w:pPr>
        <w:pStyle w:val="Section1"/>
      </w:pPr>
      <w:r w:rsidRPr="00F0766D">
        <w:t>Section III – Tenue à jour de l'inscription des assignations de fréquence aux systèmes à satellites non géostationnaires dans le Fichier de référence</w:t>
      </w:r>
      <w:r w:rsidRPr="00F0766D">
        <w:rPr>
          <w:rStyle w:val="FootnoteTextChar"/>
          <w:b w:val="0"/>
          <w:bCs/>
          <w:sz w:val="16"/>
          <w:szCs w:val="16"/>
        </w:rPr>
        <w:t>     (CMR</w:t>
      </w:r>
      <w:r w:rsidRPr="00F0766D">
        <w:rPr>
          <w:rStyle w:val="FootnoteTextChar"/>
          <w:b w:val="0"/>
          <w:bCs/>
          <w:sz w:val="16"/>
          <w:szCs w:val="16"/>
        </w:rPr>
        <w:noBreakHyphen/>
        <w:t>19)</w:t>
      </w:r>
    </w:p>
    <w:p w14:paraId="1CFEF715" w14:textId="77777777" w:rsidR="00017F14" w:rsidRPr="00F0766D" w:rsidRDefault="00446E09" w:rsidP="00075CB1">
      <w:pPr>
        <w:pStyle w:val="Proposal"/>
      </w:pPr>
      <w:r w:rsidRPr="00F0766D">
        <w:t>MOD</w:t>
      </w:r>
      <w:r w:rsidRPr="00F0766D">
        <w:tab/>
        <w:t>ACP/62A22A1/5</w:t>
      </w:r>
      <w:r w:rsidRPr="00F0766D">
        <w:rPr>
          <w:vanish/>
          <w:color w:val="7F7F7F" w:themeColor="text1" w:themeTint="80"/>
          <w:vertAlign w:val="superscript"/>
        </w:rPr>
        <w:t>#1971</w:t>
      </w:r>
    </w:p>
    <w:p w14:paraId="7C59991F" w14:textId="027D3D33" w:rsidR="00446E09" w:rsidRPr="00F0766D" w:rsidRDefault="00446E09" w:rsidP="00075CB1">
      <w:r w:rsidRPr="00F0766D">
        <w:rPr>
          <w:rStyle w:val="Artdef"/>
        </w:rPr>
        <w:t>11.51</w:t>
      </w:r>
      <w:r w:rsidRPr="00F0766D">
        <w:tab/>
        <w:t>En ce qui concerne les assignations de fréquence à certains systèmes à satellites non géostationnaires dans certaines bandes de fréquences et certains services, la Résolution </w:t>
      </w:r>
      <w:r w:rsidRPr="00F0766D">
        <w:rPr>
          <w:b/>
          <w:bCs/>
        </w:rPr>
        <w:t>35 (CMR</w:t>
      </w:r>
      <w:r w:rsidRPr="00F0766D">
        <w:rPr>
          <w:b/>
          <w:bCs/>
        </w:rPr>
        <w:noBreakHyphen/>
        <w:t>19)</w:t>
      </w:r>
      <w:r w:rsidRPr="00F0766D">
        <w:t xml:space="preserve"> </w:t>
      </w:r>
      <w:ins w:id="61" w:author="french" w:date="2022-11-02T10:23:00Z">
        <w:r w:rsidRPr="00F0766D">
          <w:t>et la Résolution</w:t>
        </w:r>
      </w:ins>
      <w:ins w:id="62" w:author="Pirotte, Gabrielle" w:date="2023-10-25T08:31:00Z">
        <w:r w:rsidR="00075CB1" w:rsidRPr="00F0766D">
          <w:t> </w:t>
        </w:r>
      </w:ins>
      <w:ins w:id="63" w:author="french" w:date="2022-10-19T14:31:00Z">
        <w:r w:rsidRPr="00F0766D">
          <w:rPr>
            <w:b/>
            <w:bCs/>
          </w:rPr>
          <w:t>[</w:t>
        </w:r>
      </w:ins>
      <w:ins w:id="64" w:author="Pirotte, Gabrielle" w:date="2023-10-12T11:38:00Z">
        <w:r w:rsidR="00086FD9" w:rsidRPr="00F0766D">
          <w:rPr>
            <w:b/>
            <w:bCs/>
          </w:rPr>
          <w:t>ACP</w:t>
        </w:r>
      </w:ins>
      <w:ins w:id="65" w:author="Pirotte, Gabrielle" w:date="2023-10-25T08:41:00Z">
        <w:r w:rsidR="0031333D" w:rsidRPr="00F0766D">
          <w:rPr>
            <w:b/>
            <w:bCs/>
          </w:rPr>
          <w:t>-</w:t>
        </w:r>
      </w:ins>
      <w:ins w:id="66" w:author="french" w:date="2022-10-19T14:31:00Z">
        <w:r w:rsidRPr="00F0766D">
          <w:rPr>
            <w:b/>
            <w:bCs/>
          </w:rPr>
          <w:t>A7(A)</w:t>
        </w:r>
      </w:ins>
      <w:ins w:id="67" w:author="Pirotte, Gabrielle" w:date="2023-10-25T08:41:00Z">
        <w:r w:rsidR="0031333D" w:rsidRPr="00F0766D">
          <w:rPr>
            <w:b/>
            <w:bCs/>
          </w:rPr>
          <w:t>-</w:t>
        </w:r>
      </w:ins>
      <w:ins w:id="68" w:author="french" w:date="2022-10-19T14:31:00Z">
        <w:r w:rsidRPr="00F0766D">
          <w:rPr>
            <w:b/>
            <w:bCs/>
          </w:rPr>
          <w:t>NGSO</w:t>
        </w:r>
      </w:ins>
      <w:ins w:id="69" w:author="Pirotte, Gabrielle" w:date="2023-10-25T08:41:00Z">
        <w:r w:rsidR="0031333D" w:rsidRPr="00F0766D">
          <w:rPr>
            <w:b/>
            <w:bCs/>
          </w:rPr>
          <w:t>-</w:t>
        </w:r>
      </w:ins>
      <w:ins w:id="70" w:author="french" w:date="2022-10-19T14:31:00Z">
        <w:r w:rsidRPr="00F0766D">
          <w:rPr>
            <w:b/>
            <w:bCs/>
          </w:rPr>
          <w:t>FSS</w:t>
        </w:r>
      </w:ins>
      <w:ins w:id="71" w:author="Pirotte, Gabrielle" w:date="2023-10-25T08:41:00Z">
        <w:r w:rsidR="0031333D" w:rsidRPr="00F0766D">
          <w:rPr>
            <w:b/>
            <w:bCs/>
          </w:rPr>
          <w:t>-</w:t>
        </w:r>
      </w:ins>
      <w:ins w:id="72" w:author="french" w:date="2022-10-19T14:31:00Z">
        <w:r w:rsidRPr="00F0766D">
          <w:rPr>
            <w:b/>
            <w:bCs/>
          </w:rPr>
          <w:t>BSS</w:t>
        </w:r>
      </w:ins>
      <w:ins w:id="73" w:author="Pirotte, Gabrielle" w:date="2023-10-25T08:42:00Z">
        <w:r w:rsidR="0031333D" w:rsidRPr="00F0766D">
          <w:rPr>
            <w:b/>
            <w:bCs/>
          </w:rPr>
          <w:t>-</w:t>
        </w:r>
      </w:ins>
      <w:ins w:id="74" w:author="french" w:date="2022-10-19T14:31:00Z">
        <w:r w:rsidRPr="00F0766D">
          <w:rPr>
            <w:b/>
            <w:bCs/>
          </w:rPr>
          <w:t>MSS</w:t>
        </w:r>
      </w:ins>
      <w:ins w:id="75" w:author="Pirotte, Gabrielle" w:date="2023-10-25T08:42:00Z">
        <w:r w:rsidR="0031333D" w:rsidRPr="00F0766D">
          <w:rPr>
            <w:b/>
            <w:bCs/>
          </w:rPr>
          <w:t>-</w:t>
        </w:r>
      </w:ins>
      <w:ins w:id="76" w:author="french" w:date="2022-10-19T14:31:00Z">
        <w:r w:rsidRPr="00F0766D">
          <w:rPr>
            <w:b/>
            <w:bCs/>
          </w:rPr>
          <w:t>Tolerance] (</w:t>
        </w:r>
      </w:ins>
      <w:ins w:id="77" w:author="french" w:date="2022-11-02T10:23:00Z">
        <w:r w:rsidRPr="00F0766D">
          <w:rPr>
            <w:b/>
            <w:bCs/>
          </w:rPr>
          <w:t>CMR</w:t>
        </w:r>
      </w:ins>
      <w:ins w:id="78" w:author="french" w:date="2022-10-19T14:31:00Z">
        <w:r w:rsidRPr="00F0766D">
          <w:rPr>
            <w:b/>
            <w:bCs/>
          </w:rPr>
          <w:t>-23)</w:t>
        </w:r>
        <w:r w:rsidRPr="00F0766D">
          <w:t xml:space="preserve"> </w:t>
        </w:r>
      </w:ins>
      <w:r w:rsidRPr="00F0766D">
        <w:t>s'applique</w:t>
      </w:r>
      <w:ins w:id="79" w:author="french" w:date="2022-11-02T10:58:00Z">
        <w:r w:rsidRPr="00F0766D">
          <w:t>nt</w:t>
        </w:r>
      </w:ins>
      <w:r w:rsidRPr="00F0766D">
        <w:t>.</w:t>
      </w:r>
      <w:r w:rsidRPr="00F0766D">
        <w:rPr>
          <w:sz w:val="16"/>
          <w:szCs w:val="16"/>
        </w:rPr>
        <w:t>     (CMR-</w:t>
      </w:r>
      <w:del w:id="80" w:author="french" w:date="2022-10-19T14:31:00Z">
        <w:r w:rsidRPr="00F0766D" w:rsidDel="00CD3EE6">
          <w:rPr>
            <w:sz w:val="16"/>
            <w:szCs w:val="16"/>
          </w:rPr>
          <w:delText>19</w:delText>
        </w:r>
      </w:del>
      <w:ins w:id="81" w:author="french" w:date="2022-10-19T14:31:00Z">
        <w:r w:rsidRPr="00F0766D">
          <w:rPr>
            <w:sz w:val="16"/>
            <w:szCs w:val="16"/>
          </w:rPr>
          <w:t>23</w:t>
        </w:r>
      </w:ins>
      <w:r w:rsidRPr="00F0766D">
        <w:rPr>
          <w:sz w:val="16"/>
          <w:szCs w:val="16"/>
        </w:rPr>
        <w:t>)</w:t>
      </w:r>
    </w:p>
    <w:p w14:paraId="145438D2" w14:textId="77777777" w:rsidR="00017F14" w:rsidRPr="00F0766D" w:rsidRDefault="00017F14">
      <w:pPr>
        <w:pStyle w:val="Reasons"/>
      </w:pPr>
    </w:p>
    <w:p w14:paraId="7E147BD2" w14:textId="77777777" w:rsidR="00017F14" w:rsidRPr="00F0766D" w:rsidRDefault="00446E09">
      <w:pPr>
        <w:pStyle w:val="Proposal"/>
      </w:pPr>
      <w:r w:rsidRPr="00F0766D">
        <w:t>ADD</w:t>
      </w:r>
      <w:r w:rsidRPr="00F0766D">
        <w:tab/>
        <w:t>ACP/62A22A1/6</w:t>
      </w:r>
      <w:r w:rsidRPr="00F0766D">
        <w:rPr>
          <w:vanish/>
          <w:color w:val="7F7F7F" w:themeColor="text1" w:themeTint="80"/>
          <w:vertAlign w:val="superscript"/>
        </w:rPr>
        <w:t>#1972</w:t>
      </w:r>
    </w:p>
    <w:p w14:paraId="72DF1595" w14:textId="0F42E528" w:rsidR="00446E09" w:rsidRPr="00F0766D" w:rsidRDefault="00446E09" w:rsidP="00756C3A">
      <w:pPr>
        <w:pStyle w:val="ResNo"/>
      </w:pPr>
      <w:r w:rsidRPr="00F0766D">
        <w:t>PROJET DE NOUVELLE RÉSOLUTIO</w:t>
      </w:r>
      <w:r w:rsidR="000B50EE" w:rsidRPr="00F0766D">
        <w:t>n</w:t>
      </w:r>
      <w:r w:rsidR="000B50EE" w:rsidRPr="00F0766D">
        <w:br/>
      </w:r>
      <w:r w:rsidRPr="00F0766D">
        <w:t>[</w:t>
      </w:r>
      <w:r w:rsidR="000B50EE" w:rsidRPr="00F0766D">
        <w:t>ACP-</w:t>
      </w:r>
      <w:r w:rsidRPr="00F0766D">
        <w:t>A7(A)-NGSO-FSS-BSS-MSS-Tolerance] (CMR-23)</w:t>
      </w:r>
    </w:p>
    <w:p w14:paraId="734BDD5A" w14:textId="77777777" w:rsidR="00446E09" w:rsidRPr="00F0766D" w:rsidRDefault="00446E09" w:rsidP="00756C3A">
      <w:pPr>
        <w:pStyle w:val="Restitle"/>
        <w:rPr>
          <w:b w:val="0"/>
        </w:rPr>
      </w:pPr>
      <w:r w:rsidRPr="00F0766D">
        <w:rPr>
          <w:b w:val="0"/>
          <w:color w:val="000000"/>
        </w:rPr>
        <w:t xml:space="preserve">Tolérances pour certaines caractéristiques orbitales des stations spatiales déployées dans le cadre de systèmes non OSG </w:t>
      </w:r>
      <w:r w:rsidRPr="00F0766D">
        <w:rPr>
          <w:b w:val="0"/>
          <w:color w:val="000000"/>
        </w:rPr>
        <w:br/>
        <w:t xml:space="preserve">du </w:t>
      </w:r>
      <w:r w:rsidRPr="00F0766D">
        <w:rPr>
          <w:b w:val="0"/>
        </w:rPr>
        <w:t>SFS, du SRS ou du SMS</w:t>
      </w:r>
    </w:p>
    <w:p w14:paraId="4077B903" w14:textId="77777777" w:rsidR="00446E09" w:rsidRPr="00F0766D" w:rsidRDefault="00446E09" w:rsidP="00756C3A">
      <w:pPr>
        <w:pStyle w:val="Normalaftertitle0"/>
      </w:pPr>
      <w:r w:rsidRPr="00F0766D">
        <w:t>La Conférence mondiale des radiocommunications (</w:t>
      </w:r>
      <w:r w:rsidRPr="00F0766D">
        <w:rPr>
          <w:szCs w:val="24"/>
        </w:rPr>
        <w:t>Dubaï</w:t>
      </w:r>
      <w:r w:rsidRPr="00F0766D">
        <w:t>, 2023),</w:t>
      </w:r>
    </w:p>
    <w:p w14:paraId="4C01708C" w14:textId="77777777" w:rsidR="00446E09" w:rsidRPr="00F0766D" w:rsidRDefault="00446E09" w:rsidP="00756C3A">
      <w:pPr>
        <w:pStyle w:val="Call"/>
      </w:pPr>
      <w:r w:rsidRPr="00F0766D">
        <w:lastRenderedPageBreak/>
        <w:t>considérant</w:t>
      </w:r>
    </w:p>
    <w:p w14:paraId="6E477722" w14:textId="77777777" w:rsidR="00446E09" w:rsidRPr="00F0766D" w:rsidRDefault="00446E09" w:rsidP="00756C3A">
      <w:r w:rsidRPr="00F0766D">
        <w:t>que la Conférence mondiale des radiocommunications de 2019 (CMR-19) a invité le Secteur des radiocommunications de l'UIT (UIT-R) à étudier d'urgence les tolérances pour certaines caractéristiques orbitales des stations spatiales sur l'orbite des satellites non géostationnaires (OSG) du service fixe par satellite (SFS), du service de radiodiffusion par satellite (SRS) et du service mobile par satellite (SMS), afin de tenir compte des éventuelles différences entre les caractéristiques orbitales notifiées et celles associées aux stations spatiales déployées concernant l'inclinaison du plan orbital, l'altitude de l'apogée de la station spatiale, l'altitude du périgée de la station spatiale et l'argument du périgée du plan orbital,</w:t>
      </w:r>
    </w:p>
    <w:p w14:paraId="46B2501B" w14:textId="77777777" w:rsidR="00446E09" w:rsidRPr="00F0766D" w:rsidRDefault="00446E09" w:rsidP="00756C3A">
      <w:pPr>
        <w:pStyle w:val="Call"/>
      </w:pPr>
      <w:r w:rsidRPr="00F0766D">
        <w:t>notant</w:t>
      </w:r>
    </w:p>
    <w:p w14:paraId="41B80648" w14:textId="4D9EA9E1" w:rsidR="00446E09" w:rsidRPr="00F0766D" w:rsidRDefault="00446E09" w:rsidP="00756C3A">
      <w:r w:rsidRPr="00F0766D">
        <w:t xml:space="preserve">qu'aux fins de la présente Résolution, les tolérances désignent les variations maximales autorisées entre la valeur notifiée ou inscrite pour les caractéristiques orbitales visées dans le </w:t>
      </w:r>
      <w:r w:rsidRPr="00F0766D">
        <w:rPr>
          <w:i/>
          <w:iCs/>
        </w:rPr>
        <w:t xml:space="preserve">considérant </w:t>
      </w:r>
      <w:r w:rsidRPr="00F0766D">
        <w:t>ci</w:t>
      </w:r>
      <w:r w:rsidRPr="00F0766D">
        <w:noBreakHyphen/>
        <w:t>dessus et celles associées au déploiement réel des satellites des systèmes non</w:t>
      </w:r>
      <w:r w:rsidR="001270C0" w:rsidRPr="00F0766D">
        <w:t> </w:t>
      </w:r>
      <w:r w:rsidRPr="00F0766D">
        <w:t>OSG du SFS, du</w:t>
      </w:r>
      <w:r w:rsidR="001C26A4" w:rsidRPr="00F0766D">
        <w:t xml:space="preserve"> </w:t>
      </w:r>
      <w:r w:rsidRPr="00F0766D">
        <w:t>SRS ou du SMS à l'étude,</w:t>
      </w:r>
    </w:p>
    <w:p w14:paraId="4BD5D644" w14:textId="77777777" w:rsidR="00446E09" w:rsidRPr="00F0766D" w:rsidRDefault="00446E09" w:rsidP="00756C3A">
      <w:pPr>
        <w:pStyle w:val="Call"/>
      </w:pPr>
      <w:r w:rsidRPr="00F0766D">
        <w:t>reconnaissant</w:t>
      </w:r>
    </w:p>
    <w:p w14:paraId="6589CDEF" w14:textId="5C57B89E" w:rsidR="00446E09" w:rsidRPr="00F0766D" w:rsidRDefault="00446E09" w:rsidP="00756C3A">
      <w:r w:rsidRPr="00F0766D">
        <w:rPr>
          <w:i/>
          <w:iCs/>
        </w:rPr>
        <w:t>a)</w:t>
      </w:r>
      <w:r w:rsidRPr="00F0766D">
        <w:tab/>
        <w:t>que l'utilisation des assignations de fréquence des systèmes non</w:t>
      </w:r>
      <w:r w:rsidR="001270C0" w:rsidRPr="00F0766D">
        <w:t> </w:t>
      </w:r>
      <w:r w:rsidRPr="00F0766D">
        <w:t>OSG du SFS, du SRS et du SMS est assujettie aux limites réglementaires et opérationnelles énoncées dans le Règlement des radiocommunications;</w:t>
      </w:r>
    </w:p>
    <w:p w14:paraId="72AE44DB" w14:textId="11894AD1" w:rsidR="00446E09" w:rsidRPr="00F0766D" w:rsidRDefault="00446E09" w:rsidP="001C26A4">
      <w:r w:rsidRPr="00F0766D">
        <w:rPr>
          <w:i/>
          <w:iCs/>
        </w:rPr>
        <w:t>b)</w:t>
      </w:r>
      <w:r w:rsidRPr="00F0766D">
        <w:tab/>
        <w:t>que, conformément aux numéros</w:t>
      </w:r>
      <w:r w:rsidR="001C26A4" w:rsidRPr="00F0766D">
        <w:t> </w:t>
      </w:r>
      <w:r w:rsidRPr="00F0766D">
        <w:rPr>
          <w:b/>
          <w:bCs/>
        </w:rPr>
        <w:t>11.44C</w:t>
      </w:r>
      <w:r w:rsidRPr="00F0766D">
        <w:t xml:space="preserve">, </w:t>
      </w:r>
      <w:r w:rsidRPr="00F0766D">
        <w:rPr>
          <w:b/>
          <w:bCs/>
        </w:rPr>
        <w:t>11.49.2</w:t>
      </w:r>
      <w:r w:rsidRPr="00F0766D">
        <w:t xml:space="preserve"> et </w:t>
      </w:r>
      <w:r w:rsidRPr="00F0766D">
        <w:rPr>
          <w:b/>
          <w:bCs/>
        </w:rPr>
        <w:t>11.51</w:t>
      </w:r>
      <w:r w:rsidRPr="00F0766D">
        <w:t>, les satellites doivent être déployés dans les plans orbitaux notifiés;</w:t>
      </w:r>
    </w:p>
    <w:p w14:paraId="22946924" w14:textId="4D910BCA" w:rsidR="00446E09" w:rsidRPr="00F0766D" w:rsidRDefault="00446E09" w:rsidP="001C26A4">
      <w:pPr>
        <w:rPr>
          <w:color w:val="000000" w:themeColor="text1"/>
        </w:rPr>
      </w:pPr>
      <w:r w:rsidRPr="00F0766D">
        <w:rPr>
          <w:i/>
          <w:iCs/>
          <w:color w:val="000000" w:themeColor="text1"/>
        </w:rPr>
        <w:t>c)</w:t>
      </w:r>
      <w:r w:rsidRPr="00F0766D">
        <w:rPr>
          <w:color w:val="000000" w:themeColor="text1"/>
        </w:rPr>
        <w:tab/>
        <w:t>que les tolérances orbitales pour un système non</w:t>
      </w:r>
      <w:r w:rsidR="001270C0" w:rsidRPr="00F0766D">
        <w:rPr>
          <w:color w:val="000000" w:themeColor="text1"/>
        </w:rPr>
        <w:t> </w:t>
      </w:r>
      <w:r w:rsidRPr="00F0766D">
        <w:rPr>
          <w:color w:val="000000" w:themeColor="text1"/>
        </w:rPr>
        <w:t>OSG devraient tenir compte des considérations liées à la conception, notamment des caractéristiques relatives à la traînée atmosphérique de l'altitude choisie et aux prévisions du cycle solaire, qui peuvent avoir des incidences sur la durée de vie des satellites</w:t>
      </w:r>
      <w:r w:rsidR="00471D41" w:rsidRPr="00F0766D">
        <w:rPr>
          <w:color w:val="000000" w:themeColor="text1"/>
        </w:rPr>
        <w:t>/</w:t>
      </w:r>
      <w:r w:rsidR="00C14F50" w:rsidRPr="00F0766D">
        <w:rPr>
          <w:color w:val="000000" w:themeColor="text1"/>
        </w:rPr>
        <w:t>que</w:t>
      </w:r>
      <w:r w:rsidR="005B7939" w:rsidRPr="00F0766D">
        <w:rPr>
          <w:color w:val="000000" w:themeColor="text1"/>
        </w:rPr>
        <w:t xml:space="preserve"> </w:t>
      </w:r>
      <w:r w:rsidR="00CA5BB9" w:rsidRPr="00F0766D">
        <w:rPr>
          <w:color w:val="000000" w:themeColor="text1"/>
        </w:rPr>
        <w:t>l</w:t>
      </w:r>
      <w:r w:rsidR="00471D41" w:rsidRPr="00F0766D">
        <w:rPr>
          <w:color w:val="000000" w:themeColor="text1"/>
        </w:rPr>
        <w:t>es tolérances orbitales pour un système non</w:t>
      </w:r>
      <w:r w:rsidR="001270C0" w:rsidRPr="00F0766D">
        <w:rPr>
          <w:color w:val="000000" w:themeColor="text1"/>
        </w:rPr>
        <w:t> </w:t>
      </w:r>
      <w:r w:rsidR="00471D41" w:rsidRPr="00F0766D">
        <w:rPr>
          <w:color w:val="000000" w:themeColor="text1"/>
        </w:rPr>
        <w:t>OSG</w:t>
      </w:r>
      <w:r w:rsidR="005B7939" w:rsidRPr="00F0766D">
        <w:rPr>
          <w:color w:val="000000" w:themeColor="text1"/>
        </w:rPr>
        <w:t xml:space="preserve"> devraient tenir compte de la coexistence entre systèmes non</w:t>
      </w:r>
      <w:r w:rsidR="001270C0" w:rsidRPr="00F0766D">
        <w:rPr>
          <w:color w:val="000000" w:themeColor="text1"/>
        </w:rPr>
        <w:t> </w:t>
      </w:r>
      <w:r w:rsidR="005B7939" w:rsidRPr="00F0766D">
        <w:rPr>
          <w:color w:val="000000" w:themeColor="text1"/>
        </w:rPr>
        <w:t>OSG sur une orbite analogue</w:t>
      </w:r>
      <w:r w:rsidRPr="00F0766D">
        <w:rPr>
          <w:color w:val="000000" w:themeColor="text1"/>
        </w:rPr>
        <w:t>;</w:t>
      </w:r>
    </w:p>
    <w:p w14:paraId="32924CFE" w14:textId="77777777" w:rsidR="00446E09" w:rsidRPr="00F0766D" w:rsidRDefault="00446E09" w:rsidP="00756C3A">
      <w:pPr>
        <w:rPr>
          <w:color w:val="000000" w:themeColor="text1"/>
        </w:rPr>
      </w:pPr>
      <w:r w:rsidRPr="00F0766D">
        <w:rPr>
          <w:i/>
          <w:iCs/>
          <w:color w:val="000000" w:themeColor="text1"/>
        </w:rPr>
        <w:t>d)</w:t>
      </w:r>
      <w:r w:rsidRPr="00F0766D">
        <w:rPr>
          <w:color w:val="000000" w:themeColor="text1"/>
        </w:rPr>
        <w:tab/>
      </w:r>
      <w:r w:rsidRPr="00F0766D">
        <w:t>qu'il existe des raisons légitimes pour qu'un satellite soit exploité avec une tolérance par rapport à ses caractéristiques orbitales notifiées, par exemple pour maintenir un espacement entre les satellites d'un même système, ou avec les satellites d'un autre système à satellites, et réduire ainsi autant que possible le risque de collision;</w:t>
      </w:r>
    </w:p>
    <w:p w14:paraId="31A0679E" w14:textId="77777777" w:rsidR="00446E09" w:rsidRPr="00F0766D" w:rsidRDefault="00446E09" w:rsidP="00756C3A">
      <w:pPr>
        <w:rPr>
          <w:color w:val="000000" w:themeColor="text1"/>
        </w:rPr>
      </w:pPr>
      <w:r w:rsidRPr="00F0766D">
        <w:rPr>
          <w:i/>
          <w:iCs/>
          <w:color w:val="000000" w:themeColor="text1"/>
        </w:rPr>
        <w:t>e)</w:t>
      </w:r>
      <w:r w:rsidRPr="00F0766D">
        <w:rPr>
          <w:i/>
          <w:iCs/>
          <w:color w:val="000000" w:themeColor="text1"/>
        </w:rPr>
        <w:tab/>
      </w:r>
      <w:r w:rsidRPr="00F0766D">
        <w:t xml:space="preserve">que les satellites </w:t>
      </w:r>
      <w:r w:rsidRPr="00F0766D">
        <w:rPr>
          <w:color w:val="000000"/>
        </w:rPr>
        <w:t>sur une orbite fortement elliptique et les satellites sur une orbite elliptique fortement inclinée</w:t>
      </w:r>
      <w:r w:rsidRPr="00F0766D">
        <w:t xml:space="preserve"> </w:t>
      </w:r>
      <w:r w:rsidRPr="00F0766D">
        <w:rPr>
          <w:color w:val="000000"/>
        </w:rPr>
        <w:t>présentent des vitesses de précession orbitale importantes et que, par conséquent</w:t>
      </w:r>
      <w:r w:rsidRPr="00F0766D">
        <w:t>, des exigences restrictives en matière de maintien en orbite et de correction des paramètres orbitaux risquent d'entraîner une réduction de la durée de vie de ces satellites et leur remplacement fréquent</w:t>
      </w:r>
      <w:r w:rsidRPr="00F0766D">
        <w:rPr>
          <w:color w:val="000000" w:themeColor="text1"/>
        </w:rPr>
        <w:t>;</w:t>
      </w:r>
    </w:p>
    <w:p w14:paraId="71B3ECD7" w14:textId="454D8E8C" w:rsidR="00446E09" w:rsidRPr="00F0766D" w:rsidRDefault="00446E09" w:rsidP="00756C3A">
      <w:pPr>
        <w:rPr>
          <w:color w:val="000000" w:themeColor="text1"/>
        </w:rPr>
      </w:pPr>
      <w:r w:rsidRPr="00F0766D">
        <w:rPr>
          <w:i/>
          <w:iCs/>
          <w:color w:val="000000" w:themeColor="text1"/>
        </w:rPr>
        <w:t>f)</w:t>
      </w:r>
      <w:r w:rsidRPr="00F0766D">
        <w:rPr>
          <w:i/>
          <w:iCs/>
          <w:color w:val="000000" w:themeColor="text1"/>
        </w:rPr>
        <w:tab/>
      </w:r>
      <w:r w:rsidRPr="00F0766D">
        <w:t>que la présente Résolution définit la tolérance maximale acceptable pour certaines caractéristiques orbitales d'un système non</w:t>
      </w:r>
      <w:r w:rsidR="001270C0" w:rsidRPr="00F0766D">
        <w:t> </w:t>
      </w:r>
      <w:r w:rsidRPr="00F0766D">
        <w:t>OSG, afin qu'il soit considéré comme fonctionnant dans son plan orbital notifié, et n'exclut pas les demandes de coordination ou les fiches de notification au titre des Articles</w:t>
      </w:r>
      <w:r w:rsidR="001C26A4" w:rsidRPr="00F0766D">
        <w:t> </w:t>
      </w:r>
      <w:r w:rsidRPr="00F0766D">
        <w:rPr>
          <w:b/>
        </w:rPr>
        <w:t>9</w:t>
      </w:r>
      <w:r w:rsidRPr="00F0766D">
        <w:t xml:space="preserve"> et</w:t>
      </w:r>
      <w:r w:rsidR="001C26A4" w:rsidRPr="00F0766D">
        <w:t> </w:t>
      </w:r>
      <w:r w:rsidRPr="00F0766D">
        <w:rPr>
          <w:b/>
        </w:rPr>
        <w:t>11</w:t>
      </w:r>
      <w:r w:rsidRPr="00F0766D">
        <w:t xml:space="preserve"> du Règlement des radiocommunications pour d'autres systèmes non</w:t>
      </w:r>
      <w:r w:rsidR="001270C0" w:rsidRPr="00F0766D">
        <w:t> </w:t>
      </w:r>
      <w:r w:rsidRPr="00F0766D">
        <w:t>OSG à la même altitude et avec la même tolérance</w:t>
      </w:r>
      <w:r w:rsidRPr="00F0766D">
        <w:rPr>
          <w:color w:val="000000" w:themeColor="text1"/>
        </w:rPr>
        <w:t>;</w:t>
      </w:r>
    </w:p>
    <w:p w14:paraId="1E91E925" w14:textId="77777777" w:rsidR="00446E09" w:rsidRPr="00F0766D" w:rsidRDefault="00446E09" w:rsidP="00756C3A">
      <w:pPr>
        <w:rPr>
          <w:color w:val="000000" w:themeColor="text1"/>
        </w:rPr>
      </w:pPr>
      <w:r w:rsidRPr="00F0766D">
        <w:rPr>
          <w:i/>
          <w:iCs/>
          <w:color w:val="000000" w:themeColor="text1"/>
        </w:rPr>
        <w:t>g)</w:t>
      </w:r>
      <w:r w:rsidRPr="00F0766D">
        <w:rPr>
          <w:color w:val="000000" w:themeColor="text1"/>
        </w:rPr>
        <w:tab/>
      </w:r>
      <w:r w:rsidRPr="00F0766D">
        <w:t>que les administrations et leurs opérateurs peuvent établir des arrangements opérationnels distincts concernant la coexistence sur les orbites physiques des systèmes à satellites et des réseaux à satellite, y compris les satellites géostationnaires et les satellites non géostationnaires, et que ces arrangements ne sont pas traités dans le Règlement des radiocommunications de l'UIT, qui porte sur la prévention des brouillages préjudiciables dus à l'utilisation des fréquences radioélectriques</w:t>
      </w:r>
      <w:r w:rsidRPr="00F0766D">
        <w:rPr>
          <w:color w:val="000000" w:themeColor="text1"/>
        </w:rPr>
        <w:t>,</w:t>
      </w:r>
    </w:p>
    <w:p w14:paraId="5EA9FFCA" w14:textId="77777777" w:rsidR="00446E09" w:rsidRPr="00F0766D" w:rsidRDefault="00446E09" w:rsidP="001C26A4">
      <w:pPr>
        <w:pStyle w:val="Call"/>
      </w:pPr>
      <w:bookmarkStart w:id="82" w:name="_Hlk130218114"/>
      <w:r w:rsidRPr="00F0766D">
        <w:lastRenderedPageBreak/>
        <w:t>décide</w:t>
      </w:r>
    </w:p>
    <w:p w14:paraId="6053E3D1" w14:textId="643CB8E0" w:rsidR="00446E09" w:rsidRPr="00F0766D" w:rsidRDefault="00446E09" w:rsidP="001C26A4">
      <w:pPr>
        <w:rPr>
          <w:color w:val="000000" w:themeColor="text1"/>
        </w:rPr>
      </w:pPr>
      <w:r w:rsidRPr="00F0766D">
        <w:t>1</w:t>
      </w:r>
      <w:r w:rsidRPr="00F0766D">
        <w:tab/>
      </w:r>
      <w:r w:rsidRPr="00F0766D">
        <w:rPr>
          <w:color w:val="000000"/>
        </w:rPr>
        <w:t>qu</w:t>
      </w:r>
      <w:r w:rsidR="00D5044D" w:rsidRPr="00F0766D">
        <w:rPr>
          <w:color w:val="000000"/>
        </w:rPr>
        <w:t>'</w:t>
      </w:r>
      <w:r w:rsidRPr="00F0766D">
        <w:rPr>
          <w:color w:val="000000"/>
        </w:rPr>
        <w:t xml:space="preserve">à compter </w:t>
      </w:r>
      <w:r w:rsidRPr="00F0766D">
        <w:rPr>
          <w:i/>
          <w:iCs/>
          <w:color w:val="000000"/>
        </w:rPr>
        <w:t>de la date d'entrée en vigueur des Actes finals de la CMR-23</w:t>
      </w:r>
      <w:r w:rsidRPr="00F0766D">
        <w:rPr>
          <w:color w:val="000000"/>
        </w:rPr>
        <w:t>, pour les stations spatiales présentant une excentricité orbitale</w:t>
      </w:r>
      <w:r w:rsidR="0031333D" w:rsidRPr="00F0766D">
        <w:rPr>
          <w:rStyle w:val="FootnoteReference"/>
        </w:rPr>
        <w:t>1</w:t>
      </w:r>
      <w:r w:rsidRPr="00F0766D">
        <w:rPr>
          <w:color w:val="000000"/>
        </w:rPr>
        <w:t xml:space="preserve"> inférieure à 0,5 notifiées dans le cadre d'un système non</w:t>
      </w:r>
      <w:r w:rsidR="001270C0" w:rsidRPr="00F0766D">
        <w:rPr>
          <w:color w:val="000000"/>
        </w:rPr>
        <w:t> </w:t>
      </w:r>
      <w:r w:rsidRPr="00F0766D">
        <w:rPr>
          <w:color w:val="000000"/>
        </w:rPr>
        <w:t>OSG du SFS, du SRS ou du SMS assujetti à la Résolution</w:t>
      </w:r>
      <w:r w:rsidR="001C26A4" w:rsidRPr="00F0766D">
        <w:rPr>
          <w:color w:val="000000"/>
        </w:rPr>
        <w:t> </w:t>
      </w:r>
      <w:r w:rsidRPr="00F0766D">
        <w:rPr>
          <w:b/>
          <w:bCs/>
          <w:color w:val="000000"/>
        </w:rPr>
        <w:t>35 (CMR-19)</w:t>
      </w:r>
      <w:r w:rsidRPr="00F0766D">
        <w:rPr>
          <w:color w:val="000000"/>
        </w:rPr>
        <w:t xml:space="preserve"> dont l'altitude de l'apogée est inférieure à 15</w:t>
      </w:r>
      <w:r w:rsidR="001C26A4" w:rsidRPr="00F0766D">
        <w:rPr>
          <w:color w:val="000000"/>
        </w:rPr>
        <w:t> </w:t>
      </w:r>
      <w:r w:rsidRPr="00F0766D">
        <w:rPr>
          <w:color w:val="000000"/>
        </w:rPr>
        <w:t>000</w:t>
      </w:r>
      <w:r w:rsidR="001C26A4" w:rsidRPr="00F0766D">
        <w:rPr>
          <w:color w:val="000000"/>
        </w:rPr>
        <w:t> </w:t>
      </w:r>
      <w:r w:rsidRPr="00F0766D">
        <w:rPr>
          <w:color w:val="000000"/>
        </w:rPr>
        <w:t>km</w:t>
      </w:r>
      <w:r w:rsidRPr="00F0766D">
        <w:rPr>
          <w:color w:val="000000" w:themeColor="text1"/>
        </w:rPr>
        <w:t>:</w:t>
      </w:r>
    </w:p>
    <w:p w14:paraId="0D57C2C3" w14:textId="4D89AEE8" w:rsidR="00446E09" w:rsidRPr="00F0766D" w:rsidRDefault="00446E09" w:rsidP="001C26A4">
      <w:pPr>
        <w:pStyle w:val="enumlev1"/>
        <w:rPr>
          <w:color w:val="000000" w:themeColor="text1"/>
        </w:rPr>
      </w:pPr>
      <w:r w:rsidRPr="00F0766D">
        <w:rPr>
          <w:i/>
          <w:iCs/>
          <w:color w:val="000000" w:themeColor="text1"/>
        </w:rPr>
        <w:t>a)</w:t>
      </w:r>
      <w:r w:rsidRPr="00F0766D">
        <w:rPr>
          <w:color w:val="000000" w:themeColor="text1"/>
        </w:rPr>
        <w:tab/>
      </w:r>
      <w:r w:rsidRPr="00F0766D">
        <w:t xml:space="preserve">la variation observée pour l'altitude </w:t>
      </w:r>
      <w:r w:rsidRPr="00F0766D">
        <w:rPr>
          <w:color w:val="000000" w:themeColor="text1"/>
        </w:rPr>
        <w:t>(Δ</w:t>
      </w:r>
      <w:r w:rsidRPr="00F0766D">
        <w:rPr>
          <w:i/>
          <w:iCs/>
          <w:color w:val="000000" w:themeColor="text1"/>
        </w:rPr>
        <w:t>alt</w:t>
      </w:r>
      <w:r w:rsidRPr="00F0766D">
        <w:rPr>
          <w:i/>
          <w:iCs/>
          <w:color w:val="000000" w:themeColor="text1"/>
          <w:vertAlign w:val="subscript"/>
        </w:rPr>
        <w:t>Observed</w:t>
      </w:r>
      <w:r w:rsidRPr="00F0766D">
        <w:rPr>
          <w:color w:val="000000" w:themeColor="text1"/>
        </w:rPr>
        <w:t>) du périgée et de l'apogée</w:t>
      </w:r>
      <w:r w:rsidR="005B7939" w:rsidRPr="00F0766D">
        <w:rPr>
          <w:color w:val="000000" w:themeColor="text1"/>
        </w:rPr>
        <w:t>,</w:t>
      </w:r>
      <w:r w:rsidRPr="00F0766D">
        <w:rPr>
          <w:color w:val="000000" w:themeColor="text1"/>
        </w:rPr>
        <w:t xml:space="preserve"> </w:t>
      </w:r>
      <w:r w:rsidR="005B7939" w:rsidRPr="00F0766D">
        <w:rPr>
          <w:color w:val="000000" w:themeColor="text1"/>
        </w:rPr>
        <w:t xml:space="preserve">par rapport à l'altitude notifiée, </w:t>
      </w:r>
      <w:r w:rsidRPr="00F0766D">
        <w:rPr>
          <w:color w:val="000000" w:themeColor="text1"/>
        </w:rPr>
        <w:t>ne doit pas dépasser la variation autorisée pour l'altitude (Δ</w:t>
      </w:r>
      <w:r w:rsidRPr="00F0766D">
        <w:rPr>
          <w:i/>
          <w:iCs/>
          <w:color w:val="000000" w:themeColor="text1"/>
        </w:rPr>
        <w:t>alt</w:t>
      </w:r>
      <w:r w:rsidRPr="00F0766D">
        <w:rPr>
          <w:i/>
          <w:iCs/>
          <w:color w:val="000000" w:themeColor="text1"/>
          <w:vertAlign w:val="subscript"/>
        </w:rPr>
        <w:t>Allowed</w:t>
      </w:r>
      <w:r w:rsidRPr="00F0766D">
        <w:rPr>
          <w:color w:val="000000" w:themeColor="text1"/>
        </w:rPr>
        <w:t>) (voir l'Annexe);</w:t>
      </w:r>
    </w:p>
    <w:p w14:paraId="7AD773A6" w14:textId="374AAA8C" w:rsidR="00446E09" w:rsidRPr="00F0766D" w:rsidRDefault="00446E09" w:rsidP="001C26A4">
      <w:pPr>
        <w:pStyle w:val="enumlev1"/>
      </w:pPr>
      <w:r w:rsidRPr="00F0766D">
        <w:rPr>
          <w:i/>
          <w:iCs/>
        </w:rPr>
        <w:t>b)</w:t>
      </w:r>
      <w:r w:rsidRPr="00F0766D">
        <w:tab/>
        <w:t>la variation observée pour l'inclinaison (Δ</w:t>
      </w:r>
      <w:r w:rsidRPr="00F0766D">
        <w:rPr>
          <w:i/>
          <w:iCs/>
        </w:rPr>
        <w:t>i</w:t>
      </w:r>
      <w:r w:rsidRPr="00F0766D">
        <w:rPr>
          <w:i/>
          <w:iCs/>
          <w:vertAlign w:val="subscript"/>
        </w:rPr>
        <w:t>Observed</w:t>
      </w:r>
      <w:r w:rsidRPr="00F0766D">
        <w:t>)</w:t>
      </w:r>
      <w:r w:rsidR="005B7939" w:rsidRPr="00F0766D">
        <w:t>,</w:t>
      </w:r>
      <w:r w:rsidRPr="00F0766D">
        <w:t xml:space="preserve"> </w:t>
      </w:r>
      <w:r w:rsidR="005B7939" w:rsidRPr="00F0766D">
        <w:t xml:space="preserve">par rapport à l'inclinaison notifiée, </w:t>
      </w:r>
      <w:r w:rsidRPr="00F0766D">
        <w:t xml:space="preserve">ne doit pas dépasser </w:t>
      </w:r>
      <w:r w:rsidRPr="00F0766D">
        <w:rPr>
          <w:color w:val="000000" w:themeColor="text1"/>
        </w:rPr>
        <w:t xml:space="preserve">la variation autorisée </w:t>
      </w:r>
      <w:r w:rsidRPr="00F0766D">
        <w:t>(Δ</w:t>
      </w:r>
      <w:r w:rsidRPr="00F0766D">
        <w:rPr>
          <w:i/>
          <w:iCs/>
        </w:rPr>
        <w:t>i</w:t>
      </w:r>
      <w:r w:rsidRPr="00F0766D">
        <w:rPr>
          <w:i/>
          <w:iCs/>
          <w:vertAlign w:val="subscript"/>
        </w:rPr>
        <w:t>Allowed</w:t>
      </w:r>
      <w:r w:rsidRPr="00F0766D">
        <w:t xml:space="preserve">) pour </w:t>
      </w:r>
      <w:r w:rsidR="005B7939" w:rsidRPr="00F0766D">
        <w:t xml:space="preserve">l'inclinaison </w:t>
      </w:r>
      <w:r w:rsidRPr="00F0766D">
        <w:t>(Voir l'Annexe);</w:t>
      </w:r>
    </w:p>
    <w:bookmarkEnd w:id="82"/>
    <w:p w14:paraId="67E25002" w14:textId="6E9EDCAA" w:rsidR="00446E09" w:rsidRPr="00F0766D" w:rsidRDefault="00446E09" w:rsidP="001C26A4">
      <w:pPr>
        <w:keepLines/>
      </w:pPr>
      <w:r w:rsidRPr="00F0766D">
        <w:t>2</w:t>
      </w:r>
      <w:r w:rsidRPr="00F0766D">
        <w:tab/>
        <w:t>qu</w:t>
      </w:r>
      <w:r w:rsidR="00D5044D" w:rsidRPr="00F0766D">
        <w:t>'</w:t>
      </w:r>
      <w:r w:rsidRPr="00F0766D">
        <w:t xml:space="preserve">à compter </w:t>
      </w:r>
      <w:r w:rsidRPr="00F0766D">
        <w:rPr>
          <w:iCs/>
        </w:rPr>
        <w:t>de la date d'entrée en vigueur des Actes finals de la CMR-23</w:t>
      </w:r>
      <w:bookmarkStart w:id="83" w:name="_Hlk130198480"/>
      <w:r w:rsidR="005B7939" w:rsidRPr="00F0766D">
        <w:t xml:space="preserve">, une </w:t>
      </w:r>
      <w:r w:rsidRPr="00F0766D">
        <w:t>station spatiale déployée dans le cadre d'un système non</w:t>
      </w:r>
      <w:r w:rsidR="001270C0" w:rsidRPr="00F0766D">
        <w:t> </w:t>
      </w:r>
      <w:r w:rsidRPr="00F0766D">
        <w:t xml:space="preserve">OSG du SFS, du SRS ou du SMS </w:t>
      </w:r>
      <w:bookmarkEnd w:id="83"/>
      <w:r w:rsidR="005B7939" w:rsidRPr="00F0766D">
        <w:t>assujetti à la Résolution</w:t>
      </w:r>
      <w:r w:rsidR="001C26A4" w:rsidRPr="00F0766D">
        <w:t> </w:t>
      </w:r>
      <w:r w:rsidR="005B7939" w:rsidRPr="00F0766D">
        <w:rPr>
          <w:b/>
        </w:rPr>
        <w:t>35 (CMR-19)</w:t>
      </w:r>
      <w:r w:rsidR="005B7939" w:rsidRPr="00F0766D">
        <w:t xml:space="preserve"> qui a </w:t>
      </w:r>
      <w:r w:rsidR="00D47D0A" w:rsidRPr="00F0766D">
        <w:t>fait l'objet</w:t>
      </w:r>
      <w:r w:rsidR="005B7939" w:rsidRPr="00F0766D">
        <w:t xml:space="preserve"> </w:t>
      </w:r>
      <w:r w:rsidR="00D47D0A" w:rsidRPr="00F0766D">
        <w:t>d'</w:t>
      </w:r>
      <w:r w:rsidR="005B7939" w:rsidRPr="00F0766D">
        <w:t xml:space="preserve">une conclusion défavorable </w:t>
      </w:r>
      <w:r w:rsidR="00D47D0A" w:rsidRPr="00F0766D">
        <w:t>relativement au point</w:t>
      </w:r>
      <w:r w:rsidR="001C26A4" w:rsidRPr="00F0766D">
        <w:t> </w:t>
      </w:r>
      <w:r w:rsidR="00D47D0A" w:rsidRPr="00F0766D">
        <w:t xml:space="preserve">1 du </w:t>
      </w:r>
      <w:r w:rsidR="00D47D0A" w:rsidRPr="00F0766D">
        <w:rPr>
          <w:i/>
        </w:rPr>
        <w:t>décide</w:t>
      </w:r>
      <w:r w:rsidR="00D47D0A" w:rsidRPr="00F0766D">
        <w:t>:</w:t>
      </w:r>
      <w:r w:rsidR="005B7939" w:rsidRPr="00F0766D">
        <w:t xml:space="preserve"> </w:t>
      </w:r>
    </w:p>
    <w:p w14:paraId="6EB540C3" w14:textId="52B05EBE" w:rsidR="00C56431" w:rsidRPr="00F0766D" w:rsidRDefault="00C56431" w:rsidP="001C26A4">
      <w:pPr>
        <w:pStyle w:val="enumlev1"/>
        <w:rPr>
          <w:iCs/>
        </w:rPr>
      </w:pPr>
      <w:r w:rsidRPr="00F0766D">
        <w:rPr>
          <w:i/>
          <w:iCs/>
        </w:rPr>
        <w:t>a)</w:t>
      </w:r>
      <w:r w:rsidRPr="00F0766D">
        <w:rPr>
          <w:i/>
          <w:iCs/>
        </w:rPr>
        <w:tab/>
      </w:r>
      <w:r w:rsidR="00D47D0A" w:rsidRPr="00F0766D">
        <w:rPr>
          <w:iCs/>
        </w:rPr>
        <w:t>ne devra pas causer de brouillages inacceptables aux autres systèmes/réseaux, ni demander à être protégée vis-à-vis de ces derniers;</w:t>
      </w:r>
    </w:p>
    <w:p w14:paraId="57099AC6" w14:textId="004D6E8A" w:rsidR="00C56431" w:rsidRPr="00F0766D" w:rsidRDefault="00C56431" w:rsidP="001C26A4">
      <w:pPr>
        <w:pStyle w:val="enumlev1"/>
        <w:rPr>
          <w:iCs/>
        </w:rPr>
      </w:pPr>
      <w:r w:rsidRPr="00F0766D">
        <w:rPr>
          <w:i/>
          <w:iCs/>
        </w:rPr>
        <w:t>b)</w:t>
      </w:r>
      <w:r w:rsidRPr="00F0766D">
        <w:rPr>
          <w:i/>
          <w:iCs/>
        </w:rPr>
        <w:tab/>
      </w:r>
      <w:r w:rsidR="00D47D0A" w:rsidRPr="00F0766D">
        <w:rPr>
          <w:iCs/>
        </w:rPr>
        <w:t xml:space="preserve">ne devra pas être prise en considération dans les renseignements relatifs au déploiement </w:t>
      </w:r>
      <w:r w:rsidR="00985D29" w:rsidRPr="00F0766D">
        <w:rPr>
          <w:iCs/>
        </w:rPr>
        <w:t>communiqués</w:t>
      </w:r>
      <w:r w:rsidR="00D47D0A" w:rsidRPr="00F0766D">
        <w:rPr>
          <w:iCs/>
        </w:rPr>
        <w:t xml:space="preserve"> au titre des points</w:t>
      </w:r>
      <w:r w:rsidR="0031333D" w:rsidRPr="00F0766D">
        <w:rPr>
          <w:iCs/>
        </w:rPr>
        <w:t> </w:t>
      </w:r>
      <w:r w:rsidR="00D47D0A" w:rsidRPr="00F0766D">
        <w:rPr>
          <w:iCs/>
        </w:rPr>
        <w:t>7 et</w:t>
      </w:r>
      <w:r w:rsidR="0031333D" w:rsidRPr="00F0766D">
        <w:rPr>
          <w:iCs/>
        </w:rPr>
        <w:t> </w:t>
      </w:r>
      <w:r w:rsidR="00D47D0A" w:rsidRPr="00F0766D">
        <w:rPr>
          <w:iCs/>
        </w:rPr>
        <w:t xml:space="preserve">8 du </w:t>
      </w:r>
      <w:r w:rsidR="00D47D0A" w:rsidRPr="00F0766D">
        <w:rPr>
          <w:i/>
          <w:iCs/>
        </w:rPr>
        <w:t>décide</w:t>
      </w:r>
      <w:r w:rsidR="00D47D0A" w:rsidRPr="00F0766D">
        <w:rPr>
          <w:iCs/>
        </w:rPr>
        <w:t xml:space="preserve"> de la Résolution</w:t>
      </w:r>
      <w:r w:rsidR="0031333D" w:rsidRPr="00F0766D">
        <w:rPr>
          <w:iCs/>
        </w:rPr>
        <w:t> </w:t>
      </w:r>
      <w:r w:rsidR="00D47D0A" w:rsidRPr="00F0766D">
        <w:rPr>
          <w:b/>
          <w:iCs/>
        </w:rPr>
        <w:t>35 (CMR-19)</w:t>
      </w:r>
      <w:r w:rsidR="00D47D0A" w:rsidRPr="00F0766D">
        <w:rPr>
          <w:iCs/>
        </w:rPr>
        <w:t>, sauf si les tolérances visées au point</w:t>
      </w:r>
      <w:r w:rsidR="0031333D" w:rsidRPr="00F0766D">
        <w:rPr>
          <w:iCs/>
        </w:rPr>
        <w:t> </w:t>
      </w:r>
      <w:r w:rsidR="00D47D0A" w:rsidRPr="00F0766D">
        <w:rPr>
          <w:iCs/>
        </w:rPr>
        <w:t xml:space="preserve">1 du </w:t>
      </w:r>
      <w:r w:rsidR="00D47D0A" w:rsidRPr="00F0766D">
        <w:rPr>
          <w:i/>
          <w:iCs/>
        </w:rPr>
        <w:t>décide</w:t>
      </w:r>
      <w:r w:rsidR="00D47D0A" w:rsidRPr="00F0766D">
        <w:rPr>
          <w:iCs/>
        </w:rPr>
        <w:t xml:space="preserve"> ne sont pas dépassées pendant 30/45 jours consécutifs au maximum;</w:t>
      </w:r>
    </w:p>
    <w:p w14:paraId="480D4A8F" w14:textId="5E93A6BB" w:rsidR="00C56431" w:rsidRPr="00F0766D" w:rsidRDefault="00C56431" w:rsidP="001C26A4">
      <w:r w:rsidRPr="00F0766D">
        <w:t>3</w:t>
      </w:r>
      <w:r w:rsidRPr="00F0766D">
        <w:tab/>
      </w:r>
      <w:r w:rsidR="004D0E89" w:rsidRPr="00F0766D">
        <w:t>que, pour les systèmes non</w:t>
      </w:r>
      <w:r w:rsidR="001270C0" w:rsidRPr="00F0766D">
        <w:t> </w:t>
      </w:r>
      <w:r w:rsidR="004D0E89" w:rsidRPr="00F0766D">
        <w:t>OSG auxquels s'applique le point</w:t>
      </w:r>
      <w:r w:rsidR="001C26A4" w:rsidRPr="00F0766D">
        <w:t> </w:t>
      </w:r>
      <w:r w:rsidR="004D0E89" w:rsidRPr="00F0766D">
        <w:t xml:space="preserve">1 du </w:t>
      </w:r>
      <w:r w:rsidR="004D0E89" w:rsidRPr="00F0766D">
        <w:rPr>
          <w:i/>
        </w:rPr>
        <w:t>décide</w:t>
      </w:r>
      <w:r w:rsidR="004D0E89" w:rsidRPr="00F0766D">
        <w:t xml:space="preserve">, et pour lesquels les renseignements de notification </w:t>
      </w:r>
      <w:r w:rsidR="00337120" w:rsidRPr="00F0766D">
        <w:t xml:space="preserve">les plus récents </w:t>
      </w:r>
      <w:r w:rsidR="004D0E89" w:rsidRPr="00F0766D">
        <w:t>ont été reçus avant le 16</w:t>
      </w:r>
      <w:r w:rsidR="001C26A4" w:rsidRPr="00F0766D">
        <w:t> </w:t>
      </w:r>
      <w:r w:rsidR="004D0E89" w:rsidRPr="00F0766D">
        <w:t>décembre</w:t>
      </w:r>
      <w:r w:rsidR="001C26A4" w:rsidRPr="00F0766D">
        <w:t> </w:t>
      </w:r>
      <w:r w:rsidR="004D0E89" w:rsidRPr="00F0766D">
        <w:t>2023, l'administration notificatrice pourrait communiquer au BR, au plus tard le [1er</w:t>
      </w:r>
      <w:r w:rsidR="001C26A4" w:rsidRPr="00F0766D">
        <w:t> </w:t>
      </w:r>
      <w:r w:rsidR="004D0E89" w:rsidRPr="00F0766D">
        <w:t>juillet</w:t>
      </w:r>
      <w:r w:rsidR="001C26A4" w:rsidRPr="00F0766D">
        <w:t> </w:t>
      </w:r>
      <w:r w:rsidR="004D0E89" w:rsidRPr="00F0766D">
        <w:t>2024], une nouvelle</w:t>
      </w:r>
      <w:r w:rsidR="00C14F50" w:rsidRPr="00F0766D">
        <w:t xml:space="preserve"> fiche de</w:t>
      </w:r>
      <w:r w:rsidR="004D0E89" w:rsidRPr="00F0766D">
        <w:t xml:space="preserve"> notification en fonction de ses paramètres d'exploitation;</w:t>
      </w:r>
    </w:p>
    <w:p w14:paraId="06650E86" w14:textId="2AE030D7" w:rsidR="00C56431" w:rsidRPr="00F0766D" w:rsidRDefault="00C56431" w:rsidP="001C26A4">
      <w:r w:rsidRPr="00F0766D">
        <w:t>4</w:t>
      </w:r>
      <w:r w:rsidRPr="00F0766D">
        <w:tab/>
      </w:r>
      <w:r w:rsidR="004D0E89" w:rsidRPr="00F0766D">
        <w:t>qu</w:t>
      </w:r>
      <w:r w:rsidR="00C14F50" w:rsidRPr="00F0766D">
        <w:t>'</w:t>
      </w:r>
      <w:r w:rsidR="004D0E89" w:rsidRPr="00F0766D">
        <w:t>à la réception des modifications apportées aux caractéristiques du système non</w:t>
      </w:r>
      <w:r w:rsidR="001270C0" w:rsidRPr="00F0766D">
        <w:t> </w:t>
      </w:r>
      <w:r w:rsidR="004D0E89" w:rsidRPr="00F0766D">
        <w:t>OSG visé au point</w:t>
      </w:r>
      <w:r w:rsidR="001C26A4" w:rsidRPr="00F0766D">
        <w:t> </w:t>
      </w:r>
      <w:r w:rsidR="004D0E89" w:rsidRPr="00F0766D">
        <w:t xml:space="preserve">3 du </w:t>
      </w:r>
      <w:r w:rsidR="004D0E89" w:rsidRPr="00F0766D">
        <w:rPr>
          <w:i/>
        </w:rPr>
        <w:t>décide</w:t>
      </w:r>
      <w:r w:rsidR="0075519C" w:rsidRPr="00F0766D">
        <w:t>, le BR</w:t>
      </w:r>
      <w:r w:rsidR="004D0E89" w:rsidRPr="00F0766D">
        <w:t xml:space="preserve">: </w:t>
      </w:r>
    </w:p>
    <w:p w14:paraId="7B946E1B" w14:textId="401D735D" w:rsidR="00E81420" w:rsidRPr="00F0766D" w:rsidRDefault="00E81420" w:rsidP="001C26A4">
      <w:pPr>
        <w:pStyle w:val="enumlev1"/>
      </w:pPr>
      <w:r w:rsidRPr="00F0766D">
        <w:rPr>
          <w:i/>
          <w:iCs/>
        </w:rPr>
        <w:t>a)</w:t>
      </w:r>
      <w:r w:rsidRPr="00F0766D">
        <w:tab/>
        <w:t>met</w:t>
      </w:r>
      <w:r w:rsidR="0075519C" w:rsidRPr="00F0766D">
        <w:t>tra</w:t>
      </w:r>
      <w:r w:rsidRPr="00F0766D">
        <w:t xml:space="preserve"> rapidement ces renseignements à disposition «tels qu'ils ont été reçus» sur le site web de l'UIT;</w:t>
      </w:r>
    </w:p>
    <w:p w14:paraId="7AAB6118" w14:textId="265E4BAD" w:rsidR="00E81420" w:rsidRPr="00F0766D" w:rsidRDefault="00E81420" w:rsidP="001C26A4">
      <w:pPr>
        <w:pStyle w:val="enumlev1"/>
      </w:pPr>
      <w:r w:rsidRPr="00F0766D">
        <w:rPr>
          <w:i/>
          <w:iCs/>
        </w:rPr>
        <w:t>b)</w:t>
      </w:r>
      <w:r w:rsidRPr="00F0766D">
        <w:tab/>
        <w:t>procède</w:t>
      </w:r>
      <w:r w:rsidR="0075519C" w:rsidRPr="00F0766D">
        <w:t>ra</w:t>
      </w:r>
      <w:r w:rsidRPr="00F0766D">
        <w:t xml:space="preserve"> à un examen du point de vue de la conformité aux numéros</w:t>
      </w:r>
      <w:r w:rsidR="001C26A4" w:rsidRPr="00F0766D">
        <w:t> </w:t>
      </w:r>
      <w:r w:rsidRPr="00F0766D">
        <w:rPr>
          <w:b/>
        </w:rPr>
        <w:t>11.43A/11.43B</w:t>
      </w:r>
      <w:r w:rsidRPr="00F0766D">
        <w:t>, selon le cas;</w:t>
      </w:r>
    </w:p>
    <w:p w14:paraId="351C1476" w14:textId="6B0C0DFD" w:rsidR="00E81420" w:rsidRPr="00F0766D" w:rsidRDefault="00E81420" w:rsidP="001C26A4">
      <w:pPr>
        <w:pStyle w:val="enumlev1"/>
      </w:pPr>
      <w:r w:rsidRPr="00F0766D">
        <w:rPr>
          <w:i/>
          <w:iCs/>
        </w:rPr>
        <w:t>c)</w:t>
      </w:r>
      <w:r w:rsidRPr="00F0766D">
        <w:tab/>
        <w:t>aux fins du numéro</w:t>
      </w:r>
      <w:r w:rsidR="001C26A4" w:rsidRPr="00F0766D">
        <w:t> </w:t>
      </w:r>
      <w:r w:rsidRPr="00F0766D">
        <w:rPr>
          <w:b/>
          <w:bCs/>
        </w:rPr>
        <w:t>11.43B</w:t>
      </w:r>
      <w:r w:rsidRPr="00F0766D">
        <w:t xml:space="preserve">, </w:t>
      </w:r>
      <w:r w:rsidR="0075519C" w:rsidRPr="00F0766D">
        <w:t xml:space="preserve">maintiendra </w:t>
      </w:r>
      <w:r w:rsidRPr="00F0766D">
        <w:t>les dates initiales d'inscription des assignations de fréquence dans le Fichier de référence si:</w:t>
      </w:r>
    </w:p>
    <w:p w14:paraId="4D8B1FFA" w14:textId="18391648" w:rsidR="000B50EE" w:rsidRPr="00F0766D" w:rsidRDefault="00E81420" w:rsidP="001C26A4">
      <w:pPr>
        <w:pStyle w:val="enumlev2"/>
      </w:pPr>
      <w:r w:rsidRPr="00F0766D">
        <w:t>i)</w:t>
      </w:r>
      <w:r w:rsidR="0075519C" w:rsidRPr="00F0766D">
        <w:tab/>
      </w:r>
      <w:r w:rsidRPr="00F0766D">
        <w:t>le BR parvient à une conclusion favorable relativement au numéro</w:t>
      </w:r>
      <w:r w:rsidR="001C26A4" w:rsidRPr="00F0766D">
        <w:t> </w:t>
      </w:r>
      <w:r w:rsidRPr="00F0766D">
        <w:rPr>
          <w:b/>
        </w:rPr>
        <w:t>11.31</w:t>
      </w:r>
      <w:r w:rsidRPr="00F0766D">
        <w:t>; et</w:t>
      </w:r>
    </w:p>
    <w:p w14:paraId="58D38E5A" w14:textId="3999EF3D" w:rsidR="00C56431" w:rsidRPr="00F0766D" w:rsidRDefault="00C56431" w:rsidP="001C26A4">
      <w:pPr>
        <w:pStyle w:val="enumlev2"/>
      </w:pPr>
      <w:r w:rsidRPr="00F0766D">
        <w:t>ii)</w:t>
      </w:r>
      <w:r w:rsidR="0075519C" w:rsidRPr="00F0766D">
        <w:tab/>
        <w:t>les différences d'altitude du périgée et de l'apogée de chaque plan entre</w:t>
      </w:r>
      <w:r w:rsidR="00F156F8" w:rsidRPr="00F0766D">
        <w:t>, d'une part,</w:t>
      </w:r>
      <w:r w:rsidR="0075519C" w:rsidRPr="00F0766D">
        <w:t xml:space="preserve"> les nouveaux paramètres communiqués dont il est </w:t>
      </w:r>
      <w:r w:rsidR="00846F14" w:rsidRPr="00F0766D">
        <w:t>question</w:t>
      </w:r>
      <w:r w:rsidR="0075519C" w:rsidRPr="00F0766D">
        <w:t xml:space="preserve"> au point</w:t>
      </w:r>
      <w:r w:rsidR="001C26A4" w:rsidRPr="00F0766D">
        <w:t> </w:t>
      </w:r>
      <w:r w:rsidR="0075519C" w:rsidRPr="00F0766D">
        <w:t xml:space="preserve">3 du </w:t>
      </w:r>
      <w:r w:rsidR="0075519C" w:rsidRPr="00F0766D">
        <w:rPr>
          <w:i/>
        </w:rPr>
        <w:t>décide</w:t>
      </w:r>
      <w:r w:rsidR="00F156F8" w:rsidRPr="00F0766D">
        <w:t xml:space="preserve">, </w:t>
      </w:r>
      <w:r w:rsidR="0075519C" w:rsidRPr="00F0766D">
        <w:t>et</w:t>
      </w:r>
      <w:r w:rsidR="00F156F8" w:rsidRPr="00F0766D">
        <w:t>, d'autre part,</w:t>
      </w:r>
      <w:r w:rsidR="0075519C" w:rsidRPr="00F0766D">
        <w:t xml:space="preserve"> les renseignements de notification </w:t>
      </w:r>
      <w:r w:rsidR="00F156F8" w:rsidRPr="00F0766D">
        <w:t xml:space="preserve">les plus récents </w:t>
      </w:r>
      <w:r w:rsidR="0075519C" w:rsidRPr="00F0766D">
        <w:t>reçus par le BR avant le 16</w:t>
      </w:r>
      <w:r w:rsidR="001C26A4" w:rsidRPr="00F0766D">
        <w:t> </w:t>
      </w:r>
      <w:r w:rsidR="0075519C" w:rsidRPr="00F0766D">
        <w:t>décembre</w:t>
      </w:r>
      <w:r w:rsidR="001C26A4" w:rsidRPr="00F0766D">
        <w:t> </w:t>
      </w:r>
      <w:r w:rsidR="0075519C" w:rsidRPr="00F0766D">
        <w:t>2023</w:t>
      </w:r>
      <w:r w:rsidR="00F156F8" w:rsidRPr="00F0766D">
        <w:t>,</w:t>
      </w:r>
      <w:r w:rsidR="0075519C" w:rsidRPr="00F0766D">
        <w:t xml:space="preserve"> sont respectivement inférieures à [100]</w:t>
      </w:r>
      <w:r w:rsidR="001C26A4" w:rsidRPr="00F0766D">
        <w:t> </w:t>
      </w:r>
      <w:r w:rsidR="00846F14" w:rsidRPr="00F0766D">
        <w:t>km</w:t>
      </w:r>
      <w:r w:rsidR="0075519C" w:rsidRPr="00F0766D">
        <w:t>; et</w:t>
      </w:r>
    </w:p>
    <w:p w14:paraId="5E66EAC3" w14:textId="06104CA8" w:rsidR="00C56431" w:rsidRPr="00F0766D" w:rsidRDefault="00C56431" w:rsidP="001C26A4">
      <w:pPr>
        <w:pStyle w:val="enumlev2"/>
      </w:pPr>
      <w:r w:rsidRPr="00F0766D">
        <w:t>iii)</w:t>
      </w:r>
      <w:r w:rsidR="0075519C" w:rsidRPr="00F0766D">
        <w:tab/>
        <w:t>les différences d'inclinaison de chaque plan entre</w:t>
      </w:r>
      <w:r w:rsidR="003C7EAA" w:rsidRPr="00F0766D">
        <w:t>, d'une part,</w:t>
      </w:r>
      <w:r w:rsidR="0075519C" w:rsidRPr="00F0766D">
        <w:t xml:space="preserve"> les nouveaux paramètres communiqués dont il est </w:t>
      </w:r>
      <w:r w:rsidR="00846F14" w:rsidRPr="00F0766D">
        <w:t>question</w:t>
      </w:r>
      <w:r w:rsidR="0075519C" w:rsidRPr="00F0766D">
        <w:t xml:space="preserve"> au point</w:t>
      </w:r>
      <w:r w:rsidR="001C26A4" w:rsidRPr="00F0766D">
        <w:t> </w:t>
      </w:r>
      <w:r w:rsidR="0075519C" w:rsidRPr="00F0766D">
        <w:t xml:space="preserve">3 du </w:t>
      </w:r>
      <w:r w:rsidR="0075519C" w:rsidRPr="00F0766D">
        <w:rPr>
          <w:i/>
        </w:rPr>
        <w:t>décide</w:t>
      </w:r>
      <w:r w:rsidR="003C7EAA" w:rsidRPr="00F0766D">
        <w:t>,</w:t>
      </w:r>
      <w:r w:rsidR="0075519C" w:rsidRPr="00F0766D">
        <w:t xml:space="preserve"> et</w:t>
      </w:r>
      <w:r w:rsidR="003C7EAA" w:rsidRPr="00F0766D">
        <w:t>, d'autre part,</w:t>
      </w:r>
      <w:r w:rsidR="0075519C" w:rsidRPr="00F0766D">
        <w:t xml:space="preserve"> les renseignements de notification les plus récents </w:t>
      </w:r>
      <w:r w:rsidR="003C7EAA" w:rsidRPr="00F0766D">
        <w:t xml:space="preserve">reçus </w:t>
      </w:r>
      <w:r w:rsidR="0075519C" w:rsidRPr="00F0766D">
        <w:t>par le BR avant le 16</w:t>
      </w:r>
      <w:r w:rsidR="001C26A4" w:rsidRPr="00F0766D">
        <w:t> </w:t>
      </w:r>
      <w:r w:rsidR="0075519C" w:rsidRPr="00F0766D">
        <w:t>décembre</w:t>
      </w:r>
      <w:r w:rsidR="001C26A4" w:rsidRPr="00F0766D">
        <w:t> </w:t>
      </w:r>
      <w:r w:rsidR="0075519C" w:rsidRPr="00F0766D">
        <w:t>2023</w:t>
      </w:r>
      <w:r w:rsidR="003C7EAA" w:rsidRPr="00F0766D">
        <w:t>,</w:t>
      </w:r>
      <w:r w:rsidR="0075519C" w:rsidRPr="00F0766D">
        <w:t xml:space="preserve"> sont respectivement inférieur</w:t>
      </w:r>
      <w:r w:rsidR="003C7EAA" w:rsidRPr="00F0766D">
        <w:t>e</w:t>
      </w:r>
      <w:r w:rsidR="0075519C" w:rsidRPr="00F0766D">
        <w:t>s à [3]</w:t>
      </w:r>
      <w:r w:rsidR="001C26A4" w:rsidRPr="00F0766D">
        <w:t> </w:t>
      </w:r>
      <w:r w:rsidR="0075519C" w:rsidRPr="00F0766D">
        <w:t>degrés; et</w:t>
      </w:r>
    </w:p>
    <w:p w14:paraId="238974E8" w14:textId="08B55AC3" w:rsidR="00C56431" w:rsidRPr="00F0766D" w:rsidRDefault="00C56431" w:rsidP="00CD7441">
      <w:pPr>
        <w:pStyle w:val="enumlev2"/>
        <w:keepLines/>
      </w:pPr>
      <w:r w:rsidRPr="00F0766D">
        <w:lastRenderedPageBreak/>
        <w:t>iv)</w:t>
      </w:r>
      <w:r w:rsidR="0075519C" w:rsidRPr="00F0766D">
        <w:tab/>
        <w:t>les modifications se limitent à l'angle d'inclinaison (élément de données</w:t>
      </w:r>
      <w:r w:rsidR="001C26A4" w:rsidRPr="00F0766D">
        <w:t> </w:t>
      </w:r>
      <w:r w:rsidR="0075519C" w:rsidRPr="00F0766D">
        <w:t>A.4.b.4.a de l'Appendice</w:t>
      </w:r>
      <w:r w:rsidR="001C26A4" w:rsidRPr="00F0766D">
        <w:t> </w:t>
      </w:r>
      <w:r w:rsidR="0075519C" w:rsidRPr="00F0766D">
        <w:rPr>
          <w:b/>
        </w:rPr>
        <w:t>4</w:t>
      </w:r>
      <w:r w:rsidR="0075519C" w:rsidRPr="00F0766D">
        <w:t>), à la période (élément de données</w:t>
      </w:r>
      <w:r w:rsidR="001C26A4" w:rsidRPr="00F0766D">
        <w:t> </w:t>
      </w:r>
      <w:r w:rsidR="0075519C" w:rsidRPr="00F0766D">
        <w:t>A.4.b.4.c de l'Appendice</w:t>
      </w:r>
      <w:r w:rsidR="001C26A4" w:rsidRPr="00F0766D">
        <w:t> </w:t>
      </w:r>
      <w:r w:rsidR="0075519C" w:rsidRPr="00F0766D">
        <w:rPr>
          <w:b/>
        </w:rPr>
        <w:t>4</w:t>
      </w:r>
      <w:r w:rsidR="0075519C" w:rsidRPr="00F0766D">
        <w:t>), à l'altitude de l'apogée (élément de données</w:t>
      </w:r>
      <w:r w:rsidR="001C26A4" w:rsidRPr="00F0766D">
        <w:t> </w:t>
      </w:r>
      <w:r w:rsidR="0075519C" w:rsidRPr="00F0766D">
        <w:t>A.4.b.4.d de l'Appendice</w:t>
      </w:r>
      <w:r w:rsidR="001C26A4" w:rsidRPr="00F0766D">
        <w:t> </w:t>
      </w:r>
      <w:r w:rsidR="0075519C" w:rsidRPr="00F0766D">
        <w:rPr>
          <w:b/>
        </w:rPr>
        <w:t>4</w:t>
      </w:r>
      <w:r w:rsidR="0075519C" w:rsidRPr="00F0766D">
        <w:t>) et à l'altitude du périgée (élément de données</w:t>
      </w:r>
      <w:r w:rsidR="001C26A4" w:rsidRPr="00F0766D">
        <w:t> </w:t>
      </w:r>
      <w:r w:rsidR="0075519C" w:rsidRPr="00F0766D">
        <w:t>A.4.b.4.e de l'Appendice</w:t>
      </w:r>
      <w:r w:rsidR="001C26A4" w:rsidRPr="00F0766D">
        <w:t> </w:t>
      </w:r>
      <w:r w:rsidR="0075519C" w:rsidRPr="00F0766D">
        <w:rPr>
          <w:b/>
        </w:rPr>
        <w:t>4</w:t>
      </w:r>
      <w:r w:rsidR="0075519C" w:rsidRPr="00F0766D">
        <w:t>); et</w:t>
      </w:r>
    </w:p>
    <w:p w14:paraId="02A9E212" w14:textId="4CB9B038" w:rsidR="00E81420" w:rsidRPr="00F0766D" w:rsidRDefault="00E81420" w:rsidP="001C26A4">
      <w:pPr>
        <w:pStyle w:val="enumlev2"/>
      </w:pPr>
      <w:r w:rsidRPr="00F0766D">
        <w:t>v)</w:t>
      </w:r>
      <w:r w:rsidRPr="00F0766D">
        <w:tab/>
        <w:t>l'administration notificatrice fournit un engagement indiquant que les caractéristiques modifiées</w:t>
      </w:r>
      <w:r w:rsidR="0075519C" w:rsidRPr="00F0766D">
        <w:t>/le système non</w:t>
      </w:r>
      <w:r w:rsidR="001270C0" w:rsidRPr="00F0766D">
        <w:t> </w:t>
      </w:r>
      <w:r w:rsidR="0075519C" w:rsidRPr="00F0766D">
        <w:t>OSG</w:t>
      </w:r>
      <w:r w:rsidRPr="00F0766D">
        <w:t xml:space="preserve"> ne causeront pas plus de brouillages</w:t>
      </w:r>
      <w:r w:rsidR="0075519C" w:rsidRPr="00F0766D">
        <w:t>,</w:t>
      </w:r>
      <w:r w:rsidRPr="00F0766D">
        <w:t xml:space="preserve"> n'exigeront </w:t>
      </w:r>
      <w:r w:rsidR="00846F14" w:rsidRPr="00F0766D">
        <w:t xml:space="preserve">pas </w:t>
      </w:r>
      <w:r w:rsidRPr="00F0766D">
        <w:t>une plus grande protection</w:t>
      </w:r>
      <w:r w:rsidR="00846F14" w:rsidRPr="00F0766D">
        <w:t xml:space="preserve"> et</w:t>
      </w:r>
      <w:r w:rsidR="0075519C" w:rsidRPr="00F0766D">
        <w:t xml:space="preserve"> n'imposeront </w:t>
      </w:r>
      <w:r w:rsidR="00846F14" w:rsidRPr="00F0766D">
        <w:t xml:space="preserve">pas </w:t>
      </w:r>
      <w:r w:rsidR="0075519C" w:rsidRPr="00F0766D">
        <w:t>davantage de contraintes aux autres systèmes</w:t>
      </w:r>
      <w:r w:rsidRPr="00F0766D">
        <w:t xml:space="preserve"> que </w:t>
      </w:r>
      <w:r w:rsidR="0075519C" w:rsidRPr="00F0766D">
        <w:t xml:space="preserve">si la station spatiale </w:t>
      </w:r>
      <w:r w:rsidR="00D02D57" w:rsidRPr="00F0766D">
        <w:t>était déployée conformément aux</w:t>
      </w:r>
      <w:r w:rsidR="0075519C" w:rsidRPr="00F0766D">
        <w:t xml:space="preserve"> </w:t>
      </w:r>
      <w:r w:rsidRPr="00F0766D">
        <w:t>caractéristiques fournies dans les renseignements de notification les plus récents publiés dans la Partie</w:t>
      </w:r>
      <w:r w:rsidR="001C26A4" w:rsidRPr="00F0766D">
        <w:t> </w:t>
      </w:r>
      <w:r w:rsidRPr="00F0766D">
        <w:t>I-S de la BR IFIC pour les assignations de fréquence (voir l'élément de données</w:t>
      </w:r>
      <w:r w:rsidR="001C26A4" w:rsidRPr="00F0766D">
        <w:t> </w:t>
      </w:r>
      <w:r w:rsidRPr="00F0766D">
        <w:t>A.23.a de l'Appendice</w:t>
      </w:r>
      <w:r w:rsidR="001C26A4" w:rsidRPr="00F0766D">
        <w:t> </w:t>
      </w:r>
      <w:r w:rsidRPr="00F0766D">
        <w:rPr>
          <w:b/>
        </w:rPr>
        <w:t>4</w:t>
      </w:r>
      <w:r w:rsidRPr="00F0766D">
        <w:t>);</w:t>
      </w:r>
    </w:p>
    <w:p w14:paraId="4B9D5A61" w14:textId="0DB84FDE" w:rsidR="00E81420" w:rsidRPr="00F0766D" w:rsidRDefault="00E81420" w:rsidP="001C26A4">
      <w:pPr>
        <w:pStyle w:val="enumlev1"/>
      </w:pPr>
      <w:r w:rsidRPr="00F0766D">
        <w:rPr>
          <w:i/>
          <w:iCs/>
        </w:rPr>
        <w:t>d)</w:t>
      </w:r>
      <w:r w:rsidRPr="00F0766D">
        <w:tab/>
        <w:t>publie</w:t>
      </w:r>
      <w:r w:rsidR="00D02D57" w:rsidRPr="00F0766D">
        <w:t>ra</w:t>
      </w:r>
      <w:r w:rsidRPr="00F0766D">
        <w:t xml:space="preserve"> les renseignements fournis et ses conclusions dans la BR IFIC,</w:t>
      </w:r>
    </w:p>
    <w:p w14:paraId="70244746" w14:textId="77777777" w:rsidR="00446E09" w:rsidRPr="00F0766D" w:rsidRDefault="00446E09" w:rsidP="001C26A4">
      <w:pPr>
        <w:pStyle w:val="Call"/>
        <w:rPr>
          <w:szCs w:val="24"/>
        </w:rPr>
      </w:pPr>
      <w:r w:rsidRPr="00F0766D">
        <w:rPr>
          <w:szCs w:val="24"/>
        </w:rPr>
        <w:t>charge le Bureau des radiocommunications</w:t>
      </w:r>
    </w:p>
    <w:p w14:paraId="3ACF2D82" w14:textId="77777777" w:rsidR="00446E09" w:rsidRPr="00F0766D" w:rsidRDefault="00446E09" w:rsidP="001C26A4">
      <w:pPr>
        <w:textAlignment w:val="auto"/>
        <w:rPr>
          <w:color w:val="000000" w:themeColor="text1"/>
        </w:rPr>
      </w:pPr>
      <w:r w:rsidRPr="00F0766D">
        <w:rPr>
          <w:color w:val="000000" w:themeColor="text1"/>
        </w:rPr>
        <w:t>1</w:t>
      </w:r>
      <w:r w:rsidRPr="00F0766D">
        <w:rPr>
          <w:color w:val="000000" w:themeColor="text1"/>
        </w:rPr>
        <w:tab/>
      </w:r>
      <w:r w:rsidRPr="00F0766D">
        <w:rPr>
          <w:color w:val="000000"/>
        </w:rPr>
        <w:t>de prendre les mesures nécessaires pour mettre en œuvre</w:t>
      </w:r>
      <w:r w:rsidRPr="00F0766D">
        <w:rPr>
          <w:szCs w:val="24"/>
        </w:rPr>
        <w:t xml:space="preserve"> la présente Résolution</w:t>
      </w:r>
      <w:r w:rsidRPr="00F0766D">
        <w:rPr>
          <w:color w:val="000000" w:themeColor="text1"/>
        </w:rPr>
        <w:t>, notamment en fournissant une assistance aux administrations qui en font la demande, afin de résoudre les difficultés que ces administrations peuvent rencontrer dans la mise en œuvre de la présente Résolution, sans conséquences réglementaires pour ces administrations;</w:t>
      </w:r>
    </w:p>
    <w:p w14:paraId="3911AF6A" w14:textId="77777777" w:rsidR="00446E09" w:rsidRPr="00F0766D" w:rsidRDefault="00446E09" w:rsidP="001C26A4">
      <w:pPr>
        <w:textAlignment w:val="auto"/>
      </w:pPr>
      <w:r w:rsidRPr="00F0766D">
        <w:t>2</w:t>
      </w:r>
      <w:r w:rsidRPr="00F0766D">
        <w:tab/>
        <w:t>de présenter aux conférences mondiales des radiocommunications futures un rapport sur les difficultés rencontrées ou les incohérences constatées dans la mise en œuvre de la présente Résolution.</w:t>
      </w:r>
    </w:p>
    <w:p w14:paraId="76835184" w14:textId="54F562DB" w:rsidR="00446E09" w:rsidRPr="00F0766D" w:rsidRDefault="00446E09" w:rsidP="00756C3A">
      <w:pPr>
        <w:pStyle w:val="AnnexNo"/>
      </w:pPr>
      <w:bookmarkStart w:id="84" w:name="_Toc134513831"/>
      <w:r w:rsidRPr="00F0766D">
        <w:t>ANNEXE DU PROJET DE NOUVELLE RÉSOLUTION</w:t>
      </w:r>
      <w:r w:rsidR="00E81420" w:rsidRPr="00F0766D">
        <w:br/>
        <w:t>[ACP-</w:t>
      </w:r>
      <w:r w:rsidRPr="00F0766D">
        <w:t>A7(A)</w:t>
      </w:r>
      <w:r w:rsidRPr="00F0766D">
        <w:noBreakHyphen/>
        <w:t>NGSO</w:t>
      </w:r>
      <w:r w:rsidRPr="00F0766D">
        <w:noBreakHyphen/>
        <w:t>FSS</w:t>
      </w:r>
      <w:r w:rsidRPr="00F0766D">
        <w:noBreakHyphen/>
        <w:t>BSS</w:t>
      </w:r>
      <w:r w:rsidRPr="00F0766D">
        <w:noBreakHyphen/>
        <w:t>MSS-Tolerance] (CMR-23)</w:t>
      </w:r>
      <w:bookmarkEnd w:id="84"/>
    </w:p>
    <w:p w14:paraId="26DB3741" w14:textId="77777777" w:rsidR="00446E09" w:rsidRPr="00F0766D" w:rsidRDefault="00446E09" w:rsidP="00756C3A">
      <w:pPr>
        <w:pStyle w:val="Annextitle"/>
        <w:rPr>
          <w:b w:val="0"/>
        </w:rPr>
      </w:pPr>
      <w:r w:rsidRPr="00F0766D">
        <w:rPr>
          <w:b w:val="0"/>
        </w:rPr>
        <w:t xml:space="preserve">Variation de l'altitude et de l'inclinaison </w:t>
      </w:r>
    </w:p>
    <w:p w14:paraId="42E38DA8" w14:textId="02D8FF90" w:rsidR="00446E09" w:rsidRPr="00F0766D" w:rsidRDefault="00446E09" w:rsidP="00756C3A">
      <w:pPr>
        <w:rPr>
          <w:color w:val="000000" w:themeColor="text1"/>
          <w:spacing w:val="-4"/>
        </w:rPr>
      </w:pPr>
      <w:r w:rsidRPr="00F0766D">
        <w:t>1</w:t>
      </w:r>
      <w:r w:rsidRPr="00F0766D">
        <w:tab/>
        <w:t xml:space="preserve">La variation observée pour l'altitude </w:t>
      </w:r>
      <w:r w:rsidRPr="00F0766D">
        <w:rPr>
          <w:color w:val="000000" w:themeColor="text1"/>
        </w:rPr>
        <w:t>(Δ</w:t>
      </w:r>
      <w:r w:rsidRPr="00F0766D">
        <w:rPr>
          <w:i/>
          <w:iCs/>
          <w:color w:val="000000" w:themeColor="text1"/>
        </w:rPr>
        <w:t>alt</w:t>
      </w:r>
      <w:r w:rsidRPr="00F0766D">
        <w:rPr>
          <w:i/>
          <w:iCs/>
          <w:color w:val="000000" w:themeColor="text1"/>
          <w:vertAlign w:val="subscript"/>
        </w:rPr>
        <w:t>Observed</w:t>
      </w:r>
      <w:r w:rsidRPr="00F0766D">
        <w:rPr>
          <w:color w:val="000000" w:themeColor="text1"/>
          <w:spacing w:val="-4"/>
        </w:rPr>
        <w:t>) d'un satellite non</w:t>
      </w:r>
      <w:r w:rsidR="001270C0" w:rsidRPr="00F0766D">
        <w:rPr>
          <w:color w:val="000000" w:themeColor="text1"/>
          <w:spacing w:val="-4"/>
        </w:rPr>
        <w:t> </w:t>
      </w:r>
      <w:r w:rsidRPr="00F0766D">
        <w:rPr>
          <w:color w:val="000000" w:themeColor="text1"/>
          <w:spacing w:val="-4"/>
        </w:rPr>
        <w:t>OSG est égale à:</w:t>
      </w:r>
    </w:p>
    <w:p w14:paraId="2EBE4617" w14:textId="77777777" w:rsidR="00446E09" w:rsidRPr="00F0766D" w:rsidRDefault="00446E09" w:rsidP="00756C3A">
      <w:pPr>
        <w:pStyle w:val="Equation"/>
      </w:pPr>
      <w:r w:rsidRPr="00F0766D">
        <w:tab/>
      </w:r>
      <w:r w:rsidRPr="00F0766D">
        <w:tab/>
      </w:r>
      <w:r w:rsidRPr="00F0766D">
        <w:rPr>
          <w:color w:val="000000" w:themeColor="text1"/>
          <w:position w:val="-14"/>
        </w:rPr>
        <w:object w:dxaOrig="2299" w:dyaOrig="400" w14:anchorId="2DD51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65" o:spid="_x0000_i1025" type="#_x0000_t75" style="width:115.2pt;height:21.9pt" o:ole="">
            <v:imagedata r:id="rId13" o:title=""/>
          </v:shape>
          <o:OLEObject Type="Embed" ProgID="Equation.DSMT4" ShapeID="shape65" DrawAspect="Content" ObjectID="_1759855117" r:id="rId14"/>
        </w:object>
      </w:r>
      <w:r w:rsidR="00F0766D" w:rsidRPr="00F0766D">
        <w:rPr>
          <w:position w:val="-12"/>
        </w:rPr>
        <w:pict w14:anchorId="62005D7C">
          <v:rect id="Rectangle 473" o:spid="_x0000_s1026" style="position:absolute;margin-left:0;margin-top:0;width:50pt;height:5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F0766D">
        <w:t>     en km</w:t>
      </w:r>
    </w:p>
    <w:p w14:paraId="5493B4F3" w14:textId="77777777" w:rsidR="00446E09" w:rsidRPr="00F0766D" w:rsidRDefault="00446E09" w:rsidP="00756C3A">
      <w:r w:rsidRPr="00F0766D">
        <w:t>où</w:t>
      </w:r>
    </w:p>
    <w:p w14:paraId="4191AAE4" w14:textId="77777777" w:rsidR="00446E09" w:rsidRPr="00F0766D" w:rsidRDefault="00446E09" w:rsidP="00756C3A">
      <w:pPr>
        <w:pStyle w:val="Equationlegend"/>
      </w:pPr>
      <w:r w:rsidRPr="00F0766D">
        <w:tab/>
      </w:r>
      <m:oMath>
        <m:sSub>
          <m:sSubPr>
            <m:ctrlPr>
              <w:rPr>
                <w:rFonts w:ascii="Cambria Math" w:hAnsi="Cambria Math"/>
                <w:i/>
              </w:rPr>
            </m:ctrlPr>
          </m:sSubPr>
          <m:e>
            <m:r>
              <w:rPr>
                <w:rFonts w:ascii="Cambria Math" w:hAnsi="Cambria Math"/>
              </w:rPr>
              <m:t>alt</m:t>
            </m:r>
          </m:e>
          <m:sub>
            <m:r>
              <w:rPr>
                <w:rFonts w:ascii="Cambria Math" w:hAnsi="Cambria Math"/>
              </w:rPr>
              <m:t>d</m:t>
            </m:r>
          </m:sub>
        </m:sSub>
      </m:oMath>
      <w:r w:rsidRPr="00F0766D">
        <w:t>:</w:t>
      </w:r>
      <w:r w:rsidRPr="00F0766D">
        <w:tab/>
        <w:t>est l'altitude observée, en kilomètres, du satellite déployé au périgée ou à l'apogée;</w:t>
      </w:r>
    </w:p>
    <w:p w14:paraId="0C55B3CA" w14:textId="76177219" w:rsidR="00446E09" w:rsidRPr="00F0766D" w:rsidRDefault="00446E09" w:rsidP="00756C3A">
      <w:pPr>
        <w:pStyle w:val="Equationlegend"/>
      </w:pPr>
      <w:r w:rsidRPr="00F0766D">
        <w:tab/>
      </w:r>
      <m:oMath>
        <m:sSub>
          <m:sSubPr>
            <m:ctrlPr>
              <w:rPr>
                <w:rFonts w:ascii="Cambria Math" w:hAnsi="Cambria Math"/>
                <w:i/>
              </w:rPr>
            </m:ctrlPr>
          </m:sSubPr>
          <m:e>
            <m:r>
              <w:rPr>
                <w:rFonts w:ascii="Cambria Math" w:hAnsi="Cambria Math"/>
              </w:rPr>
              <m:t>alt</m:t>
            </m:r>
          </m:e>
          <m:sub>
            <m:r>
              <w:rPr>
                <w:rFonts w:ascii="Cambria Math" w:hAnsi="Cambria Math"/>
              </w:rPr>
              <m:t>n</m:t>
            </m:r>
          </m:sub>
        </m:sSub>
      </m:oMath>
      <w:r w:rsidRPr="00F0766D">
        <w:t>:</w:t>
      </w:r>
      <w:r w:rsidRPr="00F0766D">
        <w:tab/>
        <w:t>est l'altitude du périgée ou de l'apogée, en kilomètres, du plan orbital du système non</w:t>
      </w:r>
      <w:r w:rsidR="001270C0" w:rsidRPr="00F0766D">
        <w:t> </w:t>
      </w:r>
      <w:r w:rsidRPr="00F0766D">
        <w:t>OSG associé qui a été notifié.</w:t>
      </w:r>
    </w:p>
    <w:p w14:paraId="4EDF0062" w14:textId="3F78914C" w:rsidR="00446E09" w:rsidRPr="00F0766D" w:rsidRDefault="00446E09" w:rsidP="0027108B">
      <w:r w:rsidRPr="00F0766D">
        <w:t>2</w:t>
      </w:r>
      <w:r w:rsidRPr="00F0766D">
        <w:tab/>
        <w:t>La variation</w:t>
      </w:r>
      <w:r w:rsidRPr="00F0766D">
        <w:rPr>
          <w:spacing w:val="-4"/>
        </w:rPr>
        <w:t xml:space="preserve"> autorisée </w:t>
      </w:r>
      <w:r w:rsidRPr="00F0766D">
        <w:t>pour l'altitude (</w:t>
      </w:r>
      <w:r w:rsidRPr="00F0766D">
        <w:rPr>
          <w:color w:val="000000" w:themeColor="text1"/>
        </w:rPr>
        <w:t>Δ</w:t>
      </w:r>
      <w:r w:rsidRPr="00F0766D">
        <w:rPr>
          <w:i/>
          <w:iCs/>
          <w:color w:val="000000" w:themeColor="text1"/>
        </w:rPr>
        <w:t>alt</w:t>
      </w:r>
      <w:r w:rsidRPr="00F0766D">
        <w:rPr>
          <w:i/>
          <w:iCs/>
          <w:color w:val="000000" w:themeColor="text1"/>
          <w:vertAlign w:val="subscript"/>
        </w:rPr>
        <w:t>Allowed</w:t>
      </w:r>
      <w:r w:rsidRPr="00F0766D">
        <w:rPr>
          <w:color w:val="000000" w:themeColor="text1"/>
          <w:spacing w:val="-4"/>
        </w:rPr>
        <w:t>)</w:t>
      </w:r>
      <w:r w:rsidRPr="00F0766D">
        <w:t xml:space="preserve"> d'un satellite non</w:t>
      </w:r>
      <w:r w:rsidR="001270C0" w:rsidRPr="00F0766D">
        <w:t> </w:t>
      </w:r>
      <w:r w:rsidRPr="00F0766D">
        <w:t>OSG est égale à:</w:t>
      </w:r>
    </w:p>
    <w:p w14:paraId="5C1E8BB0" w14:textId="77777777" w:rsidR="00446E09" w:rsidRPr="00F0766D" w:rsidRDefault="00446E09" w:rsidP="0027108B">
      <w:pPr>
        <w:rPr>
          <w:b/>
          <w:bCs/>
          <w:i/>
          <w:iCs/>
          <w:color w:val="000000" w:themeColor="text1"/>
          <w:u w:val="single"/>
        </w:rPr>
      </w:pPr>
      <w:r w:rsidRPr="00F0766D">
        <w:rPr>
          <w:b/>
          <w:bCs/>
          <w:i/>
          <w:iCs/>
          <w:color w:val="000000" w:themeColor="text1"/>
          <w:u w:val="single"/>
        </w:rPr>
        <w:t>Option 1</w:t>
      </w:r>
    </w:p>
    <w:p w14:paraId="1AE1C1D8" w14:textId="77777777" w:rsidR="00446E09" w:rsidRPr="00F0766D" w:rsidRDefault="00446E09" w:rsidP="0027108B">
      <w:pPr>
        <w:pStyle w:val="Equation"/>
      </w:pPr>
      <w:r w:rsidRPr="00F0766D">
        <w:tab/>
      </w:r>
      <w:r w:rsidRPr="00F0766D">
        <w:tab/>
        <w:t>∆</w:t>
      </w:r>
      <w:r w:rsidRPr="00F0766D">
        <w:rPr>
          <w:i/>
          <w:iCs/>
        </w:rPr>
        <w:t>alt</w:t>
      </w:r>
      <w:r w:rsidRPr="00F0766D">
        <w:rPr>
          <w:i/>
          <w:iCs/>
          <w:vertAlign w:val="subscript"/>
        </w:rPr>
        <w:t>Allowed</w:t>
      </w:r>
      <w:r w:rsidRPr="00F0766D">
        <w:rPr>
          <w:i/>
          <w:iCs/>
        </w:rPr>
        <w:t xml:space="preserve"> = </w:t>
      </w:r>
      <w:r w:rsidRPr="00F0766D">
        <w:t>X      en km</w:t>
      </w:r>
    </w:p>
    <w:p w14:paraId="61D64C51" w14:textId="60D92622" w:rsidR="00446E09" w:rsidRPr="00F0766D" w:rsidRDefault="00446E09" w:rsidP="0027108B">
      <w:pPr>
        <w:pStyle w:val="Equation"/>
      </w:pPr>
      <w:r w:rsidRPr="00F0766D">
        <w:t>où X est une valeur fixe égale à déterminer.</w:t>
      </w:r>
    </w:p>
    <w:p w14:paraId="0598CF8E" w14:textId="5F4B4EF8" w:rsidR="00A70871" w:rsidRPr="00F0766D" w:rsidRDefault="00A70871" w:rsidP="0027108B">
      <w:pPr>
        <w:pStyle w:val="Equation"/>
      </w:pPr>
      <w:r w:rsidRPr="00F0766D">
        <w:t>Variante 1: à déterminer (par exemple 20/50)</w:t>
      </w:r>
    </w:p>
    <w:p w14:paraId="3EC5A3F8" w14:textId="493D7A3A" w:rsidR="00E81420" w:rsidRPr="00F0766D" w:rsidRDefault="00A70871" w:rsidP="0027108B">
      <w:pPr>
        <w:pStyle w:val="Equation"/>
      </w:pPr>
      <w:r w:rsidRPr="00F0766D">
        <w:t>Variante 2: à déterminer</w:t>
      </w:r>
    </w:p>
    <w:p w14:paraId="753A98E3" w14:textId="77777777" w:rsidR="00446E09" w:rsidRPr="00F0766D" w:rsidRDefault="00446E09" w:rsidP="00756C3A">
      <w:pPr>
        <w:rPr>
          <w:b/>
          <w:bCs/>
          <w:i/>
          <w:iCs/>
          <w:color w:val="000000" w:themeColor="text1"/>
          <w:u w:val="single"/>
        </w:rPr>
      </w:pPr>
      <w:r w:rsidRPr="00F0766D">
        <w:rPr>
          <w:b/>
          <w:bCs/>
          <w:i/>
          <w:iCs/>
          <w:color w:val="000000" w:themeColor="text1"/>
          <w:u w:val="single"/>
        </w:rPr>
        <w:t>Fin de l'Option 1</w:t>
      </w:r>
    </w:p>
    <w:p w14:paraId="64083805" w14:textId="77777777" w:rsidR="00446E09" w:rsidRPr="00F0766D" w:rsidRDefault="00446E09" w:rsidP="00756C3A">
      <w:pPr>
        <w:rPr>
          <w:b/>
          <w:bCs/>
          <w:i/>
          <w:iCs/>
          <w:color w:val="000000" w:themeColor="text1"/>
          <w:u w:val="single"/>
        </w:rPr>
      </w:pPr>
      <w:r w:rsidRPr="00F0766D">
        <w:rPr>
          <w:b/>
          <w:bCs/>
          <w:i/>
          <w:iCs/>
          <w:color w:val="000000" w:themeColor="text1"/>
          <w:u w:val="single"/>
        </w:rPr>
        <w:t>Option 2</w:t>
      </w:r>
    </w:p>
    <w:p w14:paraId="2A5A05E3" w14:textId="77777777" w:rsidR="00446E09" w:rsidRPr="00F0766D" w:rsidRDefault="00446E09" w:rsidP="00756C3A">
      <w:pPr>
        <w:tabs>
          <w:tab w:val="clear" w:pos="1871"/>
          <w:tab w:val="clear" w:pos="2268"/>
          <w:tab w:val="center" w:pos="4820"/>
          <w:tab w:val="right" w:pos="9639"/>
        </w:tabs>
        <w:rPr>
          <w:color w:val="000000" w:themeColor="text1"/>
        </w:rPr>
      </w:pPr>
      <w:r w:rsidRPr="00F0766D">
        <w:rPr>
          <w:color w:val="000000" w:themeColor="text1"/>
        </w:rPr>
        <w:lastRenderedPageBreak/>
        <w:tab/>
      </w:r>
      <w:r w:rsidRPr="00F0766D">
        <w:rPr>
          <w:color w:val="000000" w:themeColor="text1"/>
        </w:rPr>
        <w:tab/>
      </w:r>
      <m:oMath>
        <m:sSub>
          <m:sSubPr>
            <m:ctrlPr>
              <w:rPr>
                <w:rFonts w:ascii="Cambria Math" w:hAnsi="Cambria Math"/>
                <w:i/>
                <w:iCs/>
                <w:color w:val="000000" w:themeColor="text1"/>
              </w:rPr>
            </m:ctrlPr>
          </m:sSubPr>
          <m:e>
            <m:r>
              <m:rPr>
                <m:sty m:val="p"/>
              </m:rPr>
              <w:rPr>
                <w:rFonts w:ascii="Cambria Math" w:hAnsi="Cambria Math"/>
                <w:color w:val="000000" w:themeColor="text1"/>
              </w:rPr>
              <m:t>∆</m:t>
            </m:r>
            <m:r>
              <w:rPr>
                <w:rFonts w:ascii="Cambria Math" w:hAnsi="Cambria Math"/>
                <w:color w:val="000000" w:themeColor="text1"/>
              </w:rPr>
              <m:t>alt</m:t>
            </m:r>
          </m:e>
          <m:sub>
            <m:r>
              <w:rPr>
                <w:rFonts w:ascii="Cambria Math" w:hAnsi="Cambria Math"/>
                <w:color w:val="000000" w:themeColor="text1"/>
                <w:vertAlign w:val="subscript"/>
              </w:rPr>
              <m:t>Allowed</m:t>
            </m:r>
          </m:sub>
        </m:sSub>
        <m:r>
          <w:rPr>
            <w:rFonts w:ascii="Cambria Math" w:hAnsi="Cambria Math"/>
            <w:color w:val="000000" w:themeColor="text1"/>
          </w:rPr>
          <m:t>=Y×</m:t>
        </m:r>
        <m:sSub>
          <m:sSubPr>
            <m:ctrlPr>
              <w:rPr>
                <w:rFonts w:ascii="Cambria Math" w:hAnsi="Cambria Math"/>
                <w:i/>
                <w:iCs/>
                <w:color w:val="000000" w:themeColor="text1"/>
              </w:rPr>
            </m:ctrlPr>
          </m:sSubPr>
          <m:e>
            <m:r>
              <w:rPr>
                <w:rFonts w:ascii="Cambria Math" w:hAnsi="Cambria Math"/>
                <w:color w:val="000000" w:themeColor="text1"/>
              </w:rPr>
              <m:t>alt</m:t>
            </m:r>
          </m:e>
          <m:sub>
            <m:r>
              <w:rPr>
                <w:rFonts w:ascii="Cambria Math" w:hAnsi="Cambria Math"/>
                <w:color w:val="000000" w:themeColor="text1"/>
              </w:rPr>
              <m:t>n</m:t>
            </m:r>
          </m:sub>
        </m:sSub>
        <m:r>
          <w:rPr>
            <w:rFonts w:ascii="Cambria Math" w:hAnsi="Cambria Math"/>
            <w:color w:val="000000" w:themeColor="text1"/>
          </w:rPr>
          <m:t xml:space="preserve"> </m:t>
        </m:r>
      </m:oMath>
      <w:r w:rsidRPr="00F0766D">
        <w:rPr>
          <w:color w:val="000000" w:themeColor="text1"/>
        </w:rPr>
        <w:t>     en km</w:t>
      </w:r>
    </w:p>
    <w:p w14:paraId="5AA0A8C9" w14:textId="77777777" w:rsidR="00446E09" w:rsidRPr="00F0766D" w:rsidRDefault="00446E09" w:rsidP="00446E09">
      <w:pPr>
        <w:tabs>
          <w:tab w:val="clear" w:pos="1871"/>
          <w:tab w:val="clear" w:pos="2268"/>
          <w:tab w:val="center" w:pos="4820"/>
          <w:tab w:val="right" w:pos="9639"/>
        </w:tabs>
        <w:spacing w:line="480" w:lineRule="auto"/>
        <w:rPr>
          <w:color w:val="000000" w:themeColor="text1"/>
        </w:rPr>
      </w:pPr>
      <w:r w:rsidRPr="00F0766D">
        <w:rPr>
          <w:color w:val="000000" w:themeColor="text1"/>
        </w:rPr>
        <w:t xml:space="preserve">où Y est un </w:t>
      </w:r>
      <w:r w:rsidRPr="00F0766D">
        <w:rPr>
          <w:i/>
          <w:color w:val="000000" w:themeColor="text1"/>
        </w:rPr>
        <w:t>pourcentage fixe</w:t>
      </w:r>
      <w:r w:rsidRPr="00F0766D">
        <w:rPr>
          <w:color w:val="000000" w:themeColor="text1"/>
        </w:rPr>
        <w:t xml:space="preserve"> égal à </w:t>
      </w:r>
      <w:r w:rsidRPr="00F0766D">
        <w:rPr>
          <w:i/>
          <w:iCs/>
          <w:color w:val="000000" w:themeColor="text1"/>
        </w:rPr>
        <w:t>à déterminer</w:t>
      </w:r>
      <w:r w:rsidRPr="00F0766D">
        <w:rPr>
          <w:color w:val="000000" w:themeColor="text1"/>
        </w:rPr>
        <w:t>.</w:t>
      </w:r>
    </w:p>
    <w:p w14:paraId="60780042" w14:textId="77777777" w:rsidR="00446E09" w:rsidRPr="00F0766D" w:rsidRDefault="00446E09" w:rsidP="00756C3A">
      <w:pPr>
        <w:rPr>
          <w:b/>
          <w:bCs/>
          <w:i/>
          <w:iCs/>
          <w:color w:val="000000" w:themeColor="text1"/>
          <w:u w:val="single"/>
        </w:rPr>
      </w:pPr>
      <w:r w:rsidRPr="00F0766D">
        <w:rPr>
          <w:b/>
          <w:bCs/>
          <w:i/>
          <w:iCs/>
          <w:color w:val="000000" w:themeColor="text1"/>
          <w:u w:val="single"/>
        </w:rPr>
        <w:t>Fin de l'Option 2</w:t>
      </w:r>
    </w:p>
    <w:p w14:paraId="76AECAA0" w14:textId="1482E603" w:rsidR="00446E09" w:rsidRPr="00F0766D" w:rsidRDefault="00446E09" w:rsidP="00756C3A">
      <w:pPr>
        <w:rPr>
          <w:color w:val="000000" w:themeColor="text1"/>
        </w:rPr>
      </w:pPr>
      <w:r w:rsidRPr="00F0766D">
        <w:rPr>
          <w:color w:val="000000" w:themeColor="text1"/>
        </w:rPr>
        <w:t>3</w:t>
      </w:r>
      <w:r w:rsidRPr="00F0766D">
        <w:rPr>
          <w:color w:val="000000" w:themeColor="text1"/>
        </w:rPr>
        <w:tab/>
        <w:t>La variation observée pour l'inclinaison (Δ</w:t>
      </w:r>
      <w:r w:rsidRPr="00F0766D">
        <w:rPr>
          <w:i/>
          <w:iCs/>
          <w:color w:val="000000" w:themeColor="text1"/>
        </w:rPr>
        <w:t>i</w:t>
      </w:r>
      <w:r w:rsidRPr="00F0766D">
        <w:rPr>
          <w:i/>
          <w:iCs/>
          <w:color w:val="000000" w:themeColor="text1"/>
          <w:vertAlign w:val="subscript"/>
        </w:rPr>
        <w:t>Observed</w:t>
      </w:r>
      <w:r w:rsidRPr="00F0766D">
        <w:rPr>
          <w:color w:val="000000" w:themeColor="text1"/>
        </w:rPr>
        <w:t>) d'un satellite non</w:t>
      </w:r>
      <w:r w:rsidR="001270C0" w:rsidRPr="00F0766D">
        <w:rPr>
          <w:color w:val="000000" w:themeColor="text1"/>
        </w:rPr>
        <w:t> </w:t>
      </w:r>
      <w:r w:rsidRPr="00F0766D">
        <w:rPr>
          <w:color w:val="000000" w:themeColor="text1"/>
        </w:rPr>
        <w:t>OSG est égale à:</w:t>
      </w:r>
    </w:p>
    <w:p w14:paraId="2AA0567C" w14:textId="77777777" w:rsidR="00446E09" w:rsidRPr="00F0766D" w:rsidRDefault="00446E09" w:rsidP="00756C3A">
      <w:pPr>
        <w:tabs>
          <w:tab w:val="clear" w:pos="1871"/>
          <w:tab w:val="clear" w:pos="2268"/>
          <w:tab w:val="center" w:pos="4820"/>
          <w:tab w:val="right" w:pos="9639"/>
        </w:tabs>
        <w:rPr>
          <w:color w:val="000000" w:themeColor="text1"/>
        </w:rPr>
      </w:pPr>
      <w:r w:rsidRPr="00F0766D">
        <w:rPr>
          <w:color w:val="000000" w:themeColor="text1"/>
        </w:rPr>
        <w:tab/>
      </w:r>
      <w:r w:rsidRPr="00F0766D">
        <w:rPr>
          <w:color w:val="000000" w:themeColor="text1"/>
        </w:rPr>
        <w:tab/>
      </w:r>
      <w:r w:rsidRPr="00F0766D">
        <w:rPr>
          <w:color w:val="000000" w:themeColor="text1"/>
          <w:position w:val="-14"/>
        </w:rPr>
        <w:object w:dxaOrig="1700" w:dyaOrig="400" w14:anchorId="430F4719">
          <v:shape id="shape68" o:spid="_x0000_i1026" type="#_x0000_t75" style="width:86.4pt;height:21.9pt" o:ole="">
            <v:imagedata r:id="rId15" o:title=""/>
          </v:shape>
          <o:OLEObject Type="Embed" ProgID="Equation.DSMT4" ShapeID="shape68" DrawAspect="Content" ObjectID="_1759855118" r:id="rId16"/>
        </w:object>
      </w:r>
      <w:r w:rsidRPr="00F0766D">
        <w:rPr>
          <w:color w:val="000000" w:themeColor="text1"/>
        </w:rPr>
        <w:t>     en degrés</w:t>
      </w:r>
    </w:p>
    <w:p w14:paraId="64229E59" w14:textId="77777777" w:rsidR="00446E09" w:rsidRPr="00F0766D" w:rsidRDefault="00446E09" w:rsidP="00756C3A">
      <w:pPr>
        <w:keepNext/>
      </w:pPr>
      <w:r w:rsidRPr="00F0766D">
        <w:t>où</w:t>
      </w:r>
    </w:p>
    <w:p w14:paraId="1F21AB3A" w14:textId="77777777" w:rsidR="00446E09" w:rsidRPr="00F0766D" w:rsidRDefault="00446E09" w:rsidP="00756C3A">
      <w:pPr>
        <w:pStyle w:val="Equationlegend"/>
        <w:keepNext/>
      </w:pPr>
      <w:r w:rsidRPr="00F0766D">
        <w:tab/>
      </w:r>
      <m:oMath>
        <m:sSub>
          <m:sSubPr>
            <m:ctrlPr>
              <w:rPr>
                <w:rFonts w:ascii="Cambria Math" w:hAnsi="Cambria Math"/>
                <w:i/>
              </w:rPr>
            </m:ctrlPr>
          </m:sSubPr>
          <m:e>
            <m:r>
              <w:rPr>
                <w:rFonts w:ascii="Cambria Math" w:hAnsi="Cambria Math"/>
              </w:rPr>
              <m:t>i</m:t>
            </m:r>
          </m:e>
          <m:sub>
            <m:r>
              <w:rPr>
                <w:rFonts w:ascii="Cambria Math" w:hAnsi="Cambria Math"/>
              </w:rPr>
              <m:t>d</m:t>
            </m:r>
          </m:sub>
        </m:sSub>
      </m:oMath>
      <w:r w:rsidRPr="00F0766D">
        <w:t>:</w:t>
      </w:r>
      <w:r w:rsidRPr="00F0766D">
        <w:tab/>
        <w:t>est l'inclinaison observée, en degrés, du satellite déployé;</w:t>
      </w:r>
    </w:p>
    <w:p w14:paraId="69B2A350" w14:textId="3BF986A6" w:rsidR="00446E09" w:rsidRPr="00F0766D" w:rsidRDefault="00446E09" w:rsidP="00756C3A">
      <w:pPr>
        <w:pStyle w:val="Equationlegend"/>
        <w:keepNext/>
      </w:pPr>
      <w:r w:rsidRPr="00F0766D">
        <w:tab/>
      </w:r>
      <m:oMath>
        <m:sSub>
          <m:sSubPr>
            <m:ctrlPr>
              <w:rPr>
                <w:rFonts w:ascii="Cambria Math" w:hAnsi="Cambria Math"/>
                <w:i/>
              </w:rPr>
            </m:ctrlPr>
          </m:sSubPr>
          <m:e>
            <m:r>
              <w:rPr>
                <w:rFonts w:ascii="Cambria Math" w:hAnsi="Cambria Math"/>
              </w:rPr>
              <m:t>i</m:t>
            </m:r>
          </m:e>
          <m:sub>
            <m:r>
              <w:rPr>
                <w:rFonts w:ascii="Cambria Math" w:hAnsi="Cambria Math"/>
              </w:rPr>
              <m:t>n</m:t>
            </m:r>
          </m:sub>
        </m:sSub>
      </m:oMath>
      <w:r w:rsidRPr="00F0766D">
        <w:t>:</w:t>
      </w:r>
      <w:r w:rsidRPr="00F0766D">
        <w:tab/>
        <w:t>est l'inclinaison, en degrés, du plan orbital du système non</w:t>
      </w:r>
      <w:r w:rsidR="001270C0" w:rsidRPr="00F0766D">
        <w:t> </w:t>
      </w:r>
      <w:r w:rsidRPr="00F0766D">
        <w:t>OSG associé qui a été notifié.</w:t>
      </w:r>
    </w:p>
    <w:p w14:paraId="05302CB3" w14:textId="59D96982" w:rsidR="00446E09" w:rsidRPr="00F0766D" w:rsidRDefault="00446E09" w:rsidP="00756C3A">
      <w:pPr>
        <w:rPr>
          <w:color w:val="000000" w:themeColor="text1"/>
        </w:rPr>
      </w:pPr>
      <w:r w:rsidRPr="00F0766D">
        <w:rPr>
          <w:color w:val="000000" w:themeColor="text1"/>
        </w:rPr>
        <w:t>4</w:t>
      </w:r>
      <w:r w:rsidRPr="00F0766D">
        <w:rPr>
          <w:color w:val="000000" w:themeColor="text1"/>
        </w:rPr>
        <w:tab/>
        <w:t>La variation autorisée pour l'inclinaison (∆i</w:t>
      </w:r>
      <w:r w:rsidRPr="00F0766D">
        <w:rPr>
          <w:i/>
          <w:iCs/>
          <w:color w:val="000000" w:themeColor="text1"/>
          <w:vertAlign w:val="subscript"/>
        </w:rPr>
        <w:t>Allowed</w:t>
      </w:r>
      <w:r w:rsidRPr="00F0766D">
        <w:rPr>
          <w:color w:val="000000" w:themeColor="text1"/>
        </w:rPr>
        <w:t>) d'un satellite non</w:t>
      </w:r>
      <w:r w:rsidR="001270C0" w:rsidRPr="00F0766D">
        <w:rPr>
          <w:color w:val="000000" w:themeColor="text1"/>
        </w:rPr>
        <w:t> </w:t>
      </w:r>
      <w:r w:rsidRPr="00F0766D">
        <w:rPr>
          <w:color w:val="000000" w:themeColor="text1"/>
        </w:rPr>
        <w:t>OSG est égale à:</w:t>
      </w:r>
    </w:p>
    <w:p w14:paraId="242F9370" w14:textId="77777777" w:rsidR="00446E09" w:rsidRPr="00F0766D" w:rsidRDefault="00446E09" w:rsidP="00756C3A">
      <w:pPr>
        <w:rPr>
          <w:b/>
          <w:bCs/>
          <w:i/>
          <w:iCs/>
          <w:color w:val="000000" w:themeColor="text1"/>
          <w:u w:val="single"/>
        </w:rPr>
      </w:pPr>
      <w:r w:rsidRPr="00F0766D">
        <w:rPr>
          <w:b/>
          <w:bCs/>
          <w:i/>
          <w:iCs/>
          <w:color w:val="000000" w:themeColor="text1"/>
          <w:u w:val="single"/>
        </w:rPr>
        <w:t>Option 1</w:t>
      </w:r>
    </w:p>
    <w:p w14:paraId="5038034F" w14:textId="77777777" w:rsidR="00446E09" w:rsidRPr="00F0766D" w:rsidRDefault="00446E09" w:rsidP="00756C3A">
      <w:pPr>
        <w:tabs>
          <w:tab w:val="clear" w:pos="1871"/>
          <w:tab w:val="clear" w:pos="2268"/>
          <w:tab w:val="center" w:pos="4820"/>
          <w:tab w:val="right" w:pos="9639"/>
        </w:tabs>
        <w:rPr>
          <w:color w:val="000000" w:themeColor="text1"/>
        </w:rPr>
      </w:pPr>
      <w:r w:rsidRPr="00F0766D">
        <w:rPr>
          <w:color w:val="000000" w:themeColor="text1"/>
        </w:rPr>
        <w:tab/>
      </w:r>
      <w:r w:rsidRPr="00F0766D">
        <w:rPr>
          <w:color w:val="000000" w:themeColor="text1"/>
        </w:rPr>
        <w:tab/>
        <w:t>∆i</w:t>
      </w:r>
      <w:r w:rsidRPr="00F0766D">
        <w:rPr>
          <w:i/>
          <w:iCs/>
          <w:color w:val="000000" w:themeColor="text1"/>
          <w:vertAlign w:val="subscript"/>
        </w:rPr>
        <w:t>Allowed</w:t>
      </w:r>
      <w:r w:rsidRPr="00F0766D">
        <w:rPr>
          <w:i/>
          <w:iCs/>
          <w:color w:val="000000" w:themeColor="text1"/>
        </w:rPr>
        <w:t xml:space="preserve"> = </w:t>
      </w:r>
      <w:r w:rsidRPr="00F0766D">
        <w:rPr>
          <w:color w:val="000000" w:themeColor="text1"/>
        </w:rPr>
        <w:t>Z       en degrés</w:t>
      </w:r>
    </w:p>
    <w:p w14:paraId="0FE3BC74" w14:textId="79E164B4" w:rsidR="00446E09" w:rsidRPr="00F0766D" w:rsidRDefault="00446E09" w:rsidP="00756C3A">
      <w:pPr>
        <w:rPr>
          <w:color w:val="000000" w:themeColor="text1"/>
        </w:rPr>
      </w:pPr>
      <w:r w:rsidRPr="00F0766D">
        <w:rPr>
          <w:color w:val="000000" w:themeColor="text1"/>
        </w:rPr>
        <w:t xml:space="preserve">où Z est une valeur fixe égale à </w:t>
      </w:r>
      <w:r w:rsidRPr="00F0766D">
        <w:rPr>
          <w:i/>
          <w:iCs/>
          <w:color w:val="000000" w:themeColor="text1"/>
        </w:rPr>
        <w:t>à déterminer</w:t>
      </w:r>
      <w:r w:rsidR="00A70871" w:rsidRPr="00F0766D">
        <w:rPr>
          <w:i/>
          <w:iCs/>
          <w:color w:val="000000" w:themeColor="text1"/>
        </w:rPr>
        <w:t xml:space="preserve"> </w:t>
      </w:r>
      <w:r w:rsidR="00A70871" w:rsidRPr="00F0766D">
        <w:rPr>
          <w:color w:val="000000" w:themeColor="text1"/>
        </w:rPr>
        <w:t>(par exemple 2/3)</w:t>
      </w:r>
    </w:p>
    <w:p w14:paraId="2EC15DF2" w14:textId="77777777" w:rsidR="00446E09" w:rsidRPr="00F0766D" w:rsidRDefault="00446E09" w:rsidP="00756C3A">
      <w:pPr>
        <w:rPr>
          <w:b/>
          <w:bCs/>
          <w:i/>
          <w:iCs/>
          <w:color w:val="000000" w:themeColor="text1"/>
          <w:u w:val="single"/>
        </w:rPr>
      </w:pPr>
      <w:r w:rsidRPr="00F0766D">
        <w:rPr>
          <w:b/>
          <w:bCs/>
          <w:i/>
          <w:iCs/>
          <w:color w:val="000000" w:themeColor="text1"/>
          <w:u w:val="single"/>
        </w:rPr>
        <w:t>Fin de l'Option 1</w:t>
      </w:r>
    </w:p>
    <w:p w14:paraId="4B3DE268" w14:textId="77777777" w:rsidR="00446E09" w:rsidRPr="00F0766D" w:rsidRDefault="00446E09" w:rsidP="00756C3A">
      <w:pPr>
        <w:rPr>
          <w:b/>
          <w:bCs/>
          <w:i/>
          <w:iCs/>
          <w:color w:val="000000" w:themeColor="text1"/>
          <w:u w:val="single"/>
        </w:rPr>
      </w:pPr>
      <w:r w:rsidRPr="00F0766D">
        <w:rPr>
          <w:b/>
          <w:bCs/>
          <w:i/>
          <w:iCs/>
          <w:color w:val="000000" w:themeColor="text1"/>
          <w:u w:val="single"/>
        </w:rPr>
        <w:t>Option 2</w:t>
      </w:r>
    </w:p>
    <w:p w14:paraId="2023934A" w14:textId="77777777" w:rsidR="00446E09" w:rsidRPr="00F0766D" w:rsidRDefault="00446E09" w:rsidP="00756C3A">
      <w:pPr>
        <w:tabs>
          <w:tab w:val="clear" w:pos="1871"/>
          <w:tab w:val="clear" w:pos="2268"/>
          <w:tab w:val="center" w:pos="4820"/>
          <w:tab w:val="right" w:pos="9639"/>
        </w:tabs>
        <w:jc w:val="center"/>
        <w:rPr>
          <w:color w:val="000000" w:themeColor="text1"/>
        </w:rPr>
      </w:pPr>
      <w:r w:rsidRPr="00F0766D">
        <w:rPr>
          <w:color w:val="000000" w:themeColor="text1"/>
        </w:rPr>
        <w:tab/>
      </w:r>
      <w:r w:rsidRPr="00F0766D">
        <w:rPr>
          <w:color w:val="000000" w:themeColor="text1"/>
        </w:rPr>
        <w:tab/>
      </w:r>
      <w:r w:rsidRPr="00F0766D">
        <w:rPr>
          <w:color w:val="000000" w:themeColor="text1"/>
          <w:position w:val="-44"/>
        </w:rPr>
        <w:object w:dxaOrig="4400" w:dyaOrig="999" w14:anchorId="3C2756E2">
          <v:shape id="shape71" o:spid="_x0000_i1027" type="#_x0000_t75" alt="" style="width:3in;height:50.1pt" o:ole="">
            <v:imagedata r:id="rId17" o:title=""/>
          </v:shape>
          <o:OLEObject Type="Embed" ProgID="Equation.DSMT4" ShapeID="shape71" DrawAspect="Content" ObjectID="_1759855119" r:id="rId18"/>
        </w:object>
      </w:r>
      <w:r w:rsidRPr="00F0766D">
        <w:rPr>
          <w:color w:val="000000" w:themeColor="text1"/>
        </w:rPr>
        <w:t>en degrés</w:t>
      </w:r>
      <w:r w:rsidRPr="00F0766D">
        <w:rPr>
          <w:color w:val="000000" w:themeColor="text1"/>
        </w:rPr>
        <w:tab/>
        <w:t>(1)</w:t>
      </w:r>
    </w:p>
    <w:p w14:paraId="0FD639C1" w14:textId="77777777" w:rsidR="00446E09" w:rsidRPr="00F0766D" w:rsidRDefault="00446E09" w:rsidP="00756C3A">
      <w:pPr>
        <w:keepNext/>
        <w:rPr>
          <w:rFonts w:ascii="Cambria Math" w:hAnsi="Cambria Math"/>
          <w:color w:val="000000" w:themeColor="text1"/>
        </w:rPr>
      </w:pPr>
      <w:r w:rsidRPr="00F0766D">
        <w:rPr>
          <w:color w:val="000000" w:themeColor="text1"/>
        </w:rPr>
        <w:t>avec</w:t>
      </w:r>
    </w:p>
    <w:p w14:paraId="2872599C" w14:textId="77777777" w:rsidR="00446E09" w:rsidRPr="00F0766D" w:rsidRDefault="00446E09" w:rsidP="00756C3A">
      <w:pPr>
        <w:tabs>
          <w:tab w:val="clear" w:pos="1871"/>
          <w:tab w:val="clear" w:pos="2268"/>
          <w:tab w:val="center" w:pos="4820"/>
          <w:tab w:val="right" w:pos="9639"/>
        </w:tabs>
        <w:rPr>
          <w:color w:val="000000" w:themeColor="text1"/>
        </w:rPr>
      </w:pPr>
      <w:r w:rsidRPr="00F0766D">
        <w:rPr>
          <w:color w:val="000000" w:themeColor="text1"/>
        </w:rPr>
        <w:tab/>
      </w:r>
      <w:r w:rsidRPr="00F0766D">
        <w:rPr>
          <w:color w:val="000000" w:themeColor="text1"/>
        </w:rPr>
        <w:tab/>
      </w:r>
      <w:r w:rsidRPr="00F0766D">
        <w:rPr>
          <w:color w:val="000000" w:themeColor="text1"/>
          <w:position w:val="-12"/>
        </w:rPr>
        <w:object w:dxaOrig="1500" w:dyaOrig="360" w14:anchorId="4C3CFCE9">
          <v:shape id="shape74" o:spid="_x0000_i1028" type="#_x0000_t75" style="width:1in;height:14.4pt" o:ole="">
            <v:imagedata r:id="rId19" o:title=""/>
          </v:shape>
          <o:OLEObject Type="Embed" ProgID="Equation.DSMT4" ShapeID="shape74" DrawAspect="Content" ObjectID="_1759855120" r:id="rId20"/>
        </w:object>
      </w:r>
    </w:p>
    <w:p w14:paraId="45E48DDD" w14:textId="77777777" w:rsidR="00446E09" w:rsidRPr="00F0766D" w:rsidRDefault="00446E09" w:rsidP="00756C3A">
      <w:pPr>
        <w:keepNext/>
        <w:tabs>
          <w:tab w:val="left" w:pos="1588"/>
          <w:tab w:val="left" w:pos="1985"/>
        </w:tabs>
        <w:rPr>
          <w:color w:val="000000" w:themeColor="text1"/>
        </w:rPr>
      </w:pPr>
      <w:r w:rsidRPr="00F0766D">
        <w:rPr>
          <w:color w:val="000000" w:themeColor="text1"/>
        </w:rPr>
        <w:t>où</w:t>
      </w:r>
    </w:p>
    <w:p w14:paraId="6C23291B" w14:textId="77777777" w:rsidR="00446E09" w:rsidRPr="00F0766D" w:rsidRDefault="00446E09" w:rsidP="00756C3A">
      <w:pPr>
        <w:tabs>
          <w:tab w:val="clear" w:pos="1134"/>
          <w:tab w:val="clear" w:pos="2268"/>
          <w:tab w:val="right" w:pos="1871"/>
          <w:tab w:val="left" w:pos="2041"/>
        </w:tabs>
        <w:spacing w:before="80"/>
        <w:ind w:left="2041" w:hanging="2041"/>
        <w:rPr>
          <w:color w:val="000000" w:themeColor="text1"/>
        </w:rPr>
      </w:pPr>
      <w:r w:rsidRPr="00F0766D">
        <w:rPr>
          <w:color w:val="000000" w:themeColor="text1"/>
        </w:rPr>
        <w:tab/>
      </w:r>
      <w:r w:rsidRPr="00F0766D">
        <w:rPr>
          <w:i/>
          <w:iCs/>
          <w:color w:val="000000" w:themeColor="text1"/>
        </w:rPr>
        <w:t>R</w:t>
      </w:r>
      <w:r w:rsidRPr="00F0766D">
        <w:rPr>
          <w:i/>
          <w:iCs/>
          <w:color w:val="000000" w:themeColor="text1"/>
          <w:vertAlign w:val="subscript"/>
        </w:rPr>
        <w:t>e</w:t>
      </w:r>
      <w:r w:rsidRPr="00F0766D">
        <w:rPr>
          <w:i/>
          <w:iCs/>
          <w:color w:val="000000" w:themeColor="text1"/>
        </w:rPr>
        <w:t>:</w:t>
      </w:r>
      <w:r w:rsidRPr="00F0766D">
        <w:rPr>
          <w:color w:val="000000" w:themeColor="text1"/>
        </w:rPr>
        <w:tab/>
        <w:t>est le rayon de la Terre (soit 6 378 km).</w:t>
      </w:r>
    </w:p>
    <w:p w14:paraId="1BECD823" w14:textId="77777777" w:rsidR="00446E09" w:rsidRPr="00F0766D" w:rsidRDefault="00446E09" w:rsidP="00756C3A">
      <w:pPr>
        <w:tabs>
          <w:tab w:val="clear" w:pos="1134"/>
          <w:tab w:val="clear" w:pos="2268"/>
          <w:tab w:val="right" w:pos="1871"/>
          <w:tab w:val="left" w:pos="2041"/>
        </w:tabs>
        <w:spacing w:before="80"/>
        <w:ind w:left="2041" w:hanging="2041"/>
        <w:rPr>
          <w:b/>
          <w:bCs/>
          <w:color w:val="000000" w:themeColor="text1"/>
          <w:u w:val="single"/>
        </w:rPr>
      </w:pPr>
      <w:r w:rsidRPr="00F0766D">
        <w:rPr>
          <w:b/>
          <w:bCs/>
          <w:i/>
          <w:iCs/>
          <w:color w:val="000000" w:themeColor="text1"/>
          <w:u w:val="single"/>
        </w:rPr>
        <w:t>Fin de l'Option 2</w:t>
      </w:r>
    </w:p>
    <w:p w14:paraId="09AE4E64" w14:textId="77777777" w:rsidR="00361A9D" w:rsidRPr="00F0766D" w:rsidRDefault="00361A9D" w:rsidP="00411C49">
      <w:pPr>
        <w:pStyle w:val="Reasons"/>
      </w:pPr>
    </w:p>
    <w:p w14:paraId="682C7CC5" w14:textId="0A5D2D75" w:rsidR="00017F14" w:rsidRPr="00F0766D" w:rsidRDefault="00361A9D" w:rsidP="00361A9D">
      <w:pPr>
        <w:jc w:val="center"/>
      </w:pPr>
      <w:r w:rsidRPr="00F0766D">
        <w:t>______________</w:t>
      </w:r>
    </w:p>
    <w:sectPr w:rsidR="00017F14" w:rsidRPr="00F0766D">
      <w:headerReference w:type="default" r:id="rId21"/>
      <w:footerReference w:type="even" r:id="rId22"/>
      <w:footerReference w:type="default" r:id="rId23"/>
      <w:footerReference w:type="first" r:id="rId2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150A" w14:textId="77777777" w:rsidR="00CB685A" w:rsidRPr="00F0766D" w:rsidRDefault="00CB685A">
      <w:r w:rsidRPr="00F0766D">
        <w:separator/>
      </w:r>
    </w:p>
  </w:endnote>
  <w:endnote w:type="continuationSeparator" w:id="0">
    <w:p w14:paraId="600E1B8E" w14:textId="77777777" w:rsidR="00CB685A" w:rsidRPr="00F0766D" w:rsidRDefault="00CB685A">
      <w:r w:rsidRPr="00F076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CDA8" w14:textId="4208BB9E" w:rsidR="00936D25" w:rsidRPr="00F0766D" w:rsidRDefault="00936D25">
    <w:fldSimple w:instr=" FILENAME \p  \* MERGEFORMAT ">
      <w:r w:rsidR="000B50EE" w:rsidRPr="00F0766D">
        <w:t>P:\TRAD\F\ITU-R\CONF-R\CMR23\000\062ADD22ADD01FMontage.docx</w:t>
      </w:r>
    </w:fldSimple>
    <w:r w:rsidRPr="00F0766D">
      <w:tab/>
    </w:r>
    <w:r w:rsidRPr="00F0766D">
      <w:fldChar w:fldCharType="begin"/>
    </w:r>
    <w:r w:rsidRPr="00F0766D">
      <w:instrText xml:space="preserve"> SAVEDATE \@ DD.MM.YY </w:instrText>
    </w:r>
    <w:r w:rsidRPr="00F0766D">
      <w:fldChar w:fldCharType="separate"/>
    </w:r>
    <w:r w:rsidR="00B5234F" w:rsidRPr="00F0766D">
      <w:t>25.10.23</w:t>
    </w:r>
    <w:r w:rsidRPr="00F0766D">
      <w:fldChar w:fldCharType="end"/>
    </w:r>
    <w:r w:rsidRPr="00F0766D">
      <w:tab/>
    </w:r>
    <w:r w:rsidRPr="00F0766D">
      <w:fldChar w:fldCharType="begin"/>
    </w:r>
    <w:r w:rsidRPr="00F0766D">
      <w:instrText xml:space="preserve"> PRINTDATE \@ DD.MM.YY </w:instrText>
    </w:r>
    <w:r w:rsidRPr="00F0766D">
      <w:fldChar w:fldCharType="separate"/>
    </w:r>
    <w:r w:rsidR="000B50EE" w:rsidRPr="00F0766D">
      <w:t>05.06.03</w:t>
    </w:r>
    <w:r w:rsidRPr="00F0766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10D4" w14:textId="7698635B" w:rsidR="00936D25" w:rsidRPr="00F0766D" w:rsidRDefault="00936D25" w:rsidP="007B2C34">
    <w:pPr>
      <w:pStyle w:val="Footer"/>
      <w:rPr>
        <w:noProof w:val="0"/>
      </w:rPr>
    </w:pPr>
    <w:r w:rsidRPr="00F0766D">
      <w:rPr>
        <w:noProof w:val="0"/>
      </w:rPr>
      <w:fldChar w:fldCharType="begin"/>
    </w:r>
    <w:r w:rsidRPr="00F0766D">
      <w:rPr>
        <w:noProof w:val="0"/>
      </w:rPr>
      <w:instrText xml:space="preserve"> FILENAME \p  \* MERGEFORMAT </w:instrText>
    </w:r>
    <w:r w:rsidRPr="00F0766D">
      <w:rPr>
        <w:noProof w:val="0"/>
      </w:rPr>
      <w:fldChar w:fldCharType="separate"/>
    </w:r>
    <w:r w:rsidR="005213A8" w:rsidRPr="00F0766D">
      <w:rPr>
        <w:noProof w:val="0"/>
      </w:rPr>
      <w:t>P:\FRA\ITU-R\CONF-R\CMR23\000\062ADD22ADD01F.docx</w:t>
    </w:r>
    <w:r w:rsidRPr="00F0766D">
      <w:rPr>
        <w:noProof w:val="0"/>
      </w:rPr>
      <w:fldChar w:fldCharType="end"/>
    </w:r>
    <w:r w:rsidR="005213A8" w:rsidRPr="00F0766D">
      <w:rPr>
        <w:noProof w:val="0"/>
      </w:rPr>
      <w:t xml:space="preserve"> (528634)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E5E7" w14:textId="54685FF5" w:rsidR="00936D25" w:rsidRPr="00F0766D" w:rsidRDefault="005213A8" w:rsidP="005213A8">
    <w:pPr>
      <w:pStyle w:val="Footer"/>
      <w:rPr>
        <w:noProof w:val="0"/>
      </w:rPr>
    </w:pPr>
    <w:r w:rsidRPr="00F0766D">
      <w:rPr>
        <w:noProof w:val="0"/>
      </w:rPr>
      <w:fldChar w:fldCharType="begin"/>
    </w:r>
    <w:r w:rsidRPr="00F0766D">
      <w:rPr>
        <w:noProof w:val="0"/>
      </w:rPr>
      <w:instrText xml:space="preserve"> FILENAME \p  \* MERGEFORMAT </w:instrText>
    </w:r>
    <w:r w:rsidRPr="00F0766D">
      <w:rPr>
        <w:noProof w:val="0"/>
      </w:rPr>
      <w:fldChar w:fldCharType="separate"/>
    </w:r>
    <w:r w:rsidRPr="00F0766D">
      <w:rPr>
        <w:noProof w:val="0"/>
      </w:rPr>
      <w:t>P:\FRA\ITU-R\CONF-R\CMR23\000\062ADD22ADD01F.docx</w:t>
    </w:r>
    <w:r w:rsidRPr="00F0766D">
      <w:rPr>
        <w:noProof w:val="0"/>
      </w:rPr>
      <w:fldChar w:fldCharType="end"/>
    </w:r>
    <w:r w:rsidRPr="00F0766D">
      <w:rPr>
        <w:noProof w:val="0"/>
      </w:rPr>
      <w:t xml:space="preserve"> (528634)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0BED" w14:textId="77777777" w:rsidR="00CB685A" w:rsidRPr="00F0766D" w:rsidRDefault="00CB685A">
      <w:r w:rsidRPr="00F0766D">
        <w:rPr>
          <w:b/>
        </w:rPr>
        <w:t>_______________</w:t>
      </w:r>
    </w:p>
  </w:footnote>
  <w:footnote w:type="continuationSeparator" w:id="0">
    <w:p w14:paraId="1C1B4CD9" w14:textId="77777777" w:rsidR="00CB685A" w:rsidRPr="00F0766D" w:rsidRDefault="00CB685A">
      <w:r w:rsidRPr="00F0766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36A" w14:textId="08F028E9" w:rsidR="004F1F8E" w:rsidRPr="00F0766D" w:rsidRDefault="004F1F8E" w:rsidP="004F1F8E">
    <w:pPr>
      <w:pStyle w:val="Header"/>
    </w:pPr>
    <w:r w:rsidRPr="00F0766D">
      <w:fldChar w:fldCharType="begin"/>
    </w:r>
    <w:r w:rsidRPr="00F0766D">
      <w:instrText xml:space="preserve"> PAGE </w:instrText>
    </w:r>
    <w:r w:rsidRPr="00F0766D">
      <w:fldChar w:fldCharType="separate"/>
    </w:r>
    <w:r w:rsidR="00CC6B69" w:rsidRPr="00F0766D">
      <w:t>2</w:t>
    </w:r>
    <w:r w:rsidRPr="00F0766D">
      <w:fldChar w:fldCharType="end"/>
    </w:r>
  </w:p>
  <w:p w14:paraId="4A4BA99D" w14:textId="77777777" w:rsidR="004F1F8E" w:rsidRPr="00F0766D" w:rsidRDefault="00225CF2" w:rsidP="00FD7AA3">
    <w:pPr>
      <w:pStyle w:val="Header"/>
    </w:pPr>
    <w:r w:rsidRPr="00F0766D">
      <w:t>WRC</w:t>
    </w:r>
    <w:r w:rsidR="00D3426F" w:rsidRPr="00F0766D">
      <w:t>23</w:t>
    </w:r>
    <w:r w:rsidR="004F1F8E" w:rsidRPr="00F0766D">
      <w:t>/</w:t>
    </w:r>
    <w:r w:rsidR="006A4B45" w:rsidRPr="00F0766D">
      <w:t>62(Add.22)(Add.1)-</w:t>
    </w:r>
    <w:r w:rsidR="00010B43" w:rsidRPr="00F0766D">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14860308">
    <w:abstractNumId w:val="0"/>
  </w:num>
  <w:num w:numId="2" w16cid:durableId="101222490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rotte, Gabrielle">
    <w15:presenceInfo w15:providerId="AD" w15:userId="S::gabrielle.pirotte@itu.int::93c8552f-a467-458a-ab25-46e7a0d10ef6"/>
  </w15:person>
  <w15:person w15:author="Gozel, Elsa">
    <w15:presenceInfo w15:providerId="AD" w15:userId="S::elsa.gozel@itu.int::0e4703c4-f926-43ea-8edd-570dc7d2c0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80D"/>
    <w:rsid w:val="00007EC7"/>
    <w:rsid w:val="00010B43"/>
    <w:rsid w:val="00016648"/>
    <w:rsid w:val="00017F14"/>
    <w:rsid w:val="0003522F"/>
    <w:rsid w:val="00063668"/>
    <w:rsid w:val="00063A1F"/>
    <w:rsid w:val="00075CB1"/>
    <w:rsid w:val="00080E2C"/>
    <w:rsid w:val="00081366"/>
    <w:rsid w:val="000863B3"/>
    <w:rsid w:val="00086FD9"/>
    <w:rsid w:val="000A4755"/>
    <w:rsid w:val="000A55AE"/>
    <w:rsid w:val="000B2E0C"/>
    <w:rsid w:val="000B3D0C"/>
    <w:rsid w:val="000B50EE"/>
    <w:rsid w:val="000F68D3"/>
    <w:rsid w:val="001167B9"/>
    <w:rsid w:val="001267A0"/>
    <w:rsid w:val="001270C0"/>
    <w:rsid w:val="0015203F"/>
    <w:rsid w:val="00160C64"/>
    <w:rsid w:val="0018169B"/>
    <w:rsid w:val="0019352B"/>
    <w:rsid w:val="001960D0"/>
    <w:rsid w:val="001A11F6"/>
    <w:rsid w:val="001C26A4"/>
    <w:rsid w:val="001E377D"/>
    <w:rsid w:val="001F17E8"/>
    <w:rsid w:val="00204306"/>
    <w:rsid w:val="00225CF2"/>
    <w:rsid w:val="00232FD2"/>
    <w:rsid w:val="002647C9"/>
    <w:rsid w:val="0026554E"/>
    <w:rsid w:val="0027108B"/>
    <w:rsid w:val="002A4622"/>
    <w:rsid w:val="002A6F8F"/>
    <w:rsid w:val="002B17E5"/>
    <w:rsid w:val="002C091B"/>
    <w:rsid w:val="002C0EBF"/>
    <w:rsid w:val="002C28A4"/>
    <w:rsid w:val="002D7E0A"/>
    <w:rsid w:val="0031333D"/>
    <w:rsid w:val="00315AFE"/>
    <w:rsid w:val="00337120"/>
    <w:rsid w:val="003411F6"/>
    <w:rsid w:val="003606A6"/>
    <w:rsid w:val="00361A9D"/>
    <w:rsid w:val="0036650C"/>
    <w:rsid w:val="00393ACD"/>
    <w:rsid w:val="003A583E"/>
    <w:rsid w:val="003B53B9"/>
    <w:rsid w:val="003C7EAA"/>
    <w:rsid w:val="003E112B"/>
    <w:rsid w:val="003E1D1C"/>
    <w:rsid w:val="003E7B05"/>
    <w:rsid w:val="003F3719"/>
    <w:rsid w:val="003F6F2D"/>
    <w:rsid w:val="00430EC1"/>
    <w:rsid w:val="00446E09"/>
    <w:rsid w:val="00466211"/>
    <w:rsid w:val="00471D41"/>
    <w:rsid w:val="00483196"/>
    <w:rsid w:val="004834A9"/>
    <w:rsid w:val="004B651F"/>
    <w:rsid w:val="004D01FC"/>
    <w:rsid w:val="004D0E89"/>
    <w:rsid w:val="004E28C3"/>
    <w:rsid w:val="004F1F8E"/>
    <w:rsid w:val="00501A83"/>
    <w:rsid w:val="00512A32"/>
    <w:rsid w:val="005213A8"/>
    <w:rsid w:val="005343DA"/>
    <w:rsid w:val="00560874"/>
    <w:rsid w:val="00586CF2"/>
    <w:rsid w:val="005A7C75"/>
    <w:rsid w:val="005B7939"/>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5519C"/>
    <w:rsid w:val="00764342"/>
    <w:rsid w:val="00774362"/>
    <w:rsid w:val="00786598"/>
    <w:rsid w:val="00790C74"/>
    <w:rsid w:val="007A04E8"/>
    <w:rsid w:val="007B2C34"/>
    <w:rsid w:val="007E76B3"/>
    <w:rsid w:val="007F282B"/>
    <w:rsid w:val="00830086"/>
    <w:rsid w:val="008301D2"/>
    <w:rsid w:val="00846F14"/>
    <w:rsid w:val="0084780D"/>
    <w:rsid w:val="00851625"/>
    <w:rsid w:val="00853363"/>
    <w:rsid w:val="008559D8"/>
    <w:rsid w:val="00863C0A"/>
    <w:rsid w:val="008A3120"/>
    <w:rsid w:val="008A4B97"/>
    <w:rsid w:val="008C5B8E"/>
    <w:rsid w:val="008C5DD5"/>
    <w:rsid w:val="008C7123"/>
    <w:rsid w:val="008D41BE"/>
    <w:rsid w:val="008D58D3"/>
    <w:rsid w:val="008E3BC9"/>
    <w:rsid w:val="008E77BB"/>
    <w:rsid w:val="00923064"/>
    <w:rsid w:val="00930FFD"/>
    <w:rsid w:val="00936D25"/>
    <w:rsid w:val="00941EA5"/>
    <w:rsid w:val="00964700"/>
    <w:rsid w:val="00966C16"/>
    <w:rsid w:val="00985D29"/>
    <w:rsid w:val="00986D7C"/>
    <w:rsid w:val="0098732F"/>
    <w:rsid w:val="0099263A"/>
    <w:rsid w:val="009A045F"/>
    <w:rsid w:val="009A6A2B"/>
    <w:rsid w:val="009C7E7C"/>
    <w:rsid w:val="009D1593"/>
    <w:rsid w:val="009E0BD7"/>
    <w:rsid w:val="00A00473"/>
    <w:rsid w:val="00A03C9B"/>
    <w:rsid w:val="00A161B2"/>
    <w:rsid w:val="00A37105"/>
    <w:rsid w:val="00A606C3"/>
    <w:rsid w:val="00A70871"/>
    <w:rsid w:val="00A83B09"/>
    <w:rsid w:val="00A84541"/>
    <w:rsid w:val="00AB4F6A"/>
    <w:rsid w:val="00AE36A0"/>
    <w:rsid w:val="00AF3683"/>
    <w:rsid w:val="00B00294"/>
    <w:rsid w:val="00B3749C"/>
    <w:rsid w:val="00B5234F"/>
    <w:rsid w:val="00B64FD0"/>
    <w:rsid w:val="00BA5BD0"/>
    <w:rsid w:val="00BB1D82"/>
    <w:rsid w:val="00BC217E"/>
    <w:rsid w:val="00BD51C5"/>
    <w:rsid w:val="00BF26E7"/>
    <w:rsid w:val="00C1305F"/>
    <w:rsid w:val="00C14F50"/>
    <w:rsid w:val="00C53FCA"/>
    <w:rsid w:val="00C56431"/>
    <w:rsid w:val="00C71DEB"/>
    <w:rsid w:val="00C76BAF"/>
    <w:rsid w:val="00C814B9"/>
    <w:rsid w:val="00CA1809"/>
    <w:rsid w:val="00CA5BB9"/>
    <w:rsid w:val="00CB685A"/>
    <w:rsid w:val="00CC6B69"/>
    <w:rsid w:val="00CD516F"/>
    <w:rsid w:val="00CD7441"/>
    <w:rsid w:val="00D02D57"/>
    <w:rsid w:val="00D119A7"/>
    <w:rsid w:val="00D1314C"/>
    <w:rsid w:val="00D25FBA"/>
    <w:rsid w:val="00D32B28"/>
    <w:rsid w:val="00D3426F"/>
    <w:rsid w:val="00D42954"/>
    <w:rsid w:val="00D47D0A"/>
    <w:rsid w:val="00D5044D"/>
    <w:rsid w:val="00D66EAC"/>
    <w:rsid w:val="00D730DF"/>
    <w:rsid w:val="00D772F0"/>
    <w:rsid w:val="00D77BDC"/>
    <w:rsid w:val="00DC402B"/>
    <w:rsid w:val="00DE0932"/>
    <w:rsid w:val="00DF15E8"/>
    <w:rsid w:val="00E03A27"/>
    <w:rsid w:val="00E049F1"/>
    <w:rsid w:val="00E34DB1"/>
    <w:rsid w:val="00E37A25"/>
    <w:rsid w:val="00E537FF"/>
    <w:rsid w:val="00E60CB2"/>
    <w:rsid w:val="00E6539B"/>
    <w:rsid w:val="00E70A31"/>
    <w:rsid w:val="00E723A7"/>
    <w:rsid w:val="00E81420"/>
    <w:rsid w:val="00EA3F38"/>
    <w:rsid w:val="00EA5AB6"/>
    <w:rsid w:val="00EC7615"/>
    <w:rsid w:val="00ED16AA"/>
    <w:rsid w:val="00ED6B8D"/>
    <w:rsid w:val="00EE3D7B"/>
    <w:rsid w:val="00EF662E"/>
    <w:rsid w:val="00F0766D"/>
    <w:rsid w:val="00F10064"/>
    <w:rsid w:val="00F148F1"/>
    <w:rsid w:val="00F156F8"/>
    <w:rsid w:val="00F32BA4"/>
    <w:rsid w:val="00F32D93"/>
    <w:rsid w:val="00F45B64"/>
    <w:rsid w:val="00F711A7"/>
    <w:rsid w:val="00FA3BBF"/>
    <w:rsid w:val="00FC41F8"/>
    <w:rsid w:val="00FD7AA3"/>
    <w:rsid w:val="00FF0AE7"/>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0C25BA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qFormat/>
    <w:rsid w:val="00927C5B"/>
    <w:rPr>
      <w:rFonts w:ascii="Times New Roman" w:hAnsi="Times New Roman"/>
      <w:lang w:val="fr-FR" w:eastAsia="en-US"/>
    </w:rPr>
  </w:style>
  <w:style w:type="paragraph" w:customStyle="1" w:styleId="Normalaftertitle0">
    <w:name w:val="Normal_after_title"/>
    <w:basedOn w:val="Normal"/>
    <w:next w:val="Normal"/>
    <w:qFormat/>
    <w:rsid w:val="00B3001C"/>
    <w:pPr>
      <w:spacing w:before="360"/>
    </w:p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853363"/>
    <w:rPr>
      <w:sz w:val="16"/>
      <w:szCs w:val="16"/>
    </w:rPr>
  </w:style>
  <w:style w:type="paragraph" w:styleId="CommentText">
    <w:name w:val="annotation text"/>
    <w:basedOn w:val="Normal"/>
    <w:link w:val="CommentTextChar"/>
    <w:unhideWhenUsed/>
    <w:rsid w:val="00853363"/>
    <w:rPr>
      <w:sz w:val="20"/>
    </w:rPr>
  </w:style>
  <w:style w:type="character" w:customStyle="1" w:styleId="CommentTextChar">
    <w:name w:val="Comment Text Char"/>
    <w:basedOn w:val="DefaultParagraphFont"/>
    <w:link w:val="CommentText"/>
    <w:rsid w:val="00853363"/>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853363"/>
    <w:rPr>
      <w:b/>
      <w:bCs/>
    </w:rPr>
  </w:style>
  <w:style w:type="character" w:customStyle="1" w:styleId="CommentSubjectChar">
    <w:name w:val="Comment Subject Char"/>
    <w:basedOn w:val="CommentTextChar"/>
    <w:link w:val="CommentSubject"/>
    <w:semiHidden/>
    <w:rsid w:val="00853363"/>
    <w:rPr>
      <w:rFonts w:ascii="Times New Roman" w:hAnsi="Times New Roman"/>
      <w:b/>
      <w:bCs/>
      <w:lang w:val="fr-FR" w:eastAsia="en-US"/>
    </w:rPr>
  </w:style>
  <w:style w:type="paragraph" w:styleId="Revision">
    <w:name w:val="Revision"/>
    <w:hidden/>
    <w:uiPriority w:val="99"/>
    <w:semiHidden/>
    <w:rsid w:val="0085336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R23-WRC23-C-0062!A22-A1!MSW-F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E979DB40-E266-46F4-864A-C28AC9266B96}">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8AED83C0-9CA4-4C5D-B597-AD1A74430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4C794-CB55-4E42-9761-F6C45A6F782F}">
  <ds:schemaRefs>
    <ds:schemaRef ds:uri="http://purl.org/dc/terms/"/>
    <ds:schemaRef ds:uri="http://schemas.microsoft.com/office/2006/metadata/properties"/>
    <ds:schemaRef ds:uri="http://schemas.openxmlformats.org/package/2006/metadata/core-properties"/>
    <ds:schemaRef ds:uri="http://purl.org/dc/elements/1.1/"/>
    <ds:schemaRef ds:uri="996b2e75-67fd-4955-a3b0-5ab9934cb50b"/>
    <ds:schemaRef ds:uri="http://schemas.microsoft.com/office/2006/documentManagement/types"/>
    <ds:schemaRef ds:uri="http://purl.org/dc/dcmitype/"/>
    <ds:schemaRef ds:uri="http://schemas.microsoft.com/office/infopath/2007/PartnerControls"/>
    <ds:schemaRef ds:uri="32a1a8c5-2265-4ebc-b7a0-2071e2c5c9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2895</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R23-WRC23-C-0062!A22-A1!MSW-F</vt:lpstr>
    </vt:vector>
  </TitlesOfParts>
  <Manager>Secrétariat général - Pool</Manager>
  <Company>Union internationale des télécommunications (UIT)</Company>
  <LinksUpToDate>false</LinksUpToDate>
  <CharactersWithSpaces>19229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R23-WRC23-C-0062!A22-A1!MSW-F</dc:title>
  <dc:subject>Conférence mondiale des radiocommunications - 2019</dc:subject>
  <dc:creator>Documents Proposals Manager (DPM)</dc:creator>
  <cp:keywords>DPM_v2023.8.1.1_prod</cp:keywords>
  <dc:description/>
  <cp:lastModifiedBy>Gozel, Elsa</cp:lastModifiedBy>
  <cp:revision>10</cp:revision>
  <cp:lastPrinted>2003-06-05T19:34:00Z</cp:lastPrinted>
  <dcterms:created xsi:type="dcterms:W3CDTF">2023-10-25T06:23:00Z</dcterms:created>
  <dcterms:modified xsi:type="dcterms:W3CDTF">2023-10-26T17:51:00Z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