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4C3AF7" w14:paraId="03FD2CEA" w14:textId="77777777" w:rsidTr="0080079E">
        <w:trPr>
          <w:cantSplit/>
        </w:trPr>
        <w:tc>
          <w:tcPr>
            <w:tcW w:w="1418" w:type="dxa"/>
            <w:vAlign w:val="center"/>
          </w:tcPr>
          <w:p w14:paraId="744DF87E" w14:textId="77777777" w:rsidR="0080079E" w:rsidRPr="004C3AF7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4C3AF7">
              <w:rPr>
                <w:noProof/>
              </w:rPr>
              <w:drawing>
                <wp:inline distT="0" distB="0" distL="0" distR="0" wp14:anchorId="27983A6E" wp14:editId="1606541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E42E37F" w14:textId="77777777" w:rsidR="0080079E" w:rsidRPr="004C3AF7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C3AF7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4C3AF7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C3AF7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71E645E" w14:textId="77777777" w:rsidR="0080079E" w:rsidRPr="004C3AF7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4C3AF7">
              <w:rPr>
                <w:noProof/>
              </w:rPr>
              <w:drawing>
                <wp:inline distT="0" distB="0" distL="0" distR="0" wp14:anchorId="0BD4F729" wp14:editId="041A9C97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C3AF7" w14:paraId="34F3B91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2B0BA6B" w14:textId="77777777" w:rsidR="0090121B" w:rsidRPr="004C3AF7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0EC5131" w14:textId="77777777" w:rsidR="0090121B" w:rsidRPr="004C3AF7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C3AF7" w14:paraId="30460C6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5107D9A" w14:textId="77777777" w:rsidR="0090121B" w:rsidRPr="004C3AF7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4AF330B" w14:textId="77777777" w:rsidR="0090121B" w:rsidRPr="004C3AF7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C3AF7" w14:paraId="1B53BCC9" w14:textId="77777777" w:rsidTr="0090121B">
        <w:trPr>
          <w:cantSplit/>
        </w:trPr>
        <w:tc>
          <w:tcPr>
            <w:tcW w:w="6911" w:type="dxa"/>
            <w:gridSpan w:val="2"/>
          </w:tcPr>
          <w:p w14:paraId="0A55C7D9" w14:textId="77777777" w:rsidR="0090121B" w:rsidRPr="004C3AF7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4C3AF7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7E084CF" w14:textId="77777777" w:rsidR="0090121B" w:rsidRPr="004C3AF7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4C3AF7">
              <w:rPr>
                <w:rFonts w:ascii="Verdana" w:hAnsi="Verdana"/>
                <w:b/>
                <w:sz w:val="18"/>
                <w:szCs w:val="18"/>
              </w:rPr>
              <w:t>Addéndum 22 al</w:t>
            </w:r>
            <w:r w:rsidRPr="004C3AF7">
              <w:rPr>
                <w:rFonts w:ascii="Verdana" w:hAnsi="Verdana"/>
                <w:b/>
                <w:sz w:val="18"/>
                <w:szCs w:val="18"/>
              </w:rPr>
              <w:br/>
              <w:t>Documento 62</w:t>
            </w:r>
            <w:r w:rsidR="0090121B" w:rsidRPr="004C3AF7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4C3AF7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4C3AF7" w14:paraId="71651E92" w14:textId="77777777" w:rsidTr="0090121B">
        <w:trPr>
          <w:cantSplit/>
        </w:trPr>
        <w:tc>
          <w:tcPr>
            <w:tcW w:w="6911" w:type="dxa"/>
            <w:gridSpan w:val="2"/>
          </w:tcPr>
          <w:p w14:paraId="767E3EB6" w14:textId="77777777" w:rsidR="000A5B9A" w:rsidRPr="004C3AF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6438C832" w14:textId="77777777" w:rsidR="000A5B9A" w:rsidRPr="004C3AF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C3AF7">
              <w:rPr>
                <w:rFonts w:ascii="Verdana" w:hAnsi="Verdana"/>
                <w:b/>
                <w:sz w:val="18"/>
                <w:szCs w:val="18"/>
              </w:rPr>
              <w:t>26 de septiembre de 2023</w:t>
            </w:r>
          </w:p>
        </w:tc>
      </w:tr>
      <w:tr w:rsidR="000A5B9A" w:rsidRPr="004C3AF7" w14:paraId="439F9617" w14:textId="77777777" w:rsidTr="0090121B">
        <w:trPr>
          <w:cantSplit/>
        </w:trPr>
        <w:tc>
          <w:tcPr>
            <w:tcW w:w="6911" w:type="dxa"/>
            <w:gridSpan w:val="2"/>
          </w:tcPr>
          <w:p w14:paraId="4F52C345" w14:textId="77777777" w:rsidR="000A5B9A" w:rsidRPr="004C3AF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51A0E33" w14:textId="77777777" w:rsidR="000A5B9A" w:rsidRPr="004C3AF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C3AF7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4C3AF7" w14:paraId="2F1EF42A" w14:textId="77777777" w:rsidTr="006744FC">
        <w:trPr>
          <w:cantSplit/>
        </w:trPr>
        <w:tc>
          <w:tcPr>
            <w:tcW w:w="10031" w:type="dxa"/>
            <w:gridSpan w:val="4"/>
          </w:tcPr>
          <w:p w14:paraId="5C4DC8D8" w14:textId="77777777" w:rsidR="000A5B9A" w:rsidRPr="004C3AF7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4C3AF7" w14:paraId="2D819AEE" w14:textId="77777777" w:rsidTr="0050008E">
        <w:trPr>
          <w:cantSplit/>
        </w:trPr>
        <w:tc>
          <w:tcPr>
            <w:tcW w:w="10031" w:type="dxa"/>
            <w:gridSpan w:val="4"/>
          </w:tcPr>
          <w:p w14:paraId="5189C619" w14:textId="77777777" w:rsidR="000A5B9A" w:rsidRPr="004C3AF7" w:rsidRDefault="000A5B9A" w:rsidP="000A5B9A">
            <w:pPr>
              <w:pStyle w:val="Source"/>
            </w:pPr>
            <w:bookmarkStart w:id="2" w:name="dsource" w:colFirst="0" w:colLast="0"/>
            <w:r w:rsidRPr="004C3AF7">
              <w:t>Propuestas Comunes de la Telecomunidad Asia-Pacífico</w:t>
            </w:r>
          </w:p>
        </w:tc>
      </w:tr>
      <w:tr w:rsidR="000A5B9A" w:rsidRPr="004C3AF7" w14:paraId="7AA828F9" w14:textId="77777777" w:rsidTr="0050008E">
        <w:trPr>
          <w:cantSplit/>
        </w:trPr>
        <w:tc>
          <w:tcPr>
            <w:tcW w:w="10031" w:type="dxa"/>
            <w:gridSpan w:val="4"/>
          </w:tcPr>
          <w:p w14:paraId="60215AE0" w14:textId="1887EB90" w:rsidR="000A5B9A" w:rsidRPr="004C3AF7" w:rsidRDefault="004C3AF7" w:rsidP="000A5B9A">
            <w:pPr>
              <w:pStyle w:val="Title1"/>
            </w:pPr>
            <w:bookmarkStart w:id="3" w:name="dtitle1" w:colFirst="0" w:colLast="0"/>
            <w:bookmarkEnd w:id="2"/>
            <w:r w:rsidRPr="004C3AF7">
              <w:t>PROPUESTAS PARA LOS TRABAJOS DE LA CONFERENCIA</w:t>
            </w:r>
          </w:p>
        </w:tc>
      </w:tr>
      <w:tr w:rsidR="000A5B9A" w:rsidRPr="004C3AF7" w14:paraId="419D08F7" w14:textId="77777777" w:rsidTr="0050008E">
        <w:trPr>
          <w:cantSplit/>
        </w:trPr>
        <w:tc>
          <w:tcPr>
            <w:tcW w:w="10031" w:type="dxa"/>
            <w:gridSpan w:val="4"/>
          </w:tcPr>
          <w:p w14:paraId="2038E45A" w14:textId="77777777" w:rsidR="000A5B9A" w:rsidRPr="004C3AF7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4C3AF7" w14:paraId="509FC86C" w14:textId="77777777" w:rsidTr="0050008E">
        <w:trPr>
          <w:cantSplit/>
        </w:trPr>
        <w:tc>
          <w:tcPr>
            <w:tcW w:w="10031" w:type="dxa"/>
            <w:gridSpan w:val="4"/>
          </w:tcPr>
          <w:p w14:paraId="406DD561" w14:textId="77777777" w:rsidR="000A5B9A" w:rsidRPr="004C3AF7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4C3AF7">
              <w:t>Punto 7 del orden del día</w:t>
            </w:r>
          </w:p>
        </w:tc>
      </w:tr>
    </w:tbl>
    <w:bookmarkEnd w:id="5"/>
    <w:p w14:paraId="55578467" w14:textId="5081DEF5" w:rsidR="004C3AF7" w:rsidRPr="004C3AF7" w:rsidRDefault="007E2323" w:rsidP="004C3AF7">
      <w:r w:rsidRPr="004C3AF7">
        <w:t>7</w:t>
      </w:r>
      <w:r w:rsidRPr="004C3AF7">
        <w:tab/>
        <w:t>considerar posibles modificaciones para responder a lo dispuesto en la Resolución</w:t>
      </w:r>
      <w:r w:rsidR="00637930">
        <w:t> </w:t>
      </w:r>
      <w:r w:rsidRPr="004C3AF7">
        <w:t>86</w:t>
      </w:r>
      <w:r w:rsidR="00637930">
        <w:t> </w:t>
      </w:r>
      <w:r w:rsidRPr="004C3AF7">
        <w:t>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4C3AF7">
        <w:rPr>
          <w:b/>
          <w:bCs/>
        </w:rPr>
        <w:t>86 (Rev.CMR-07</w:t>
      </w:r>
      <w:r w:rsidRPr="004C3AF7">
        <w:rPr>
          <w:b/>
        </w:rPr>
        <w:t>)</w:t>
      </w:r>
      <w:r w:rsidRPr="004C3AF7">
        <w:rPr>
          <w:b/>
          <w:bCs/>
        </w:rPr>
        <w:t xml:space="preserve">, </w:t>
      </w:r>
      <w:r w:rsidRPr="004C3AF7">
        <w:t>para facilitar el uso</w:t>
      </w:r>
      <w:r w:rsidRPr="004C3AF7">
        <w:rPr>
          <w:b/>
          <w:bCs/>
        </w:rPr>
        <w:t xml:space="preserve"> </w:t>
      </w:r>
      <w:r w:rsidRPr="004C3AF7">
        <w:t>racional, eficiente y económico de las radiofrecuencias y órbitas asociadas, incluida la órbita de los satélites geoestacionarios;</w:t>
      </w:r>
    </w:p>
    <w:p w14:paraId="197F4161" w14:textId="0F7B3365" w:rsidR="004C3AF7" w:rsidRPr="004C3AF7" w:rsidRDefault="004C3AF7" w:rsidP="004C3AF7">
      <w:pPr>
        <w:pStyle w:val="Headingb"/>
      </w:pPr>
      <w:r w:rsidRPr="004C3AF7">
        <w:t>Introducción</w:t>
      </w:r>
    </w:p>
    <w:p w14:paraId="7A541FAD" w14:textId="10ADBB65" w:rsidR="004C3AF7" w:rsidRPr="004C3AF7" w:rsidRDefault="004C3AF7" w:rsidP="00763152">
      <w:pPr>
        <w:spacing w:after="120"/>
        <w:rPr>
          <w:lang w:val="es-ES"/>
        </w:rPr>
      </w:pPr>
      <w:r w:rsidRPr="004C3AF7">
        <w:t xml:space="preserve">Las Propuestas Comunes de la APT sobre el punto 7 del orden del día de la CMR-23 se presentan en los addenda </w:t>
      </w:r>
      <w:r>
        <w:t>al presente</w:t>
      </w:r>
      <w:r w:rsidRPr="004C3AF7">
        <w:t xml:space="preserve"> documento</w:t>
      </w:r>
      <w:r w:rsidR="00D05DF1">
        <w:t>,</w:t>
      </w:r>
      <w:r>
        <w:t xml:space="preserve"> </w:t>
      </w:r>
      <w:r w:rsidR="00D05DF1">
        <w:t>según se indica</w:t>
      </w:r>
      <w:r w:rsidRPr="004C3AF7">
        <w:t xml:space="preserve"> en el siguiente cuadro:</w:t>
      </w:r>
    </w:p>
    <w:tbl>
      <w:tblPr>
        <w:tblStyle w:val="TableGrid"/>
        <w:tblW w:w="8817" w:type="dxa"/>
        <w:jc w:val="center"/>
        <w:tblLook w:val="04A0" w:firstRow="1" w:lastRow="0" w:firstColumn="1" w:lastColumn="0" w:noHBand="0" w:noVBand="1"/>
      </w:tblPr>
      <w:tblGrid>
        <w:gridCol w:w="5130"/>
        <w:gridCol w:w="3687"/>
      </w:tblGrid>
      <w:tr w:rsidR="004C3AF7" w:rsidRPr="004C3AF7" w14:paraId="5BFB62D4" w14:textId="77777777" w:rsidTr="006974A6">
        <w:trPr>
          <w:cantSplit/>
          <w:tblHeader/>
          <w:jc w:val="center"/>
        </w:trPr>
        <w:tc>
          <w:tcPr>
            <w:tcW w:w="5130" w:type="dxa"/>
          </w:tcPr>
          <w:p w14:paraId="0850390C" w14:textId="76E8591A" w:rsidR="004C3AF7" w:rsidRPr="004C3AF7" w:rsidRDefault="003F7BFD" w:rsidP="006974A6">
            <w:pPr>
              <w:pStyle w:val="Tablehead"/>
            </w:pPr>
            <w:r w:rsidRPr="003F7BFD">
              <w:t>Tema del punto 7 del orden del día</w:t>
            </w:r>
          </w:p>
        </w:tc>
        <w:tc>
          <w:tcPr>
            <w:tcW w:w="3687" w:type="dxa"/>
          </w:tcPr>
          <w:p w14:paraId="08A924F4" w14:textId="3BCC2DB2" w:rsidR="004C3AF7" w:rsidRPr="004C3AF7" w:rsidRDefault="003F7BFD" w:rsidP="006974A6">
            <w:pPr>
              <w:pStyle w:val="Tablehead"/>
            </w:pPr>
            <w:r w:rsidRPr="004C3AF7">
              <w:t>Addéndum</w:t>
            </w:r>
          </w:p>
        </w:tc>
      </w:tr>
      <w:tr w:rsidR="004C3AF7" w:rsidRPr="004C3AF7" w14:paraId="5F48312E" w14:textId="77777777" w:rsidTr="006974A6">
        <w:trPr>
          <w:cantSplit/>
          <w:jc w:val="center"/>
        </w:trPr>
        <w:tc>
          <w:tcPr>
            <w:tcW w:w="5130" w:type="dxa"/>
          </w:tcPr>
          <w:p w14:paraId="560B5613" w14:textId="51F26479" w:rsidR="007E143C" w:rsidRPr="000F2592" w:rsidRDefault="003F7BFD" w:rsidP="000F2592">
            <w:pPr>
              <w:pStyle w:val="Tabletext"/>
              <w:rPr>
                <w:lang w:val="es-ES"/>
              </w:rPr>
            </w:pPr>
            <w:r>
              <w:rPr>
                <w:b/>
                <w:bCs/>
              </w:rPr>
              <w:t xml:space="preserve">Tema </w:t>
            </w:r>
            <w:r w:rsidR="004C3AF7" w:rsidRPr="004C3AF7">
              <w:rPr>
                <w:b/>
                <w:bCs/>
              </w:rPr>
              <w:t>A</w:t>
            </w:r>
            <w:r w:rsidR="004C3AF7" w:rsidRPr="004C3AF7">
              <w:t xml:space="preserve"> – </w:t>
            </w:r>
            <w:r w:rsidRPr="003F7BFD">
              <w:t>Tolerancias orbitales</w:t>
            </w:r>
            <w:r w:rsidR="00D05DF1">
              <w:t xml:space="preserve"> para sistemas</w:t>
            </w:r>
            <w:r w:rsidRPr="003F7BFD">
              <w:t xml:space="preserve"> no OSG</w:t>
            </w:r>
          </w:p>
        </w:tc>
        <w:tc>
          <w:tcPr>
            <w:tcW w:w="3687" w:type="dxa"/>
          </w:tcPr>
          <w:p w14:paraId="0BF208CC" w14:textId="7CB977A5" w:rsidR="004C3AF7" w:rsidRPr="004C3AF7" w:rsidRDefault="00D05DF1" w:rsidP="006974A6">
            <w:pPr>
              <w:pStyle w:val="Tabletext"/>
            </w:pPr>
            <w:r>
              <w:t xml:space="preserve">Addéndum </w:t>
            </w:r>
            <w:r w:rsidR="004C3AF7" w:rsidRPr="004C3AF7">
              <w:t>1 (Add.22)</w:t>
            </w:r>
          </w:p>
        </w:tc>
      </w:tr>
      <w:tr w:rsidR="004C3AF7" w:rsidRPr="004C3AF7" w14:paraId="4F245956" w14:textId="77777777" w:rsidTr="006974A6">
        <w:trPr>
          <w:cantSplit/>
          <w:jc w:val="center"/>
        </w:trPr>
        <w:tc>
          <w:tcPr>
            <w:tcW w:w="5130" w:type="dxa"/>
          </w:tcPr>
          <w:p w14:paraId="6F939EF4" w14:textId="6DCEF75C" w:rsidR="007E143C" w:rsidRPr="007E143C" w:rsidRDefault="003F7BFD" w:rsidP="000F2592">
            <w:pPr>
              <w:pStyle w:val="Tabletext"/>
              <w:rPr>
                <w:lang w:val="es-ES"/>
              </w:rPr>
            </w:pPr>
            <w:r w:rsidRPr="003F7BFD">
              <w:rPr>
                <w:b/>
                <w:bCs/>
                <w:lang w:val="es-ES"/>
              </w:rPr>
              <w:t xml:space="preserve">Tema </w:t>
            </w:r>
            <w:r w:rsidR="004C3AF7" w:rsidRPr="003F7BFD">
              <w:rPr>
                <w:b/>
                <w:bCs/>
                <w:lang w:val="es-ES"/>
              </w:rPr>
              <w:t xml:space="preserve">B </w:t>
            </w:r>
            <w:r w:rsidR="004C3AF7" w:rsidRPr="003F7BFD">
              <w:rPr>
                <w:lang w:val="es-ES"/>
              </w:rPr>
              <w:t xml:space="preserve">– </w:t>
            </w:r>
            <w:r w:rsidRPr="003F7BFD">
              <w:rPr>
                <w:lang w:val="es-ES"/>
              </w:rPr>
              <w:t xml:space="preserve">Elaboración de informes </w:t>
            </w:r>
            <w:r>
              <w:rPr>
                <w:lang w:val="es-ES"/>
              </w:rPr>
              <w:t>con posterioridad</w:t>
            </w:r>
            <w:r w:rsidRPr="003F7BFD">
              <w:rPr>
                <w:lang w:val="es-ES"/>
              </w:rPr>
              <w:t xml:space="preserve"> a </w:t>
            </w:r>
            <w:r>
              <w:rPr>
                <w:lang w:val="es-ES"/>
              </w:rPr>
              <w:t>cada</w:t>
            </w:r>
            <w:r w:rsidRPr="003F7BFD">
              <w:rPr>
                <w:lang w:val="es-ES"/>
              </w:rPr>
              <w:t xml:space="preserve"> objetivo intermedio</w:t>
            </w:r>
          </w:p>
        </w:tc>
        <w:tc>
          <w:tcPr>
            <w:tcW w:w="3687" w:type="dxa"/>
          </w:tcPr>
          <w:p w14:paraId="0D45F067" w14:textId="33892D73" w:rsidR="004C3AF7" w:rsidRPr="004C3AF7" w:rsidRDefault="00D05DF1" w:rsidP="006974A6">
            <w:pPr>
              <w:pStyle w:val="Tabletext"/>
            </w:pPr>
            <w:r>
              <w:t xml:space="preserve">Addéndum </w:t>
            </w:r>
            <w:r w:rsidR="004C3AF7" w:rsidRPr="004C3AF7">
              <w:t>2 (Add.22)</w:t>
            </w:r>
          </w:p>
        </w:tc>
      </w:tr>
      <w:tr w:rsidR="004C3AF7" w:rsidRPr="004C3AF7" w14:paraId="6D07B382" w14:textId="77777777" w:rsidTr="006974A6">
        <w:trPr>
          <w:cantSplit/>
          <w:jc w:val="center"/>
        </w:trPr>
        <w:tc>
          <w:tcPr>
            <w:tcW w:w="5130" w:type="dxa"/>
          </w:tcPr>
          <w:p w14:paraId="408421BE" w14:textId="748B6585" w:rsidR="007E143C" w:rsidRPr="000F2592" w:rsidRDefault="003F7BFD" w:rsidP="000F2592">
            <w:pPr>
              <w:pStyle w:val="Tabletext"/>
              <w:rPr>
                <w:lang w:val="es-ES"/>
              </w:rPr>
            </w:pPr>
            <w:r>
              <w:rPr>
                <w:b/>
                <w:bCs/>
              </w:rPr>
              <w:t xml:space="preserve">Tema </w:t>
            </w:r>
            <w:r w:rsidR="004C3AF7" w:rsidRPr="004C3AF7">
              <w:rPr>
                <w:b/>
                <w:bCs/>
              </w:rPr>
              <w:t>C</w:t>
            </w:r>
            <w:r w:rsidR="004C3AF7" w:rsidRPr="004C3AF7">
              <w:t xml:space="preserve"> – </w:t>
            </w:r>
            <w:r w:rsidRPr="003F7BFD">
              <w:t xml:space="preserve">Protección de </w:t>
            </w:r>
            <w:r w:rsidR="00D05DF1">
              <w:t>los sistemas</w:t>
            </w:r>
            <w:r w:rsidRPr="003F7BFD">
              <w:t xml:space="preserve"> </w:t>
            </w:r>
            <w:r>
              <w:t>OSG</w:t>
            </w:r>
            <w:r w:rsidRPr="003F7BFD">
              <w:t xml:space="preserve"> del SMS en las bandas 7/8 y 20/30</w:t>
            </w:r>
            <w:r w:rsidR="000F2592">
              <w:t> </w:t>
            </w:r>
            <w:r w:rsidRPr="003F7BFD">
              <w:t>GHz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280F4646" w14:textId="3B3D3F29" w:rsidR="004C3AF7" w:rsidRPr="004C3AF7" w:rsidRDefault="00D05DF1" w:rsidP="006974A6">
            <w:pPr>
              <w:pStyle w:val="Tabletext"/>
            </w:pPr>
            <w:r>
              <w:t xml:space="preserve">Addéndum </w:t>
            </w:r>
            <w:r w:rsidR="004C3AF7" w:rsidRPr="004C3AF7">
              <w:t>3 (Add.22)</w:t>
            </w:r>
          </w:p>
        </w:tc>
      </w:tr>
      <w:tr w:rsidR="004C3AF7" w:rsidRPr="004C3AF7" w14:paraId="6B710EE3" w14:textId="77777777" w:rsidTr="006974A6">
        <w:trPr>
          <w:cantSplit/>
          <w:jc w:val="center"/>
        </w:trPr>
        <w:tc>
          <w:tcPr>
            <w:tcW w:w="5130" w:type="dxa"/>
          </w:tcPr>
          <w:p w14:paraId="5B7E7863" w14:textId="1C4B4D0E" w:rsidR="004C3AF7" w:rsidRPr="004C3AF7" w:rsidRDefault="003F7BFD" w:rsidP="006974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Tema </w:t>
            </w:r>
            <w:r w:rsidR="004C3AF7" w:rsidRPr="004C3AF7">
              <w:rPr>
                <w:b/>
                <w:bCs/>
              </w:rPr>
              <w:t>D:</w:t>
            </w:r>
          </w:p>
          <w:p w14:paraId="1DDD590A" w14:textId="4DB3F10D" w:rsidR="004C3AF7" w:rsidRPr="003F7BFD" w:rsidRDefault="004C3AF7" w:rsidP="006974A6">
            <w:pPr>
              <w:pStyle w:val="Tabletext"/>
            </w:pPr>
            <w:r w:rsidRPr="004C3AF7">
              <w:t>D1 – Mod</w:t>
            </w:r>
            <w:r w:rsidR="00E83C12">
              <w:t>ificación</w:t>
            </w:r>
            <w:r w:rsidRPr="004C3AF7">
              <w:t xml:space="preserve"> </w:t>
            </w:r>
            <w:r w:rsidR="00D05DF1">
              <w:t>de</w:t>
            </w:r>
            <w:r w:rsidR="003F7BFD">
              <w:t>l</w:t>
            </w:r>
            <w:r w:rsidRPr="004C3AF7">
              <w:t xml:space="preserve"> Ap</w:t>
            </w:r>
            <w:r w:rsidR="00E83C12">
              <w:t>éndice</w:t>
            </w:r>
            <w:r w:rsidRPr="004C3AF7">
              <w:t xml:space="preserve"> 1 </w:t>
            </w:r>
            <w:r w:rsidR="00002A43">
              <w:t>a</w:t>
            </w:r>
            <w:r w:rsidR="003F7BFD">
              <w:t>l</w:t>
            </w:r>
            <w:r w:rsidRPr="004C3AF7">
              <w:t xml:space="preserve"> Anex</w:t>
            </w:r>
            <w:r w:rsidR="003F7BFD">
              <w:t>o</w:t>
            </w:r>
            <w:r w:rsidRPr="004C3AF7">
              <w:t xml:space="preserve"> 4</w:t>
            </w:r>
            <w:r w:rsidR="00002A43">
              <w:t xml:space="preserve"> de</w:t>
            </w:r>
            <w:r w:rsidR="003F7BFD">
              <w:t>l</w:t>
            </w:r>
            <w:r w:rsidRPr="004C3AF7">
              <w:t xml:space="preserve"> AP</w:t>
            </w:r>
            <w:r w:rsidRPr="004C3AF7">
              <w:rPr>
                <w:b/>
                <w:bCs/>
              </w:rPr>
              <w:t>30B</w:t>
            </w:r>
            <w:r w:rsidR="003F7BFD">
              <w:t xml:space="preserve"> del RR</w:t>
            </w:r>
          </w:p>
          <w:p w14:paraId="4FAD9DC3" w14:textId="505CC96B" w:rsidR="004C3AF7" w:rsidRPr="004C3AF7" w:rsidRDefault="004C3AF7" w:rsidP="006974A6">
            <w:pPr>
              <w:pStyle w:val="Tabletext"/>
            </w:pPr>
            <w:r w:rsidRPr="004C3AF7">
              <w:t>D2 – N</w:t>
            </w:r>
            <w:r w:rsidR="003F7BFD">
              <w:t>uevos parámetros del</w:t>
            </w:r>
            <w:r w:rsidRPr="004C3AF7">
              <w:t xml:space="preserve"> AP</w:t>
            </w:r>
            <w:r w:rsidRPr="004C3AF7">
              <w:rPr>
                <w:b/>
                <w:bCs/>
              </w:rPr>
              <w:t>4</w:t>
            </w:r>
            <w:r w:rsidRPr="004C3AF7">
              <w:t xml:space="preserve"> </w:t>
            </w:r>
            <w:r w:rsidR="003F7BFD">
              <w:t>para las actualizaciones de la</w:t>
            </w:r>
            <w:r w:rsidRPr="004C3AF7">
              <w:t xml:space="preserve"> Rec. U</w:t>
            </w:r>
            <w:r w:rsidR="003F7BFD">
              <w:t>IT</w:t>
            </w:r>
            <w:r w:rsidRPr="004C3AF7">
              <w:t>-R S.1503</w:t>
            </w:r>
          </w:p>
          <w:p w14:paraId="528A2678" w14:textId="4ADA8B84" w:rsidR="007E143C" w:rsidRPr="000F2592" w:rsidRDefault="004C3AF7" w:rsidP="000F2592">
            <w:pPr>
              <w:pStyle w:val="Tabletext"/>
              <w:rPr>
                <w:lang w:val="es-ES"/>
              </w:rPr>
            </w:pPr>
            <w:r w:rsidRPr="004C3AF7">
              <w:t xml:space="preserve">D3 – </w:t>
            </w:r>
            <w:r w:rsidR="003F7BFD" w:rsidRPr="003F7BFD">
              <w:t xml:space="preserve">Recordatorios de la BR para </w:t>
            </w:r>
            <w:r w:rsidR="003F7BFD">
              <w:t>la puesta en servicio y la reanudación del servicio</w:t>
            </w:r>
          </w:p>
        </w:tc>
        <w:tc>
          <w:tcPr>
            <w:tcW w:w="3687" w:type="dxa"/>
            <w:vAlign w:val="bottom"/>
          </w:tcPr>
          <w:p w14:paraId="18F2A143" w14:textId="7AB964DE" w:rsidR="004C3AF7" w:rsidRPr="004C3AF7" w:rsidRDefault="00D05DF1" w:rsidP="006974A6">
            <w:pPr>
              <w:pStyle w:val="Tabletext"/>
            </w:pPr>
            <w:r>
              <w:t xml:space="preserve">Addéndum </w:t>
            </w:r>
            <w:r w:rsidR="004C3AF7" w:rsidRPr="004C3AF7">
              <w:t>4 (Add.22)</w:t>
            </w:r>
          </w:p>
          <w:p w14:paraId="2F214EBF" w14:textId="2E4702A7" w:rsidR="004C3AF7" w:rsidRPr="004C3AF7" w:rsidRDefault="00D05DF1" w:rsidP="006974A6">
            <w:pPr>
              <w:pStyle w:val="Tabletext"/>
            </w:pPr>
            <w:r>
              <w:t xml:space="preserve">Addéndum </w:t>
            </w:r>
            <w:r w:rsidR="004C3AF7" w:rsidRPr="004C3AF7">
              <w:t>5 (Add.22)</w:t>
            </w:r>
          </w:p>
          <w:p w14:paraId="2BD6D333" w14:textId="54D0BC41" w:rsidR="004C3AF7" w:rsidRPr="004C3AF7" w:rsidRDefault="00D05DF1" w:rsidP="006974A6">
            <w:pPr>
              <w:pStyle w:val="Tabletext"/>
            </w:pPr>
            <w:r>
              <w:t xml:space="preserve">Addéndum </w:t>
            </w:r>
            <w:r w:rsidR="004C3AF7" w:rsidRPr="004C3AF7">
              <w:t>6 (Add.22)</w:t>
            </w:r>
          </w:p>
        </w:tc>
      </w:tr>
      <w:tr w:rsidR="004C3AF7" w:rsidRPr="004C3AF7" w14:paraId="2BA6296D" w14:textId="77777777" w:rsidTr="006974A6">
        <w:trPr>
          <w:cantSplit/>
          <w:jc w:val="center"/>
        </w:trPr>
        <w:tc>
          <w:tcPr>
            <w:tcW w:w="5130" w:type="dxa"/>
          </w:tcPr>
          <w:p w14:paraId="6B54FF9E" w14:textId="22C2A883" w:rsidR="007E143C" w:rsidRPr="007E143C" w:rsidRDefault="003F7BFD" w:rsidP="000F2592">
            <w:pPr>
              <w:pStyle w:val="Tabletext"/>
              <w:rPr>
                <w:lang w:val="es-ES"/>
              </w:rPr>
            </w:pPr>
            <w:r w:rsidRPr="003F7BFD">
              <w:rPr>
                <w:b/>
                <w:bCs/>
                <w:lang w:val="es-ES"/>
              </w:rPr>
              <w:t xml:space="preserve">Tema </w:t>
            </w:r>
            <w:r w:rsidR="004C3AF7" w:rsidRPr="003F7BFD">
              <w:rPr>
                <w:b/>
                <w:bCs/>
                <w:lang w:val="es-ES"/>
              </w:rPr>
              <w:t>E</w:t>
            </w:r>
            <w:r w:rsidR="004C3AF7" w:rsidRPr="003F7BFD">
              <w:rPr>
                <w:lang w:val="es-ES"/>
              </w:rPr>
              <w:t xml:space="preserve"> – </w:t>
            </w:r>
            <w:r w:rsidRPr="003F7BFD">
              <w:rPr>
                <w:lang w:val="es-ES"/>
              </w:rPr>
              <w:t>Mejora de los procedimientos del A</w:t>
            </w:r>
            <w:r>
              <w:rPr>
                <w:lang w:val="es-ES"/>
              </w:rPr>
              <w:t>P</w:t>
            </w:r>
            <w:r w:rsidRPr="003F7BFD">
              <w:rPr>
                <w:b/>
                <w:bCs/>
                <w:lang w:val="es-ES"/>
              </w:rPr>
              <w:t>30B</w:t>
            </w:r>
            <w:r w:rsidRPr="003F7BFD">
              <w:rPr>
                <w:lang w:val="es-ES"/>
              </w:rPr>
              <w:t xml:space="preserve"> del RR para nuevos Estados Miembros</w:t>
            </w:r>
          </w:p>
        </w:tc>
        <w:tc>
          <w:tcPr>
            <w:tcW w:w="3687" w:type="dxa"/>
          </w:tcPr>
          <w:p w14:paraId="36DF32A1" w14:textId="18F1A0EB" w:rsidR="004C3AF7" w:rsidRPr="004C3AF7" w:rsidRDefault="00E83C12" w:rsidP="006974A6">
            <w:pPr>
              <w:pStyle w:val="Tabletext"/>
            </w:pPr>
            <w:r>
              <w:t>Sin</w:t>
            </w:r>
            <w:r w:rsidR="004C3AF7" w:rsidRPr="004C3AF7">
              <w:t xml:space="preserve"> </w:t>
            </w:r>
            <w:r>
              <w:t>a</w:t>
            </w:r>
            <w:r w:rsidR="00D05DF1">
              <w:t xml:space="preserve">ddéndum </w:t>
            </w:r>
            <w:r w:rsidR="004C3AF7" w:rsidRPr="004C3AF7">
              <w:t>7 (Add.22)</w:t>
            </w:r>
          </w:p>
        </w:tc>
      </w:tr>
      <w:tr w:rsidR="004C3AF7" w:rsidRPr="004C3AF7" w14:paraId="3E4EDF08" w14:textId="77777777" w:rsidTr="006974A6">
        <w:trPr>
          <w:cantSplit/>
          <w:jc w:val="center"/>
        </w:trPr>
        <w:tc>
          <w:tcPr>
            <w:tcW w:w="5130" w:type="dxa"/>
          </w:tcPr>
          <w:p w14:paraId="208FF365" w14:textId="306E5BA3" w:rsidR="004C3AF7" w:rsidRPr="007E143C" w:rsidRDefault="003F7BFD" w:rsidP="00D05DF1">
            <w:pPr>
              <w:pStyle w:val="Tabletext"/>
              <w:rPr>
                <w:lang w:val="es-ES"/>
              </w:rPr>
            </w:pPr>
            <w:r w:rsidRPr="003F7BFD">
              <w:rPr>
                <w:b/>
                <w:bCs/>
                <w:lang w:val="es-ES"/>
              </w:rPr>
              <w:t xml:space="preserve">Tema </w:t>
            </w:r>
            <w:r w:rsidR="004C3AF7" w:rsidRPr="003F7BFD">
              <w:rPr>
                <w:b/>
                <w:bCs/>
                <w:lang w:val="es-ES"/>
              </w:rPr>
              <w:t>F</w:t>
            </w:r>
            <w:r w:rsidR="004C3AF7" w:rsidRPr="003F7BFD">
              <w:rPr>
                <w:lang w:val="es-ES"/>
              </w:rPr>
              <w:t xml:space="preserve"> – </w:t>
            </w:r>
            <w:r w:rsidRPr="003F7BFD">
              <w:rPr>
                <w:lang w:val="es-ES"/>
              </w:rPr>
              <w:t>Exclusión de la zona de servicio del enlace ascendente en el</w:t>
            </w:r>
            <w:r w:rsidR="00D05DF1">
              <w:rPr>
                <w:lang w:val="es-ES"/>
              </w:rPr>
              <w:t xml:space="preserve"> </w:t>
            </w:r>
            <w:r w:rsidR="00D05DF1" w:rsidRPr="00D05DF1">
              <w:rPr>
                <w:lang w:val="es-ES"/>
              </w:rPr>
              <w:t>AP</w:t>
            </w:r>
            <w:r w:rsidR="00D05DF1" w:rsidRPr="00D05DF1">
              <w:rPr>
                <w:b/>
                <w:bCs/>
                <w:lang w:val="es-ES"/>
              </w:rPr>
              <w:t>30A</w:t>
            </w:r>
            <w:r w:rsidR="00D05DF1" w:rsidRPr="003F7BFD">
              <w:rPr>
                <w:lang w:val="es-ES"/>
              </w:rPr>
              <w:t xml:space="preserve"> </w:t>
            </w:r>
            <w:r w:rsidRPr="003F7BFD">
              <w:rPr>
                <w:lang w:val="es-ES"/>
              </w:rPr>
              <w:t xml:space="preserve">del RR para las Regiones 1 y 3 y en el </w:t>
            </w:r>
            <w:r w:rsidR="00D05DF1">
              <w:rPr>
                <w:lang w:val="es-ES"/>
              </w:rPr>
              <w:t>AP</w:t>
            </w:r>
            <w:r w:rsidRPr="00D05DF1">
              <w:rPr>
                <w:b/>
                <w:bCs/>
                <w:lang w:val="es-ES"/>
              </w:rPr>
              <w:t>30B</w:t>
            </w:r>
            <w:r w:rsidRPr="003F7BFD">
              <w:rPr>
                <w:lang w:val="es-ES"/>
              </w:rPr>
              <w:t xml:space="preserve"> del RR</w:t>
            </w:r>
          </w:p>
        </w:tc>
        <w:tc>
          <w:tcPr>
            <w:tcW w:w="3687" w:type="dxa"/>
          </w:tcPr>
          <w:p w14:paraId="4D793764" w14:textId="660CFD3B" w:rsidR="004C3AF7" w:rsidRPr="004C3AF7" w:rsidRDefault="00E83C12" w:rsidP="006974A6">
            <w:pPr>
              <w:pStyle w:val="Tabletext"/>
            </w:pPr>
            <w:r>
              <w:t>Sin</w:t>
            </w:r>
            <w:r w:rsidR="004C3AF7" w:rsidRPr="004C3AF7">
              <w:t xml:space="preserve"> </w:t>
            </w:r>
            <w:r>
              <w:t>a</w:t>
            </w:r>
            <w:r w:rsidR="00D05DF1">
              <w:t xml:space="preserve">ddéndum </w:t>
            </w:r>
            <w:r w:rsidR="004C3AF7" w:rsidRPr="004C3AF7">
              <w:t>8 (Add.22)</w:t>
            </w:r>
          </w:p>
        </w:tc>
      </w:tr>
      <w:tr w:rsidR="004C3AF7" w:rsidRPr="004C3AF7" w14:paraId="6DB7DF19" w14:textId="77777777" w:rsidTr="006974A6">
        <w:trPr>
          <w:cantSplit/>
          <w:jc w:val="center"/>
        </w:trPr>
        <w:tc>
          <w:tcPr>
            <w:tcW w:w="5130" w:type="dxa"/>
          </w:tcPr>
          <w:p w14:paraId="72CEF85D" w14:textId="20C7738C" w:rsidR="004C3AF7" w:rsidRPr="00D05DF1" w:rsidRDefault="003F7BFD" w:rsidP="006974A6">
            <w:pPr>
              <w:pStyle w:val="Tabletext"/>
              <w:rPr>
                <w:lang w:val="es-ES"/>
              </w:rPr>
            </w:pPr>
            <w:r w:rsidRPr="00D05DF1">
              <w:rPr>
                <w:b/>
                <w:bCs/>
                <w:lang w:val="es-ES"/>
              </w:rPr>
              <w:lastRenderedPageBreak/>
              <w:t xml:space="preserve">Tema </w:t>
            </w:r>
            <w:r w:rsidR="004C3AF7" w:rsidRPr="00D05DF1">
              <w:rPr>
                <w:b/>
                <w:bCs/>
                <w:lang w:val="es-ES"/>
              </w:rPr>
              <w:t xml:space="preserve">G </w:t>
            </w:r>
            <w:r w:rsidR="004C3AF7" w:rsidRPr="00D05DF1">
              <w:rPr>
                <w:lang w:val="es-ES"/>
              </w:rPr>
              <w:t xml:space="preserve">– </w:t>
            </w:r>
            <w:r w:rsidR="00D05DF1" w:rsidRPr="00D05DF1">
              <w:rPr>
                <w:lang w:val="es-ES"/>
              </w:rPr>
              <w:t>Revisión de la Resolución</w:t>
            </w:r>
            <w:r w:rsidR="00D05DF1" w:rsidRPr="00D05DF1">
              <w:rPr>
                <w:b/>
                <w:bCs/>
                <w:lang w:val="es-ES"/>
              </w:rPr>
              <w:t xml:space="preserve"> 770 (CMR-19)</w:t>
            </w:r>
          </w:p>
        </w:tc>
        <w:tc>
          <w:tcPr>
            <w:tcW w:w="3687" w:type="dxa"/>
          </w:tcPr>
          <w:p w14:paraId="091B0C69" w14:textId="472BE582" w:rsidR="004C3AF7" w:rsidRPr="004C3AF7" w:rsidRDefault="00D05DF1" w:rsidP="006974A6">
            <w:pPr>
              <w:pStyle w:val="Tabletext"/>
            </w:pPr>
            <w:r>
              <w:t xml:space="preserve">Addéndum </w:t>
            </w:r>
            <w:r w:rsidR="004C3AF7" w:rsidRPr="004C3AF7">
              <w:t>9 (Add.22)</w:t>
            </w:r>
          </w:p>
        </w:tc>
      </w:tr>
      <w:tr w:rsidR="004C3AF7" w:rsidRPr="004C3AF7" w14:paraId="336CA22B" w14:textId="77777777" w:rsidTr="006974A6">
        <w:trPr>
          <w:cantSplit/>
          <w:jc w:val="center"/>
        </w:trPr>
        <w:tc>
          <w:tcPr>
            <w:tcW w:w="5130" w:type="dxa"/>
          </w:tcPr>
          <w:p w14:paraId="41F6C2CF" w14:textId="7D0546C2" w:rsidR="004C3AF7" w:rsidRPr="00D05DF1" w:rsidRDefault="003F7BFD" w:rsidP="006974A6">
            <w:pPr>
              <w:pStyle w:val="Tabletext"/>
              <w:rPr>
                <w:lang w:val="es-ES"/>
              </w:rPr>
            </w:pPr>
            <w:r w:rsidRPr="00D05DF1">
              <w:rPr>
                <w:b/>
                <w:bCs/>
                <w:lang w:val="es-ES"/>
              </w:rPr>
              <w:t xml:space="preserve">Tema </w:t>
            </w:r>
            <w:r w:rsidR="004C3AF7" w:rsidRPr="00D05DF1">
              <w:rPr>
                <w:b/>
                <w:bCs/>
                <w:lang w:val="es-ES"/>
              </w:rPr>
              <w:t>H</w:t>
            </w:r>
            <w:r w:rsidR="004C3AF7" w:rsidRPr="00D05DF1">
              <w:rPr>
                <w:lang w:val="es-ES"/>
              </w:rPr>
              <w:t xml:space="preserve"> – </w:t>
            </w:r>
            <w:r w:rsidR="00D05DF1" w:rsidRPr="00D05DF1">
              <w:rPr>
                <w:lang w:val="es-ES"/>
              </w:rPr>
              <w:t xml:space="preserve">Mejora de la protección en los </w:t>
            </w:r>
            <w:r w:rsidR="004C3AF7" w:rsidRPr="00D05DF1">
              <w:rPr>
                <w:lang w:val="es-ES"/>
              </w:rPr>
              <w:t>AP</w:t>
            </w:r>
            <w:r w:rsidR="004C3AF7" w:rsidRPr="00D05DF1">
              <w:rPr>
                <w:b/>
                <w:bCs/>
                <w:lang w:val="es-ES"/>
              </w:rPr>
              <w:t>30</w:t>
            </w:r>
            <w:r w:rsidR="004C3AF7" w:rsidRPr="00D05DF1">
              <w:rPr>
                <w:lang w:val="es-ES"/>
              </w:rPr>
              <w:t>/</w:t>
            </w:r>
            <w:r w:rsidR="004C3AF7" w:rsidRPr="00D05DF1">
              <w:rPr>
                <w:b/>
                <w:bCs/>
                <w:lang w:val="es-ES"/>
              </w:rPr>
              <w:t>30A</w:t>
            </w:r>
            <w:r w:rsidR="004C3AF7" w:rsidRPr="00D05DF1">
              <w:rPr>
                <w:lang w:val="es-ES"/>
              </w:rPr>
              <w:t>/</w:t>
            </w:r>
            <w:r w:rsidR="004C3AF7" w:rsidRPr="00D05DF1">
              <w:rPr>
                <w:b/>
                <w:bCs/>
                <w:lang w:val="es-ES"/>
              </w:rPr>
              <w:t>30B</w:t>
            </w:r>
            <w:r w:rsidR="00D05DF1" w:rsidRPr="00D05DF1">
              <w:rPr>
                <w:b/>
                <w:bCs/>
                <w:lang w:val="es-ES"/>
              </w:rPr>
              <w:t xml:space="preserve"> </w:t>
            </w:r>
            <w:r w:rsidR="00D05DF1" w:rsidRPr="00D05DF1">
              <w:rPr>
                <w:lang w:val="es-ES"/>
              </w:rPr>
              <w:t>del RR</w:t>
            </w:r>
          </w:p>
        </w:tc>
        <w:tc>
          <w:tcPr>
            <w:tcW w:w="3687" w:type="dxa"/>
          </w:tcPr>
          <w:p w14:paraId="329C5B70" w14:textId="19C2220C" w:rsidR="004C3AF7" w:rsidRPr="004C3AF7" w:rsidRDefault="00E83C12" w:rsidP="006974A6">
            <w:pPr>
              <w:pStyle w:val="Tabletext"/>
            </w:pPr>
            <w:r>
              <w:t>Sin</w:t>
            </w:r>
            <w:r w:rsidR="004C3AF7" w:rsidRPr="004C3AF7">
              <w:t xml:space="preserve"> </w:t>
            </w:r>
            <w:r>
              <w:t>a</w:t>
            </w:r>
            <w:r w:rsidR="00D05DF1">
              <w:t xml:space="preserve">ddéndum </w:t>
            </w:r>
            <w:r w:rsidR="004C3AF7" w:rsidRPr="004C3AF7">
              <w:t>10 (Add.22)</w:t>
            </w:r>
          </w:p>
        </w:tc>
      </w:tr>
      <w:tr w:rsidR="004C3AF7" w:rsidRPr="004C3AF7" w14:paraId="4426F1AB" w14:textId="77777777" w:rsidTr="006974A6">
        <w:trPr>
          <w:cantSplit/>
          <w:jc w:val="center"/>
        </w:trPr>
        <w:tc>
          <w:tcPr>
            <w:tcW w:w="5130" w:type="dxa"/>
          </w:tcPr>
          <w:p w14:paraId="69961439" w14:textId="39C237CA" w:rsidR="004C3AF7" w:rsidRPr="00D05DF1" w:rsidRDefault="003F7BFD" w:rsidP="006974A6">
            <w:pPr>
              <w:pStyle w:val="Tabletext"/>
              <w:rPr>
                <w:lang w:val="es-ES"/>
              </w:rPr>
            </w:pPr>
            <w:r w:rsidRPr="00D05DF1">
              <w:rPr>
                <w:b/>
                <w:bCs/>
                <w:lang w:val="es-ES"/>
              </w:rPr>
              <w:t xml:space="preserve">Tema </w:t>
            </w:r>
            <w:r w:rsidR="004C3AF7" w:rsidRPr="00D05DF1">
              <w:rPr>
                <w:b/>
                <w:bCs/>
                <w:lang w:val="es-ES"/>
              </w:rPr>
              <w:t>I</w:t>
            </w:r>
            <w:r w:rsidR="004C3AF7" w:rsidRPr="00D05DF1">
              <w:rPr>
                <w:lang w:val="es-ES"/>
              </w:rPr>
              <w:t xml:space="preserve"> – </w:t>
            </w:r>
            <w:r w:rsidR="00D05DF1" w:rsidRPr="00D05DF1">
              <w:rPr>
                <w:lang w:val="es-ES"/>
              </w:rPr>
              <w:t xml:space="preserve">Acuerdos especiales en virtud del Apéndice </w:t>
            </w:r>
            <w:r w:rsidR="004C3AF7" w:rsidRPr="00D05DF1">
              <w:rPr>
                <w:b/>
                <w:bCs/>
                <w:lang w:val="es-ES"/>
              </w:rPr>
              <w:t>30B</w:t>
            </w:r>
            <w:r w:rsidR="00D05DF1" w:rsidRPr="00D05DF1">
              <w:rPr>
                <w:lang w:val="es-ES"/>
              </w:rPr>
              <w:t xml:space="preserve"> del RR</w:t>
            </w:r>
          </w:p>
        </w:tc>
        <w:tc>
          <w:tcPr>
            <w:tcW w:w="3687" w:type="dxa"/>
          </w:tcPr>
          <w:p w14:paraId="3D92CF49" w14:textId="39EC86E9" w:rsidR="004C3AF7" w:rsidRPr="004C3AF7" w:rsidRDefault="00D05DF1" w:rsidP="006974A6">
            <w:pPr>
              <w:pStyle w:val="Tabletext"/>
            </w:pPr>
            <w:r>
              <w:t xml:space="preserve">Addéndum </w:t>
            </w:r>
            <w:r w:rsidR="004C3AF7" w:rsidRPr="004C3AF7">
              <w:t>11 (Add.22)</w:t>
            </w:r>
          </w:p>
        </w:tc>
      </w:tr>
      <w:tr w:rsidR="004C3AF7" w:rsidRPr="004C3AF7" w14:paraId="41332EC4" w14:textId="77777777" w:rsidTr="006974A6">
        <w:trPr>
          <w:cantSplit/>
          <w:jc w:val="center"/>
        </w:trPr>
        <w:tc>
          <w:tcPr>
            <w:tcW w:w="5130" w:type="dxa"/>
          </w:tcPr>
          <w:p w14:paraId="25121845" w14:textId="7D0F1D3D" w:rsidR="004C3AF7" w:rsidRPr="00D05DF1" w:rsidRDefault="003F7BFD" w:rsidP="006974A6">
            <w:pPr>
              <w:pStyle w:val="Tabletext"/>
              <w:rPr>
                <w:lang w:val="es-ES"/>
              </w:rPr>
            </w:pPr>
            <w:r w:rsidRPr="00D05DF1">
              <w:rPr>
                <w:b/>
                <w:bCs/>
                <w:lang w:val="es-ES"/>
              </w:rPr>
              <w:t xml:space="preserve">Tema </w:t>
            </w:r>
            <w:r w:rsidR="004C3AF7" w:rsidRPr="00D05DF1">
              <w:rPr>
                <w:b/>
                <w:bCs/>
                <w:lang w:val="es-ES"/>
              </w:rPr>
              <w:t>J</w:t>
            </w:r>
            <w:r w:rsidR="004C3AF7" w:rsidRPr="00D05DF1">
              <w:rPr>
                <w:lang w:val="es-ES"/>
              </w:rPr>
              <w:t xml:space="preserve"> – </w:t>
            </w:r>
            <w:r w:rsidR="00E83C12">
              <w:rPr>
                <w:lang w:val="es-ES"/>
              </w:rPr>
              <w:t>Modificaciones de</w:t>
            </w:r>
            <w:r w:rsidR="00D05DF1" w:rsidRPr="00D05DF1">
              <w:rPr>
                <w:lang w:val="es-ES"/>
              </w:rPr>
              <w:t xml:space="preserve"> la Resolución</w:t>
            </w:r>
            <w:r w:rsidR="000F2592">
              <w:rPr>
                <w:lang w:val="es-ES"/>
              </w:rPr>
              <w:t> </w:t>
            </w:r>
            <w:r w:rsidR="00D05DF1" w:rsidRPr="00D05DF1">
              <w:rPr>
                <w:b/>
                <w:bCs/>
                <w:lang w:val="es-ES"/>
              </w:rPr>
              <w:t>76</w:t>
            </w:r>
            <w:r w:rsidR="000F2592">
              <w:rPr>
                <w:b/>
                <w:bCs/>
                <w:lang w:val="es-ES"/>
              </w:rPr>
              <w:t> </w:t>
            </w:r>
            <w:r w:rsidR="00D05DF1" w:rsidRPr="00D05DF1">
              <w:rPr>
                <w:b/>
                <w:bCs/>
                <w:lang w:val="es-ES"/>
              </w:rPr>
              <w:t>(Rev.CMR</w:t>
            </w:r>
            <w:r w:rsidR="000F2592">
              <w:rPr>
                <w:b/>
                <w:bCs/>
                <w:lang w:val="es-ES"/>
              </w:rPr>
              <w:noBreakHyphen/>
            </w:r>
            <w:r w:rsidR="00D05DF1" w:rsidRPr="00D05DF1">
              <w:rPr>
                <w:b/>
                <w:bCs/>
                <w:lang w:val="es-ES"/>
              </w:rPr>
              <w:t>15)</w:t>
            </w:r>
          </w:p>
        </w:tc>
        <w:tc>
          <w:tcPr>
            <w:tcW w:w="3687" w:type="dxa"/>
          </w:tcPr>
          <w:p w14:paraId="4239DF2A" w14:textId="72F39B0B" w:rsidR="004C3AF7" w:rsidRPr="004C3AF7" w:rsidRDefault="00E83C12" w:rsidP="006974A6">
            <w:pPr>
              <w:pStyle w:val="Tabletext"/>
            </w:pPr>
            <w:r>
              <w:t>Sin</w:t>
            </w:r>
            <w:r w:rsidR="004C3AF7" w:rsidRPr="004C3AF7">
              <w:t xml:space="preserve"> </w:t>
            </w:r>
            <w:r>
              <w:t>a</w:t>
            </w:r>
            <w:r w:rsidR="00D05DF1">
              <w:t xml:space="preserve">ddéndum </w:t>
            </w:r>
            <w:r w:rsidR="004C3AF7" w:rsidRPr="004C3AF7">
              <w:t>12 (Add.22)</w:t>
            </w:r>
          </w:p>
        </w:tc>
      </w:tr>
      <w:tr w:rsidR="004C3AF7" w:rsidRPr="004C3AF7" w14:paraId="71A36E22" w14:textId="77777777" w:rsidTr="006974A6">
        <w:trPr>
          <w:cantSplit/>
          <w:jc w:val="center"/>
        </w:trPr>
        <w:tc>
          <w:tcPr>
            <w:tcW w:w="5130" w:type="dxa"/>
          </w:tcPr>
          <w:p w14:paraId="6395ED3E" w14:textId="63271AA1" w:rsidR="004C3AF7" w:rsidRPr="00D05DF1" w:rsidRDefault="003F7BFD" w:rsidP="006974A6">
            <w:pPr>
              <w:pStyle w:val="Tabletext"/>
              <w:rPr>
                <w:lang w:val="es-ES"/>
              </w:rPr>
            </w:pPr>
            <w:r w:rsidRPr="00D05DF1">
              <w:rPr>
                <w:b/>
                <w:bCs/>
                <w:lang w:val="es-ES"/>
              </w:rPr>
              <w:t xml:space="preserve">Tema </w:t>
            </w:r>
            <w:r w:rsidR="004C3AF7" w:rsidRPr="00D05DF1">
              <w:rPr>
                <w:b/>
                <w:bCs/>
                <w:lang w:val="es-ES"/>
              </w:rPr>
              <w:t>K</w:t>
            </w:r>
            <w:r w:rsidR="004C3AF7" w:rsidRPr="00D05DF1">
              <w:rPr>
                <w:lang w:val="es-ES"/>
              </w:rPr>
              <w:t xml:space="preserve"> – </w:t>
            </w:r>
            <w:r w:rsidR="00E83C12">
              <w:rPr>
                <w:lang w:val="es-ES"/>
              </w:rPr>
              <w:t>Modificaciones de</w:t>
            </w:r>
            <w:r w:rsidR="00E83C12" w:rsidRPr="00D05DF1">
              <w:rPr>
                <w:lang w:val="es-ES"/>
              </w:rPr>
              <w:t xml:space="preserve"> </w:t>
            </w:r>
            <w:r w:rsidR="00D05DF1" w:rsidRPr="00D05DF1">
              <w:rPr>
                <w:lang w:val="es-ES"/>
              </w:rPr>
              <w:t>la Resolución</w:t>
            </w:r>
            <w:r w:rsidR="000F2592">
              <w:rPr>
                <w:lang w:val="es-ES"/>
              </w:rPr>
              <w:t> </w:t>
            </w:r>
            <w:r w:rsidR="00D05DF1" w:rsidRPr="00D05DF1">
              <w:rPr>
                <w:b/>
                <w:bCs/>
                <w:lang w:val="es-ES"/>
              </w:rPr>
              <w:t>553</w:t>
            </w:r>
            <w:r w:rsidR="000F2592">
              <w:rPr>
                <w:b/>
                <w:bCs/>
                <w:lang w:val="es-ES"/>
              </w:rPr>
              <w:t> </w:t>
            </w:r>
            <w:r w:rsidR="00D05DF1" w:rsidRPr="00D05DF1">
              <w:rPr>
                <w:b/>
                <w:bCs/>
                <w:lang w:val="es-ES"/>
              </w:rPr>
              <w:t>(Rev.CMR-15)</w:t>
            </w:r>
          </w:p>
        </w:tc>
        <w:tc>
          <w:tcPr>
            <w:tcW w:w="3687" w:type="dxa"/>
          </w:tcPr>
          <w:p w14:paraId="09BB4DC7" w14:textId="14E1C7C4" w:rsidR="004C3AF7" w:rsidRPr="004C3AF7" w:rsidRDefault="00D05DF1" w:rsidP="006974A6">
            <w:pPr>
              <w:pStyle w:val="Tabletext"/>
            </w:pPr>
            <w:r>
              <w:t xml:space="preserve">Addéndum </w:t>
            </w:r>
            <w:r w:rsidR="004C3AF7" w:rsidRPr="004C3AF7">
              <w:t>13 (Add.22)</w:t>
            </w:r>
          </w:p>
        </w:tc>
      </w:tr>
    </w:tbl>
    <w:p w14:paraId="2021CCDA" w14:textId="77777777" w:rsidR="00763152" w:rsidRDefault="00763152">
      <w:pPr>
        <w:jc w:val="center"/>
      </w:pPr>
      <w:r>
        <w:t>______________</w:t>
      </w:r>
    </w:p>
    <w:sectPr w:rsidR="007631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5969" w14:textId="77777777" w:rsidR="00666B37" w:rsidRDefault="00666B37">
      <w:r>
        <w:separator/>
      </w:r>
    </w:p>
  </w:endnote>
  <w:endnote w:type="continuationSeparator" w:id="0">
    <w:p w14:paraId="6763DBAC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876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EED43" w14:textId="14EB86F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3152">
      <w:rPr>
        <w:noProof/>
      </w:rPr>
      <w:t>20.10.23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F34D" w14:textId="7D66F589" w:rsidR="0077084A" w:rsidRDefault="007E2323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143C">
      <w:rPr>
        <w:lang w:val="en-US"/>
      </w:rPr>
      <w:t>P:\ESP\ITU-R\CONF-R\CMR23\000\062ADD22S.docx</w:t>
    </w:r>
    <w:r>
      <w:fldChar w:fldCharType="end"/>
    </w:r>
    <w:r w:rsidRPr="007E2323">
      <w:rPr>
        <w:lang w:val="en-US"/>
      </w:rPr>
      <w:t xml:space="preserve"> </w:t>
    </w:r>
    <w:r>
      <w:rPr>
        <w:lang w:val="en-US"/>
      </w:rPr>
      <w:t>(528633)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8703108"/>
  <w:p w14:paraId="40E3E100" w14:textId="6FB7528F" w:rsidR="0077084A" w:rsidRPr="007E2323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143C">
      <w:rPr>
        <w:lang w:val="en-US"/>
      </w:rPr>
      <w:t>P:\ESP\ITU-R\CONF-R\CMR23\000\062ADD22S.docx</w:t>
    </w:r>
    <w:r>
      <w:fldChar w:fldCharType="end"/>
    </w:r>
    <w:bookmarkEnd w:id="6"/>
    <w:r w:rsidR="007E2323" w:rsidRPr="007E2323">
      <w:rPr>
        <w:lang w:val="en-US"/>
      </w:rPr>
      <w:t xml:space="preserve"> </w:t>
    </w:r>
    <w:r w:rsidR="007E2323">
      <w:rPr>
        <w:lang w:val="en-US"/>
      </w:rPr>
      <w:t>(528633)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4603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DF952B7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1B5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5BE585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62(Add.22)-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70557591">
    <w:abstractNumId w:val="8"/>
  </w:num>
  <w:num w:numId="2" w16cid:durableId="1605814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7600719">
    <w:abstractNumId w:val="9"/>
  </w:num>
  <w:num w:numId="4" w16cid:durableId="762380748">
    <w:abstractNumId w:val="7"/>
  </w:num>
  <w:num w:numId="5" w16cid:durableId="1872382403">
    <w:abstractNumId w:val="6"/>
  </w:num>
  <w:num w:numId="6" w16cid:durableId="546601309">
    <w:abstractNumId w:val="5"/>
  </w:num>
  <w:num w:numId="7" w16cid:durableId="119344842">
    <w:abstractNumId w:val="4"/>
  </w:num>
  <w:num w:numId="8" w16cid:durableId="1863588841">
    <w:abstractNumId w:val="3"/>
  </w:num>
  <w:num w:numId="9" w16cid:durableId="1648705870">
    <w:abstractNumId w:val="2"/>
  </w:num>
  <w:num w:numId="10" w16cid:durableId="1444030024">
    <w:abstractNumId w:val="1"/>
  </w:num>
  <w:num w:numId="11" w16cid:durableId="187711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2A43"/>
    <w:rsid w:val="0002465A"/>
    <w:rsid w:val="0002785D"/>
    <w:rsid w:val="00087AE8"/>
    <w:rsid w:val="00091054"/>
    <w:rsid w:val="000A2A7D"/>
    <w:rsid w:val="000A5B9A"/>
    <w:rsid w:val="000E5BF9"/>
    <w:rsid w:val="000F0E6D"/>
    <w:rsid w:val="000F2592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56A6"/>
    <w:rsid w:val="003F7BFD"/>
    <w:rsid w:val="003F7F66"/>
    <w:rsid w:val="00440B3A"/>
    <w:rsid w:val="0044375A"/>
    <w:rsid w:val="0045384C"/>
    <w:rsid w:val="00454553"/>
    <w:rsid w:val="00472A86"/>
    <w:rsid w:val="004B124A"/>
    <w:rsid w:val="004B3095"/>
    <w:rsid w:val="004C3AF7"/>
    <w:rsid w:val="004D2749"/>
    <w:rsid w:val="004D2C7C"/>
    <w:rsid w:val="005133B5"/>
    <w:rsid w:val="00524392"/>
    <w:rsid w:val="00532097"/>
    <w:rsid w:val="0058350F"/>
    <w:rsid w:val="00583C7E"/>
    <w:rsid w:val="0059098E"/>
    <w:rsid w:val="005B226D"/>
    <w:rsid w:val="005D46FB"/>
    <w:rsid w:val="005F2605"/>
    <w:rsid w:val="005F3B0E"/>
    <w:rsid w:val="005F3DB8"/>
    <w:rsid w:val="005F559C"/>
    <w:rsid w:val="00602857"/>
    <w:rsid w:val="006124AD"/>
    <w:rsid w:val="00624009"/>
    <w:rsid w:val="00637930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3152"/>
    <w:rsid w:val="00764143"/>
    <w:rsid w:val="00765578"/>
    <w:rsid w:val="00766333"/>
    <w:rsid w:val="0077084A"/>
    <w:rsid w:val="007952C7"/>
    <w:rsid w:val="007C0B95"/>
    <w:rsid w:val="007C2317"/>
    <w:rsid w:val="007D330A"/>
    <w:rsid w:val="007E143C"/>
    <w:rsid w:val="007E2323"/>
    <w:rsid w:val="007E2E3E"/>
    <w:rsid w:val="0080079E"/>
    <w:rsid w:val="008504C2"/>
    <w:rsid w:val="00866AE6"/>
    <w:rsid w:val="00867B0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05DF1"/>
    <w:rsid w:val="00D72A5D"/>
    <w:rsid w:val="00DA71A3"/>
    <w:rsid w:val="00DB6589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3C12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A1E4E6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Tablefin">
    <w:name w:val="Table_fin"/>
    <w:basedOn w:val="Tabletext"/>
    <w:qFormat/>
    <w:rsid w:val="004C3AF7"/>
    <w:pPr>
      <w:spacing w:before="0" w:after="0"/>
    </w:pPr>
    <w:rPr>
      <w:lang w:val="en-GB"/>
    </w:rPr>
  </w:style>
  <w:style w:type="table" w:styleId="TableGrid">
    <w:name w:val="Table Grid"/>
    <w:basedOn w:val="TableNormal"/>
    <w:uiPriority w:val="59"/>
    <w:rsid w:val="004C3AF7"/>
    <w:rPr>
      <w:rFonts w:ascii="Times New Roman" w:eastAsia="Batang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4C3AF7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R23-WRC23-C-0062!A22!MSW-S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41EE8-65DD-4BB9-92DF-75450C75089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C861629B-5C9F-4645-B05E-6BDC4C5A7E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516621-17C1-43F3-BFA1-0C8565E29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9F9AD-8456-4AC4-A3EA-9F54A63227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F0B63C-4D58-4D98-A0A1-8358AF3CC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R23-WRC23-C-0062!A22!MSW-S</vt:lpstr>
    </vt:vector>
  </TitlesOfParts>
  <Manager>Secretaría General - Pool</Manager>
  <Company>Unión Internacional de Telecomunicaciones (UIT)</Company>
  <LinksUpToDate>false</LinksUpToDate>
  <CharactersWithSpaces>2309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8</cp:revision>
  <cp:lastPrinted>2003-02-19T20:20:00Z</cp:lastPrinted>
  <dcterms:created xsi:type="dcterms:W3CDTF">2023-10-20T14:46:00Z</dcterms:created>
  <dcterms:modified xsi:type="dcterms:W3CDTF">2023-10-30T10:46:00Z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