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193D80" w14:paraId="01B6B41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EAB5ADC" w14:textId="77777777" w:rsidR="00752552" w:rsidRPr="00193D80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193D80">
              <w:rPr>
                <w:noProof/>
                <w:lang w:val="en-GB" w:bidi="ar-EG"/>
              </w:rPr>
              <w:drawing>
                <wp:inline distT="0" distB="0" distL="0" distR="0" wp14:anchorId="1CAB792F" wp14:editId="7954C44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EC9A8A0" w14:textId="77777777" w:rsidR="00752552" w:rsidRPr="00193D80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193D80">
              <w:rPr>
                <w:rFonts w:hint="cs"/>
                <w:rtl/>
              </w:rPr>
              <w:t xml:space="preserve">المؤتمر العالمي للاتصالات الراديوية </w:t>
            </w:r>
            <w:r w:rsidRPr="00193D80">
              <w:t>(WRC-23)</w:t>
            </w:r>
          </w:p>
          <w:p w14:paraId="5956E1F5" w14:textId="77777777" w:rsidR="00752552" w:rsidRPr="00193D80" w:rsidRDefault="00752552" w:rsidP="00752552">
            <w:pPr>
              <w:rPr>
                <w:b/>
                <w:bCs/>
                <w:rtl/>
                <w:lang w:bidi="ar-EG"/>
              </w:rPr>
            </w:pPr>
            <w:r w:rsidRPr="00193D80"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193D80">
              <w:rPr>
                <w:b/>
                <w:bCs/>
                <w:sz w:val="26"/>
                <w:szCs w:val="26"/>
                <w:rtl/>
              </w:rPr>
              <w:t xml:space="preserve">، </w:t>
            </w:r>
            <w:r w:rsidRPr="00193D80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193D8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نوفمبر </w:t>
            </w:r>
            <w:r w:rsidRPr="00193D80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193D80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193D8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193D80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5275A0E" w14:textId="77777777" w:rsidR="00752552" w:rsidRPr="00193D80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3D80">
              <w:rPr>
                <w:noProof/>
              </w:rPr>
              <w:drawing>
                <wp:inline distT="0" distB="0" distL="0" distR="0" wp14:anchorId="43F9FD0E" wp14:editId="686DDD46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193D80" w14:paraId="236C661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9268FB8" w14:textId="77777777" w:rsidR="000D1EE4" w:rsidRPr="00193D80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76471BE" w14:textId="77777777" w:rsidR="000D1EE4" w:rsidRPr="00193D80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193D80" w14:paraId="2314C3C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095083A" w14:textId="77777777" w:rsidR="000D1EE4" w:rsidRPr="00193D80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0694F52" w14:textId="77777777" w:rsidR="000D1EE4" w:rsidRPr="00193D80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193D80" w14:paraId="00D741BA" w14:textId="77777777" w:rsidTr="00752552">
        <w:trPr>
          <w:cantSplit/>
        </w:trPr>
        <w:tc>
          <w:tcPr>
            <w:tcW w:w="6696" w:type="dxa"/>
            <w:gridSpan w:val="2"/>
          </w:tcPr>
          <w:p w14:paraId="6EA650BF" w14:textId="77777777" w:rsidR="000D1EE4" w:rsidRPr="00193D80" w:rsidRDefault="00E50850" w:rsidP="00461D2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93D8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D74B1D5" w14:textId="77777777" w:rsidR="000D1EE4" w:rsidRPr="00193D80" w:rsidRDefault="00E50850" w:rsidP="00461D2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93D80">
              <w:rPr>
                <w:rFonts w:eastAsia="SimSun"/>
                <w:b/>
                <w:bCs/>
                <w:rtl/>
                <w:lang w:bidi="ar-EG"/>
              </w:rPr>
              <w:t>الإضافة 22</w:t>
            </w:r>
            <w:r w:rsidRPr="00193D8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193D80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193D80" w14:paraId="1E096C9B" w14:textId="77777777" w:rsidTr="00752552">
        <w:trPr>
          <w:cantSplit/>
        </w:trPr>
        <w:tc>
          <w:tcPr>
            <w:tcW w:w="6696" w:type="dxa"/>
            <w:gridSpan w:val="2"/>
          </w:tcPr>
          <w:p w14:paraId="5D012E19" w14:textId="77777777" w:rsidR="000D1EE4" w:rsidRPr="00193D80" w:rsidRDefault="000D1EE4" w:rsidP="00461D2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525166" w14:textId="77777777" w:rsidR="000D1EE4" w:rsidRPr="00193D80" w:rsidRDefault="00E50850" w:rsidP="00461D2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193D80">
              <w:rPr>
                <w:rFonts w:eastAsia="SimSun"/>
                <w:b/>
                <w:bCs/>
              </w:rPr>
              <w:t>26</w:t>
            </w:r>
            <w:r w:rsidRPr="00193D80">
              <w:rPr>
                <w:rFonts w:eastAsia="SimSun"/>
                <w:b/>
                <w:bCs/>
                <w:rtl/>
              </w:rPr>
              <w:t xml:space="preserve"> سبتمبر </w:t>
            </w:r>
            <w:r w:rsidRPr="00193D8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193D80" w14:paraId="291F6392" w14:textId="77777777" w:rsidTr="00752552">
        <w:trPr>
          <w:cantSplit/>
        </w:trPr>
        <w:tc>
          <w:tcPr>
            <w:tcW w:w="6696" w:type="dxa"/>
            <w:gridSpan w:val="2"/>
          </w:tcPr>
          <w:p w14:paraId="6A9832C6" w14:textId="77777777" w:rsidR="000D1EE4" w:rsidRPr="00193D80" w:rsidRDefault="000D1EE4" w:rsidP="00461D2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BE0C62B" w14:textId="77777777" w:rsidR="000D1EE4" w:rsidRPr="00193D80" w:rsidRDefault="00E50850" w:rsidP="00461D2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193D80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193D80" w14:paraId="70661EF1" w14:textId="77777777" w:rsidTr="00752552">
        <w:trPr>
          <w:cantSplit/>
        </w:trPr>
        <w:tc>
          <w:tcPr>
            <w:tcW w:w="9666" w:type="dxa"/>
            <w:gridSpan w:val="4"/>
          </w:tcPr>
          <w:p w14:paraId="343BACEF" w14:textId="77777777" w:rsidR="000D1EE4" w:rsidRPr="00193D80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193D80" w14:paraId="4D15CFB0" w14:textId="77777777" w:rsidTr="00752552">
        <w:trPr>
          <w:cantSplit/>
        </w:trPr>
        <w:tc>
          <w:tcPr>
            <w:tcW w:w="9666" w:type="dxa"/>
            <w:gridSpan w:val="4"/>
          </w:tcPr>
          <w:p w14:paraId="18BE06C1" w14:textId="77777777" w:rsidR="000D1EE4" w:rsidRPr="00193D80" w:rsidRDefault="000D1EE4" w:rsidP="000D1EE4">
            <w:pPr>
              <w:pStyle w:val="Source"/>
              <w:rPr>
                <w:rtl/>
                <w:lang w:bidi="ar-SA"/>
              </w:rPr>
            </w:pPr>
            <w:r w:rsidRPr="00193D80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193D80" w14:paraId="5B18085F" w14:textId="77777777" w:rsidTr="00752552">
        <w:trPr>
          <w:cantSplit/>
        </w:trPr>
        <w:tc>
          <w:tcPr>
            <w:tcW w:w="9666" w:type="dxa"/>
            <w:gridSpan w:val="4"/>
          </w:tcPr>
          <w:p w14:paraId="58CD67E8" w14:textId="0379662B" w:rsidR="000D1EE4" w:rsidRPr="00193D80" w:rsidRDefault="00461D2F" w:rsidP="000D1EE4">
            <w:pPr>
              <w:pStyle w:val="Title1"/>
              <w:rPr>
                <w:rtl/>
              </w:rPr>
            </w:pPr>
            <w:r w:rsidRPr="00193D80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193D80" w14:paraId="34D0764F" w14:textId="77777777" w:rsidTr="00752552">
        <w:trPr>
          <w:cantSplit/>
        </w:trPr>
        <w:tc>
          <w:tcPr>
            <w:tcW w:w="9666" w:type="dxa"/>
            <w:gridSpan w:val="4"/>
          </w:tcPr>
          <w:p w14:paraId="4405FD3A" w14:textId="77777777" w:rsidR="000D1EE4" w:rsidRPr="00193D80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193D80" w14:paraId="03B6D052" w14:textId="77777777" w:rsidTr="00752552">
        <w:trPr>
          <w:cantSplit/>
        </w:trPr>
        <w:tc>
          <w:tcPr>
            <w:tcW w:w="9666" w:type="dxa"/>
            <w:gridSpan w:val="4"/>
          </w:tcPr>
          <w:p w14:paraId="3C577F2E" w14:textId="3C63D72D" w:rsidR="00E50850" w:rsidRPr="00193D80" w:rsidRDefault="00E50850" w:rsidP="00E50850">
            <w:pPr>
              <w:pStyle w:val="Agendaitem"/>
            </w:pPr>
            <w:r w:rsidRPr="00193D80">
              <w:rPr>
                <w:rtl/>
              </w:rPr>
              <w:t>بند جدول الأعمال</w:t>
            </w:r>
            <w:r w:rsidR="00461D2F" w:rsidRPr="00193D80">
              <w:rPr>
                <w:rFonts w:hint="cs"/>
                <w:rtl/>
              </w:rPr>
              <w:t xml:space="preserve"> 7</w:t>
            </w:r>
          </w:p>
        </w:tc>
      </w:tr>
    </w:tbl>
    <w:p w14:paraId="17628DA4" w14:textId="77777777" w:rsidR="00F068DA" w:rsidRPr="00193D80" w:rsidRDefault="00F068DA" w:rsidP="00EF1E29">
      <w:pPr>
        <w:rPr>
          <w:rtl/>
        </w:rPr>
      </w:pPr>
      <w:r w:rsidRPr="00193D80">
        <w:t>7</w:t>
      </w:r>
      <w:r w:rsidRPr="00193D80">
        <w:rPr>
          <w:rFonts w:hint="cs"/>
          <w:rtl/>
        </w:rPr>
        <w:tab/>
      </w:r>
      <w:r w:rsidRPr="00193D80">
        <w:rPr>
          <w:rFonts w:hint="eastAsia"/>
          <w:rtl/>
        </w:rPr>
        <w:t>النظر</w:t>
      </w:r>
      <w:r w:rsidRPr="00193D80">
        <w:rPr>
          <w:rtl/>
        </w:rPr>
        <w:t xml:space="preserve"> في أي تغييرات قد يلزم إجراؤها، </w:t>
      </w:r>
      <w:r w:rsidRPr="00193D80">
        <w:rPr>
          <w:rFonts w:hint="eastAsia"/>
          <w:rtl/>
        </w:rPr>
        <w:t>تطبيقاً</w:t>
      </w:r>
      <w:r w:rsidRPr="00193D80">
        <w:rPr>
          <w:rtl/>
        </w:rPr>
        <w:t xml:space="preserve"> للقرار </w:t>
      </w:r>
      <w:r w:rsidRPr="00193D80">
        <w:t>86</w:t>
      </w:r>
      <w:r w:rsidRPr="00193D80">
        <w:rPr>
          <w:rtl/>
        </w:rPr>
        <w:t xml:space="preserve"> (المراج</w:t>
      </w:r>
      <w:r w:rsidRPr="00193D80">
        <w:rPr>
          <w:rFonts w:hint="cs"/>
          <w:rtl/>
        </w:rPr>
        <w:t>َ</w:t>
      </w:r>
      <w:r w:rsidRPr="00193D80">
        <w:rPr>
          <w:rtl/>
        </w:rPr>
        <w:t xml:space="preserve">ع في مراكش، </w:t>
      </w:r>
      <w:r w:rsidRPr="00193D80">
        <w:t>(2002</w:t>
      </w:r>
      <w:r w:rsidRPr="00193D80">
        <w:rPr>
          <w:rtl/>
        </w:rPr>
        <w:t xml:space="preserve"> لمؤتمر</w:t>
      </w:r>
      <w:r w:rsidRPr="00193D80">
        <w:rPr>
          <w:rFonts w:hint="eastAsia"/>
          <w:rtl/>
        </w:rPr>
        <w:t> المندوبين</w:t>
      </w:r>
      <w:r w:rsidRPr="00193D8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193D80">
        <w:rPr>
          <w:rFonts w:hint="eastAsia"/>
          <w:rtl/>
        </w:rPr>
        <w:t>الساتلية</w:t>
      </w:r>
      <w:r w:rsidRPr="00193D80">
        <w:rPr>
          <w:rtl/>
        </w:rPr>
        <w:t xml:space="preserve">"، وفقاً للقرار </w:t>
      </w:r>
      <w:r w:rsidRPr="00193D80">
        <w:rPr>
          <w:b/>
          <w:bCs/>
        </w:rPr>
        <w:t>86 (</w:t>
      </w:r>
      <w:proofErr w:type="spellStart"/>
      <w:r w:rsidRPr="00193D80">
        <w:rPr>
          <w:b/>
          <w:bCs/>
        </w:rPr>
        <w:t>Rev.WRC</w:t>
      </w:r>
      <w:proofErr w:type="spellEnd"/>
      <w:r w:rsidRPr="00193D80">
        <w:rPr>
          <w:b/>
          <w:bCs/>
          <w:lang w:val="en-GB"/>
        </w:rPr>
        <w:noBreakHyphen/>
      </w:r>
      <w:proofErr w:type="gramStart"/>
      <w:r w:rsidRPr="00193D80">
        <w:rPr>
          <w:b/>
          <w:bCs/>
          <w:lang w:val="en-GB"/>
        </w:rPr>
        <w:t>07</w:t>
      </w:r>
      <w:r w:rsidRPr="00193D80">
        <w:rPr>
          <w:b/>
          <w:bCs/>
        </w:rPr>
        <w:t>)</w:t>
      </w:r>
      <w:r w:rsidRPr="00193D80">
        <w:rPr>
          <w:rFonts w:hint="cs"/>
          <w:b/>
          <w:bCs/>
          <w:rtl/>
        </w:rPr>
        <w:t>،</w:t>
      </w:r>
      <w:proofErr w:type="gramEnd"/>
      <w:r w:rsidRPr="00193D80">
        <w:rPr>
          <w:rtl/>
        </w:rPr>
        <w:t xml:space="preserve"> تيسيراً للاستخدام الرشيد والفع</w:t>
      </w:r>
      <w:r w:rsidRPr="00193D80">
        <w:rPr>
          <w:rFonts w:hint="cs"/>
          <w:rtl/>
        </w:rPr>
        <w:t>ّ</w:t>
      </w:r>
      <w:r w:rsidRPr="00193D8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193D80">
        <w:rPr>
          <w:rFonts w:hint="eastAsia"/>
          <w:rtl/>
        </w:rPr>
        <w:t>السواتل</w:t>
      </w:r>
      <w:proofErr w:type="spellEnd"/>
      <w:r w:rsidRPr="00193D80">
        <w:rPr>
          <w:rtl/>
        </w:rPr>
        <w:t xml:space="preserve"> المستقرة بالنسبة للأرض؛</w:t>
      </w:r>
    </w:p>
    <w:p w14:paraId="3AE09ABB" w14:textId="40F8574E" w:rsidR="00417E14" w:rsidRPr="00193D80" w:rsidRDefault="00461D2F" w:rsidP="00461D2F">
      <w:pPr>
        <w:pStyle w:val="Headingb"/>
        <w:rPr>
          <w:rtl/>
        </w:rPr>
      </w:pPr>
      <w:r w:rsidRPr="00193D80">
        <w:rPr>
          <w:rFonts w:hint="cs"/>
          <w:rtl/>
        </w:rPr>
        <w:t>مقدمة</w:t>
      </w:r>
    </w:p>
    <w:p w14:paraId="5B74A3BC" w14:textId="372CE8F7" w:rsidR="00461D2F" w:rsidRPr="00193D80" w:rsidRDefault="00372721" w:rsidP="00461D2F">
      <w:pPr>
        <w:spacing w:after="120"/>
        <w:rPr>
          <w:rtl/>
        </w:rPr>
      </w:pPr>
      <w:r w:rsidRPr="00193D80">
        <w:rPr>
          <w:rFonts w:hint="cs"/>
          <w:rtl/>
        </w:rPr>
        <w:t>تقدم</w:t>
      </w:r>
      <w:r w:rsidR="00600AF9" w:rsidRPr="00193D80">
        <w:rPr>
          <w:rtl/>
        </w:rPr>
        <w:t xml:space="preserve"> المقترحات المشتركة </w:t>
      </w:r>
      <w:r w:rsidRPr="00193D80">
        <w:rPr>
          <w:rFonts w:hint="cs"/>
          <w:rtl/>
        </w:rPr>
        <w:t>ل</w:t>
      </w:r>
      <w:r w:rsidRPr="00193D80">
        <w:rPr>
          <w:rtl/>
        </w:rPr>
        <w:t xml:space="preserve">جماعة آسيا والمحيط الهادئ للاتصالات </w:t>
      </w:r>
      <w:r w:rsidR="00600AF9" w:rsidRPr="00193D80">
        <w:rPr>
          <w:rtl/>
        </w:rPr>
        <w:t xml:space="preserve">بشأن البند 7 من جدول أعمال المؤتمر </w:t>
      </w:r>
      <w:r w:rsidR="00600AF9" w:rsidRPr="00193D80">
        <w:t>WRC-23</w:t>
      </w:r>
      <w:r w:rsidR="00600AF9" w:rsidRPr="00193D80">
        <w:rPr>
          <w:rtl/>
        </w:rPr>
        <w:t xml:space="preserve"> في </w:t>
      </w:r>
      <w:r w:rsidRPr="00193D80">
        <w:rPr>
          <w:rFonts w:hint="cs"/>
          <w:rtl/>
        </w:rPr>
        <w:t>ال</w:t>
      </w:r>
      <w:r w:rsidR="00600AF9" w:rsidRPr="00193D80">
        <w:rPr>
          <w:rtl/>
        </w:rPr>
        <w:t xml:space="preserve">إضافات </w:t>
      </w:r>
      <w:r w:rsidRPr="00193D80">
        <w:rPr>
          <w:rFonts w:hint="cs"/>
          <w:rtl/>
        </w:rPr>
        <w:t>ل</w:t>
      </w:r>
      <w:r w:rsidR="00600AF9" w:rsidRPr="00193D80">
        <w:rPr>
          <w:rtl/>
        </w:rPr>
        <w:t>هذه الوثيقة بناءً على الجدول التالي:</w:t>
      </w:r>
    </w:p>
    <w:tbl>
      <w:tblPr>
        <w:tblStyle w:val="TableGrid"/>
        <w:bidiVisual/>
        <w:tblW w:w="8817" w:type="dxa"/>
        <w:jc w:val="center"/>
        <w:tblLook w:val="04A0" w:firstRow="1" w:lastRow="0" w:firstColumn="1" w:lastColumn="0" w:noHBand="0" w:noVBand="1"/>
      </w:tblPr>
      <w:tblGrid>
        <w:gridCol w:w="5130"/>
        <w:gridCol w:w="3687"/>
      </w:tblGrid>
      <w:tr w:rsidR="00461D2F" w:rsidRPr="00193D80" w14:paraId="6BFDEC72" w14:textId="77777777" w:rsidTr="00461D2F">
        <w:trPr>
          <w:cantSplit/>
          <w:tblHeader/>
          <w:jc w:val="center"/>
        </w:trPr>
        <w:tc>
          <w:tcPr>
            <w:tcW w:w="5130" w:type="dxa"/>
          </w:tcPr>
          <w:p w14:paraId="0C7AD74C" w14:textId="2CD6583C" w:rsidR="00461D2F" w:rsidRPr="00193D80" w:rsidRDefault="00600AF9" w:rsidP="00CE6927">
            <w:pPr>
              <w:pStyle w:val="Tablehead"/>
            </w:pPr>
            <w:r w:rsidRPr="00193D80">
              <w:rPr>
                <w:rFonts w:hint="cs"/>
                <w:rtl/>
              </w:rPr>
              <w:t>موضوع البند 7 من جدول الأعمال</w:t>
            </w:r>
          </w:p>
        </w:tc>
        <w:tc>
          <w:tcPr>
            <w:tcW w:w="3687" w:type="dxa"/>
          </w:tcPr>
          <w:p w14:paraId="5FA22F50" w14:textId="2540AF4E" w:rsidR="00461D2F" w:rsidRPr="00193D80" w:rsidRDefault="00461D2F" w:rsidP="00CE6927">
            <w:pPr>
              <w:pStyle w:val="Tablehead"/>
            </w:pPr>
            <w:r w:rsidRPr="00193D80">
              <w:rPr>
                <w:rFonts w:hint="cs"/>
                <w:rtl/>
              </w:rPr>
              <w:t>الإضافة</w:t>
            </w:r>
          </w:p>
        </w:tc>
      </w:tr>
      <w:tr w:rsidR="00461D2F" w:rsidRPr="00193D80" w14:paraId="5E66EC01" w14:textId="77777777" w:rsidTr="00461D2F">
        <w:trPr>
          <w:cantSplit/>
          <w:jc w:val="center"/>
        </w:trPr>
        <w:tc>
          <w:tcPr>
            <w:tcW w:w="5130" w:type="dxa"/>
          </w:tcPr>
          <w:p w14:paraId="0764D032" w14:textId="5B5BE8A3" w:rsidR="00461D2F" w:rsidRPr="00193D80" w:rsidRDefault="00461D2F" w:rsidP="00461D2F">
            <w:pPr>
              <w:pStyle w:val="Tabletext"/>
              <w:rPr>
                <w:b/>
                <w:bCs/>
                <w:lang w:bidi="ar-EG"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A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2721" w:rsidRPr="00193D80">
              <w:rPr>
                <w:b/>
                <w:bCs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2721" w:rsidRPr="00193D80">
              <w:rPr>
                <w:rFonts w:hint="cs"/>
                <w:rtl/>
                <w:lang w:bidi="ar-EG"/>
              </w:rPr>
              <w:t>التفاوتات المسموح بها في المدار غير المستقر بالنسبة إلى الأرض</w:t>
            </w:r>
          </w:p>
        </w:tc>
        <w:tc>
          <w:tcPr>
            <w:tcW w:w="3687" w:type="dxa"/>
          </w:tcPr>
          <w:p w14:paraId="4193CE87" w14:textId="101D4D47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1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776F150D" w14:textId="77777777" w:rsidTr="00461D2F">
        <w:trPr>
          <w:cantSplit/>
          <w:jc w:val="center"/>
        </w:trPr>
        <w:tc>
          <w:tcPr>
            <w:tcW w:w="5130" w:type="dxa"/>
          </w:tcPr>
          <w:p w14:paraId="2D78CFD6" w14:textId="18B006AE" w:rsidR="00461D2F" w:rsidRPr="00193D80" w:rsidRDefault="00461D2F" w:rsidP="00461D2F">
            <w:pPr>
              <w:pStyle w:val="Tabletext"/>
              <w:rPr>
                <w:b/>
                <w:bCs/>
                <w:lang w:bidi="ar-EG"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B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2721" w:rsidRPr="00193D80">
              <w:rPr>
                <w:b/>
                <w:bCs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72721" w:rsidRPr="00193D80">
              <w:rPr>
                <w:rFonts w:hint="cs"/>
                <w:rtl/>
                <w:lang w:bidi="ar-EG"/>
              </w:rPr>
              <w:t xml:space="preserve">إجراء الإبلاغ لما بعد المراحل </w:t>
            </w:r>
          </w:p>
        </w:tc>
        <w:tc>
          <w:tcPr>
            <w:tcW w:w="3687" w:type="dxa"/>
          </w:tcPr>
          <w:p w14:paraId="0ECA06AF" w14:textId="23C3CAD9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2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585E9A73" w14:textId="77777777" w:rsidTr="00461D2F">
        <w:trPr>
          <w:cantSplit/>
          <w:jc w:val="center"/>
        </w:trPr>
        <w:tc>
          <w:tcPr>
            <w:tcW w:w="5130" w:type="dxa"/>
          </w:tcPr>
          <w:p w14:paraId="7B879DBD" w14:textId="0CD8F25C" w:rsidR="00461D2F" w:rsidRPr="00193D80" w:rsidRDefault="00461D2F" w:rsidP="00461D2F">
            <w:pPr>
              <w:pStyle w:val="Tabletext"/>
              <w:rPr>
                <w:b/>
                <w:bCs/>
                <w:lang w:val="fr-CH" w:bidi="ar-EG"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C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372721" w:rsidRPr="00193D80">
              <w:rPr>
                <w:rtl/>
                <w:lang w:bidi="ar-EG"/>
              </w:rPr>
              <w:t xml:space="preserve">حماية الخدمة المتنقلة الساتلية المستقرة بالنسبة إلى الأرض في نطاقي التردد </w:t>
            </w:r>
            <w:r w:rsidR="00372721" w:rsidRPr="00193D80">
              <w:rPr>
                <w:lang w:bidi="ar-EG"/>
              </w:rPr>
              <w:t>GHz 8/7</w:t>
            </w:r>
            <w:r w:rsidR="00372721" w:rsidRPr="00193D80">
              <w:rPr>
                <w:rtl/>
                <w:lang w:bidi="ar-EG"/>
              </w:rPr>
              <w:t xml:space="preserve"> </w:t>
            </w:r>
            <w:r w:rsidR="006A6E59" w:rsidRPr="00193D80">
              <w:rPr>
                <w:rFonts w:hint="cs"/>
                <w:rtl/>
                <w:lang w:bidi="ar-EG"/>
              </w:rPr>
              <w:t>و</w:t>
            </w:r>
            <w:r w:rsidR="006A6E59" w:rsidRPr="00193D80">
              <w:rPr>
                <w:lang w:bidi="ar-EG"/>
              </w:rPr>
              <w:t>GHz</w:t>
            </w:r>
            <w:r w:rsidRPr="00193D80">
              <w:rPr>
                <w:lang w:bidi="ar-EG"/>
              </w:rPr>
              <w:t> 30/2</w:t>
            </w:r>
            <w:r w:rsidR="00372721" w:rsidRPr="00193D80">
              <w:rPr>
                <w:lang w:val="fr-CH" w:bidi="ar-EG"/>
              </w:rPr>
              <w:t>0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1CBB4BFB" w14:textId="07D9D890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3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67BBF898" w14:textId="77777777" w:rsidTr="00461D2F">
        <w:trPr>
          <w:cantSplit/>
          <w:jc w:val="center"/>
        </w:trPr>
        <w:tc>
          <w:tcPr>
            <w:tcW w:w="5130" w:type="dxa"/>
          </w:tcPr>
          <w:p w14:paraId="78396D63" w14:textId="10A7F389" w:rsidR="00461D2F" w:rsidRPr="00193D80" w:rsidRDefault="00461D2F" w:rsidP="00461D2F">
            <w:pPr>
              <w:pStyle w:val="Tabletext"/>
              <w:rPr>
                <w:b/>
                <w:bCs/>
                <w:lang w:bidi="ar-EG"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D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14:paraId="795913E5" w14:textId="683AD02D" w:rsidR="00461D2F" w:rsidRPr="00193D80" w:rsidRDefault="00461D2F" w:rsidP="00CE6927">
            <w:pPr>
              <w:pStyle w:val="Tabletext"/>
              <w:rPr>
                <w:rtl/>
                <w:lang w:bidi="ar-EG"/>
              </w:rPr>
            </w:pPr>
            <w:r w:rsidRPr="00193D80">
              <w:t>D1</w:t>
            </w:r>
            <w:r w:rsidRPr="00193D80">
              <w:rPr>
                <w:rFonts w:hint="cs"/>
                <w:rtl/>
                <w:lang w:bidi="ar-EG"/>
              </w:rPr>
              <w:t xml:space="preserve"> - </w:t>
            </w:r>
            <w:r w:rsidR="00372721" w:rsidRPr="00193D80">
              <w:rPr>
                <w:rtl/>
                <w:lang w:bidi="ar-EG"/>
              </w:rPr>
              <w:t xml:space="preserve">تعديل التذييل </w:t>
            </w:r>
            <w:r w:rsidR="00372721" w:rsidRPr="00193D80">
              <w:rPr>
                <w:cs/>
                <w:lang w:bidi="ar-EG"/>
              </w:rPr>
              <w:t>‎</w:t>
            </w:r>
            <w:r w:rsidR="00372721" w:rsidRPr="00193D80">
              <w:rPr>
                <w:lang w:bidi="ar-EG"/>
              </w:rPr>
              <w:t>1</w:t>
            </w:r>
            <w:r w:rsidR="00372721" w:rsidRPr="00193D80">
              <w:rPr>
                <w:rtl/>
                <w:lang w:bidi="ar-EG"/>
              </w:rPr>
              <w:t xml:space="preserve"> ‏للملحق </w:t>
            </w:r>
            <w:r w:rsidR="00372721" w:rsidRPr="00193D80">
              <w:rPr>
                <w:cs/>
                <w:lang w:bidi="ar-EG"/>
              </w:rPr>
              <w:t>‎</w:t>
            </w:r>
            <w:r w:rsidR="00372721" w:rsidRPr="00193D80">
              <w:rPr>
                <w:lang w:bidi="ar-EG"/>
              </w:rPr>
              <w:t>4</w:t>
            </w:r>
            <w:r w:rsidR="00372721" w:rsidRPr="00193D80">
              <w:rPr>
                <w:rtl/>
                <w:lang w:bidi="ar-EG"/>
              </w:rPr>
              <w:t xml:space="preserve"> ‏بالتذييل </w:t>
            </w:r>
            <w:r w:rsidR="00372721" w:rsidRPr="00193D80">
              <w:rPr>
                <w:cs/>
                <w:lang w:bidi="ar-EG"/>
              </w:rPr>
              <w:t>‎</w:t>
            </w:r>
            <w:r w:rsidR="00372721" w:rsidRPr="00193D80">
              <w:rPr>
                <w:b/>
                <w:bCs/>
                <w:lang w:bidi="ar-EG"/>
              </w:rPr>
              <w:t>30B</w:t>
            </w:r>
            <w:r w:rsidR="00372721" w:rsidRPr="00193D80">
              <w:rPr>
                <w:rtl/>
                <w:lang w:bidi="ar-EG"/>
              </w:rPr>
              <w:t xml:space="preserve"> ‏للوائح الراديو</w:t>
            </w:r>
            <w:r w:rsidR="00372721" w:rsidRPr="00193D80">
              <w:rPr>
                <w:cs/>
                <w:lang w:bidi="ar-EG"/>
              </w:rPr>
              <w:t>‎</w:t>
            </w:r>
          </w:p>
          <w:p w14:paraId="600458D7" w14:textId="7B9FED5A" w:rsidR="00461D2F" w:rsidRPr="00193D80" w:rsidRDefault="00461D2F" w:rsidP="00CE6927">
            <w:pPr>
              <w:pStyle w:val="Tabletext"/>
              <w:rPr>
                <w:rtl/>
                <w:lang w:bidi="ar-EG"/>
              </w:rPr>
            </w:pPr>
            <w:r w:rsidRPr="00193D80">
              <w:rPr>
                <w:lang w:bidi="ar-EG"/>
              </w:rPr>
              <w:t>D2</w:t>
            </w:r>
            <w:r w:rsidRPr="00193D80">
              <w:rPr>
                <w:rFonts w:hint="cs"/>
                <w:rtl/>
                <w:lang w:bidi="ar-EG"/>
              </w:rPr>
              <w:t xml:space="preserve"> </w:t>
            </w:r>
            <w:r w:rsidR="004F701E" w:rsidRPr="00193D80">
              <w:rPr>
                <w:rtl/>
                <w:lang w:bidi="ar-EG"/>
              </w:rPr>
              <w:t>–</w:t>
            </w:r>
            <w:r w:rsidRPr="00193D80">
              <w:rPr>
                <w:rFonts w:hint="cs"/>
                <w:rtl/>
                <w:lang w:bidi="ar-EG"/>
              </w:rPr>
              <w:t xml:space="preserve"> </w:t>
            </w:r>
            <w:r w:rsidR="00372721" w:rsidRPr="00193D80">
              <w:rPr>
                <w:rtl/>
                <w:lang w:bidi="ar-EG"/>
              </w:rPr>
              <w:t>معلمات</w:t>
            </w:r>
            <w:r w:rsidR="004F701E" w:rsidRPr="00193D80">
              <w:rPr>
                <w:rFonts w:hint="cs"/>
                <w:rtl/>
                <w:lang w:bidi="ar-EG"/>
              </w:rPr>
              <w:t xml:space="preserve"> جديدة للتذييل</w:t>
            </w:r>
            <w:r w:rsidR="00372721" w:rsidRPr="00193D80">
              <w:rPr>
                <w:rtl/>
                <w:lang w:bidi="ar-EG"/>
              </w:rPr>
              <w:t xml:space="preserve"> 4 للوائح الراديو </w:t>
            </w:r>
            <w:r w:rsidR="004F701E" w:rsidRPr="00193D80">
              <w:rPr>
                <w:rFonts w:hint="cs"/>
                <w:rtl/>
                <w:lang w:bidi="ar-EG"/>
              </w:rPr>
              <w:t xml:space="preserve">من أجل </w:t>
            </w:r>
            <w:r w:rsidR="00372721" w:rsidRPr="00193D80">
              <w:rPr>
                <w:rtl/>
                <w:lang w:bidi="ar-EG"/>
              </w:rPr>
              <w:t xml:space="preserve">تحديثات التوصية </w:t>
            </w:r>
            <w:r w:rsidR="00372721" w:rsidRPr="00193D80">
              <w:rPr>
                <w:lang w:bidi="ar-EG"/>
              </w:rPr>
              <w:t>ITU-R S.1503</w:t>
            </w:r>
          </w:p>
          <w:p w14:paraId="2D6DBBCF" w14:textId="6B955D02" w:rsidR="00461D2F" w:rsidRPr="00193D80" w:rsidRDefault="00461D2F" w:rsidP="00461D2F">
            <w:pPr>
              <w:pStyle w:val="Tabletext"/>
              <w:rPr>
                <w:lang w:bidi="ar-EG"/>
              </w:rPr>
            </w:pPr>
            <w:r w:rsidRPr="00193D80">
              <w:rPr>
                <w:lang w:bidi="ar-EG"/>
              </w:rPr>
              <w:t>D3</w:t>
            </w:r>
            <w:r w:rsidRPr="00193D80">
              <w:rPr>
                <w:rFonts w:hint="cs"/>
                <w:rtl/>
                <w:lang w:bidi="ar-EG"/>
              </w:rPr>
              <w:t xml:space="preserve"> - </w:t>
            </w:r>
            <w:proofErr w:type="spellStart"/>
            <w:r w:rsidR="00372721" w:rsidRPr="00193D80">
              <w:rPr>
                <w:rtl/>
                <w:lang w:bidi="ar-EG"/>
              </w:rPr>
              <w:t>تذكيرات</w:t>
            </w:r>
            <w:proofErr w:type="spellEnd"/>
            <w:r w:rsidR="00372721" w:rsidRPr="00193D80">
              <w:rPr>
                <w:rtl/>
                <w:lang w:bidi="ar-EG"/>
              </w:rPr>
              <w:t xml:space="preserve"> مكتب الاتصالات الراديوية بشأن الوضع في الخدمة/إعادة الوضع في الخدمة</w:t>
            </w:r>
          </w:p>
        </w:tc>
        <w:tc>
          <w:tcPr>
            <w:tcW w:w="3687" w:type="dxa"/>
            <w:vAlign w:val="bottom"/>
          </w:tcPr>
          <w:p w14:paraId="65CAB2FD" w14:textId="367459FC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4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  <w:p w14:paraId="2C4175FE" w14:textId="0A1B7CD6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5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  <w:p w14:paraId="66586232" w14:textId="5CF3ABCF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6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56F84F76" w14:textId="77777777" w:rsidTr="00461D2F">
        <w:trPr>
          <w:cantSplit/>
          <w:jc w:val="center"/>
        </w:trPr>
        <w:tc>
          <w:tcPr>
            <w:tcW w:w="5130" w:type="dxa"/>
          </w:tcPr>
          <w:p w14:paraId="313CD6A8" w14:textId="01379041" w:rsidR="00461D2F" w:rsidRPr="00193D80" w:rsidRDefault="00461D2F" w:rsidP="00461D2F">
            <w:pPr>
              <w:pStyle w:val="Tabletext"/>
            </w:pPr>
            <w:r w:rsidRPr="00193D80">
              <w:rPr>
                <w:rFonts w:hint="cs"/>
                <w:b/>
                <w:bCs/>
                <w:rtl/>
              </w:rPr>
              <w:lastRenderedPageBreak/>
              <w:t xml:space="preserve">الموضوع </w:t>
            </w:r>
            <w:r w:rsidRPr="00193D80">
              <w:rPr>
                <w:b/>
                <w:bCs/>
              </w:rPr>
              <w:t>E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DE1B7E" w:rsidRPr="00193D80">
              <w:rPr>
                <w:rFonts w:hint="cs"/>
                <w:rtl/>
                <w:lang w:val="fr-CH" w:bidi="ar-SY"/>
              </w:rPr>
              <w:t>ت</w:t>
            </w:r>
            <w:r w:rsidR="00372721" w:rsidRPr="00193D80">
              <w:rPr>
                <w:rtl/>
                <w:lang w:bidi="ar-EG"/>
              </w:rPr>
              <w:t xml:space="preserve">حسين إجراءات التذييل </w:t>
            </w:r>
            <w:r w:rsidR="00372721" w:rsidRPr="00193D80">
              <w:rPr>
                <w:b/>
                <w:bCs/>
                <w:lang w:val="fr-CH" w:bidi="ar-EG"/>
              </w:rPr>
              <w:t>30B</w:t>
            </w:r>
            <w:r w:rsidR="00372721" w:rsidRPr="00193D80">
              <w:rPr>
                <w:rtl/>
                <w:lang w:bidi="ar-EG"/>
              </w:rPr>
              <w:t xml:space="preserve"> للوائح الراديو من أجل الدول الأعضاء الجدد في الاتحاد</w:t>
            </w:r>
          </w:p>
        </w:tc>
        <w:tc>
          <w:tcPr>
            <w:tcW w:w="3687" w:type="dxa"/>
          </w:tcPr>
          <w:p w14:paraId="0603B30B" w14:textId="4BA5C848" w:rsidR="00461D2F" w:rsidRPr="00193D80" w:rsidRDefault="00461D2F" w:rsidP="00461D2F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7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577587EF" w14:textId="77777777" w:rsidTr="00461D2F">
        <w:trPr>
          <w:cantSplit/>
          <w:jc w:val="center"/>
        </w:trPr>
        <w:tc>
          <w:tcPr>
            <w:tcW w:w="5130" w:type="dxa"/>
          </w:tcPr>
          <w:p w14:paraId="0F0D50FD" w14:textId="6F8B8EC3" w:rsidR="00461D2F" w:rsidRPr="00193D80" w:rsidRDefault="00461D2F" w:rsidP="00461D2F">
            <w:pPr>
              <w:pStyle w:val="Tabletext"/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F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372721" w:rsidRPr="00193D80">
              <w:rPr>
                <w:rtl/>
                <w:lang w:bidi="ar-EG"/>
              </w:rPr>
              <w:t xml:space="preserve">استبعاد منطقة الخدمة للوصلة الصاعدة في التذييل </w:t>
            </w:r>
            <w:r w:rsidR="00372721" w:rsidRPr="00193D80">
              <w:rPr>
                <w:b/>
                <w:bCs/>
                <w:lang w:bidi="ar-EG"/>
              </w:rPr>
              <w:t>30A</w:t>
            </w:r>
            <w:r w:rsidR="00372721" w:rsidRPr="00193D80">
              <w:rPr>
                <w:rtl/>
                <w:lang w:bidi="ar-EG"/>
              </w:rPr>
              <w:t xml:space="preserve"> من لوائح الراديو فيما يتعلق بالإقليمين 1 و3 والتذييل </w:t>
            </w:r>
            <w:r w:rsidR="00372721" w:rsidRPr="00193D80">
              <w:rPr>
                <w:b/>
                <w:bCs/>
                <w:lang w:bidi="ar-EG"/>
              </w:rPr>
              <w:t>30B</w:t>
            </w:r>
            <w:r w:rsidR="00372721" w:rsidRPr="00193D80">
              <w:rPr>
                <w:rtl/>
                <w:lang w:bidi="ar-EG"/>
              </w:rPr>
              <w:t xml:space="preserve"> من لوائح الراديو</w:t>
            </w:r>
          </w:p>
        </w:tc>
        <w:tc>
          <w:tcPr>
            <w:tcW w:w="3687" w:type="dxa"/>
          </w:tcPr>
          <w:p w14:paraId="0CE8BBB3" w14:textId="3201549D" w:rsidR="00461D2F" w:rsidRPr="00193D80" w:rsidRDefault="00461D2F" w:rsidP="00461D2F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8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5FED6100" w14:textId="77777777" w:rsidTr="00461D2F">
        <w:trPr>
          <w:cantSplit/>
          <w:jc w:val="center"/>
        </w:trPr>
        <w:tc>
          <w:tcPr>
            <w:tcW w:w="5130" w:type="dxa"/>
          </w:tcPr>
          <w:p w14:paraId="52ECC7B8" w14:textId="19FD5E49" w:rsidR="00461D2F" w:rsidRPr="00193D80" w:rsidRDefault="00461D2F" w:rsidP="00461D2F">
            <w:pPr>
              <w:pStyle w:val="Tabletext"/>
              <w:rPr>
                <w:b/>
                <w:bCs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G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372721" w:rsidRPr="00193D80">
              <w:rPr>
                <w:rFonts w:hint="cs"/>
                <w:rtl/>
                <w:lang w:bidi="ar-SY"/>
              </w:rPr>
              <w:t>تعديل</w:t>
            </w:r>
            <w:r w:rsidRPr="00193D80">
              <w:rPr>
                <w:rFonts w:hint="cs"/>
                <w:rtl/>
                <w:lang w:bidi="ar-EG"/>
              </w:rPr>
              <w:t xml:space="preserve"> القرار </w:t>
            </w:r>
            <w:r w:rsidRPr="00193D80">
              <w:rPr>
                <w:b/>
                <w:bCs/>
                <w:lang w:bidi="ar-EG"/>
              </w:rPr>
              <w:t>770</w:t>
            </w:r>
            <w:r w:rsidR="00372721" w:rsidRPr="00193D80">
              <w:rPr>
                <w:b/>
                <w:bCs/>
                <w:lang w:val="fr-CH" w:bidi="ar-EG"/>
              </w:rPr>
              <w:t xml:space="preserve"> </w:t>
            </w:r>
            <w:r w:rsidRPr="00193D80">
              <w:rPr>
                <w:b/>
                <w:bCs/>
                <w:lang w:bidi="ar-EG"/>
              </w:rPr>
              <w:t>(WRC-19)</w:t>
            </w:r>
          </w:p>
        </w:tc>
        <w:tc>
          <w:tcPr>
            <w:tcW w:w="3687" w:type="dxa"/>
          </w:tcPr>
          <w:p w14:paraId="60B6CD43" w14:textId="1F7E1A1F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 xml:space="preserve">الإضافة </w:t>
            </w:r>
            <w:r w:rsidRPr="00193D80">
              <w:t>9</w:t>
            </w:r>
            <w:r w:rsidRPr="00193D80">
              <w:rPr>
                <w:rFonts w:hint="cs"/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43B9F7D7" w14:textId="77777777" w:rsidTr="00461D2F">
        <w:trPr>
          <w:cantSplit/>
          <w:jc w:val="center"/>
        </w:trPr>
        <w:tc>
          <w:tcPr>
            <w:tcW w:w="5130" w:type="dxa"/>
          </w:tcPr>
          <w:p w14:paraId="30AF18CA" w14:textId="39C42F75" w:rsidR="00461D2F" w:rsidRPr="00193D80" w:rsidRDefault="00461D2F" w:rsidP="00461D2F">
            <w:pPr>
              <w:pStyle w:val="Tabletext"/>
              <w:rPr>
                <w:b/>
                <w:bCs/>
                <w:lang w:val="fr-CH" w:bidi="ar-SY"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H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E1B7E" w:rsidRPr="00193D80">
              <w:rPr>
                <w:b/>
                <w:bCs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E1B7E" w:rsidRPr="00193D80">
              <w:rPr>
                <w:rFonts w:hint="cs"/>
                <w:rtl/>
                <w:lang w:bidi="ar-EG"/>
              </w:rPr>
              <w:t>تعزيز الحماية</w:t>
            </w:r>
            <w:r w:rsidR="00C03208" w:rsidRPr="00193D80">
              <w:rPr>
                <w:rtl/>
                <w:lang w:bidi="ar-EG"/>
              </w:rPr>
              <w:t xml:space="preserve"> </w:t>
            </w:r>
            <w:r w:rsidR="00DE1B7E" w:rsidRPr="00193D80">
              <w:rPr>
                <w:rFonts w:hint="cs"/>
                <w:rtl/>
                <w:lang w:bidi="ar-EG"/>
              </w:rPr>
              <w:t xml:space="preserve">بموجب </w:t>
            </w:r>
            <w:proofErr w:type="spellStart"/>
            <w:r w:rsidR="00DE1B7E" w:rsidRPr="00193D80">
              <w:rPr>
                <w:rFonts w:hint="cs"/>
                <w:rtl/>
                <w:lang w:bidi="ar-EG"/>
              </w:rPr>
              <w:t>التذييلات</w:t>
            </w:r>
            <w:proofErr w:type="spellEnd"/>
            <w:r w:rsidR="00DE1B7E" w:rsidRPr="00193D80">
              <w:rPr>
                <w:rFonts w:hint="cs"/>
                <w:rtl/>
                <w:lang w:bidi="ar-EG"/>
              </w:rPr>
              <w:t xml:space="preserve"> </w:t>
            </w:r>
            <w:r w:rsidR="00DE1B7E" w:rsidRPr="00193D80">
              <w:rPr>
                <w:b/>
                <w:bCs/>
                <w:lang w:val="fr-CH" w:bidi="ar-EG"/>
              </w:rPr>
              <w:t>30</w:t>
            </w:r>
            <w:r w:rsidR="00DE1B7E" w:rsidRPr="00193D80">
              <w:rPr>
                <w:rFonts w:hint="cs"/>
                <w:rtl/>
                <w:lang w:val="fr-CH" w:bidi="ar-SY"/>
              </w:rPr>
              <w:t xml:space="preserve"> و</w:t>
            </w:r>
            <w:r w:rsidR="00DE1B7E" w:rsidRPr="00193D80">
              <w:rPr>
                <w:b/>
                <w:bCs/>
                <w:lang w:val="fr-CH" w:bidi="ar-SY"/>
              </w:rPr>
              <w:t>30A</w:t>
            </w:r>
            <w:r w:rsidR="00DE1B7E" w:rsidRPr="00193D80">
              <w:rPr>
                <w:rFonts w:hint="cs"/>
                <w:rtl/>
                <w:lang w:val="fr-CH" w:bidi="ar-SY"/>
              </w:rPr>
              <w:t xml:space="preserve"> و</w:t>
            </w:r>
            <w:r w:rsidR="00DE1B7E" w:rsidRPr="00193D80">
              <w:rPr>
                <w:b/>
                <w:bCs/>
                <w:lang w:val="fr-CH" w:bidi="ar-SY"/>
              </w:rPr>
              <w:t>30B</w:t>
            </w:r>
          </w:p>
        </w:tc>
        <w:tc>
          <w:tcPr>
            <w:tcW w:w="3687" w:type="dxa"/>
          </w:tcPr>
          <w:p w14:paraId="4856C46A" w14:textId="21EFBE13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>الإضافة</w:t>
            </w:r>
            <w:r w:rsidR="000B4A3E" w:rsidRPr="00193D80">
              <w:rPr>
                <w:rFonts w:hint="cs"/>
                <w:rtl/>
                <w:lang w:bidi="ar-SY"/>
              </w:rPr>
              <w:t xml:space="preserve"> 10</w:t>
            </w:r>
            <w:r w:rsidRPr="00193D80">
              <w:rPr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7BBEC99D" w14:textId="77777777" w:rsidTr="00461D2F">
        <w:trPr>
          <w:cantSplit/>
          <w:jc w:val="center"/>
        </w:trPr>
        <w:tc>
          <w:tcPr>
            <w:tcW w:w="5130" w:type="dxa"/>
          </w:tcPr>
          <w:p w14:paraId="5065CB12" w14:textId="2948EAD8" w:rsidR="00461D2F" w:rsidRPr="00193D80" w:rsidRDefault="00461D2F" w:rsidP="00CE6927">
            <w:pPr>
              <w:pStyle w:val="Tabletext"/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I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="00C03208" w:rsidRPr="00193D80">
              <w:rPr>
                <w:rtl/>
                <w:lang w:bidi="ar-EG"/>
              </w:rPr>
              <w:t xml:space="preserve">اتفاقات خاصة بموجب التذييل </w:t>
            </w:r>
            <w:r w:rsidR="00C03208" w:rsidRPr="00193D80">
              <w:rPr>
                <w:b/>
                <w:bCs/>
                <w:lang w:bidi="ar-EG"/>
              </w:rPr>
              <w:t>30B</w:t>
            </w:r>
            <w:r w:rsidR="00C03208" w:rsidRPr="00193D80">
              <w:rPr>
                <w:rtl/>
                <w:lang w:bidi="ar-EG"/>
              </w:rPr>
              <w:t xml:space="preserve"> من لوائح الراديو</w:t>
            </w:r>
          </w:p>
        </w:tc>
        <w:tc>
          <w:tcPr>
            <w:tcW w:w="3687" w:type="dxa"/>
          </w:tcPr>
          <w:p w14:paraId="6C2C54D1" w14:textId="29CE56A1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>الإضافة</w:t>
            </w:r>
            <w:r w:rsidR="000B4A3E" w:rsidRPr="00193D80">
              <w:rPr>
                <w:rFonts w:hint="cs"/>
                <w:rtl/>
              </w:rPr>
              <w:t xml:space="preserve"> 11</w:t>
            </w:r>
            <w:r w:rsidRPr="00193D80">
              <w:rPr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3A9EC041" w14:textId="77777777" w:rsidTr="00461D2F">
        <w:trPr>
          <w:cantSplit/>
          <w:jc w:val="center"/>
        </w:trPr>
        <w:tc>
          <w:tcPr>
            <w:tcW w:w="5130" w:type="dxa"/>
          </w:tcPr>
          <w:p w14:paraId="61497741" w14:textId="0F134074" w:rsidR="00461D2F" w:rsidRPr="00193D80" w:rsidRDefault="00461D2F" w:rsidP="00CE6927">
            <w:pPr>
              <w:pStyle w:val="Tabletext"/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J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F701E" w:rsidRPr="00193D80">
              <w:rPr>
                <w:b/>
                <w:bCs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F701E" w:rsidRPr="00193D80">
              <w:rPr>
                <w:rFonts w:hint="cs"/>
                <w:rtl/>
                <w:lang w:bidi="ar-EG"/>
              </w:rPr>
              <w:t>إدخال</w:t>
            </w:r>
            <w:r w:rsidR="004F701E"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03208" w:rsidRPr="00193D80">
              <w:rPr>
                <w:rtl/>
                <w:lang w:bidi="ar-EG"/>
              </w:rPr>
              <w:t>تعديلات على</w:t>
            </w:r>
            <w:r w:rsidR="00C03208" w:rsidRPr="00193D80">
              <w:rPr>
                <w:lang w:bidi="ar-EG"/>
              </w:rPr>
              <w:t xml:space="preserve"> </w:t>
            </w:r>
            <w:r w:rsidRPr="00193D80">
              <w:rPr>
                <w:rFonts w:hint="cs"/>
                <w:rtl/>
                <w:lang w:bidi="ar-EG"/>
              </w:rPr>
              <w:t xml:space="preserve">القرار </w:t>
            </w:r>
            <w:r w:rsidRPr="00193D80">
              <w:rPr>
                <w:b/>
                <w:bCs/>
              </w:rPr>
              <w:t>76 (Rev.WRC-15)</w:t>
            </w:r>
          </w:p>
        </w:tc>
        <w:tc>
          <w:tcPr>
            <w:tcW w:w="3687" w:type="dxa"/>
          </w:tcPr>
          <w:p w14:paraId="5A70F61E" w14:textId="5CF35C64" w:rsidR="00461D2F" w:rsidRPr="00193D80" w:rsidRDefault="00461D2F" w:rsidP="00CE6927">
            <w:pPr>
              <w:pStyle w:val="Tabletext"/>
            </w:pPr>
            <w:r w:rsidRPr="00193D80">
              <w:rPr>
                <w:rtl/>
              </w:rPr>
              <w:t>الإضافة</w:t>
            </w:r>
            <w:r w:rsidR="000B4A3E" w:rsidRPr="00193D80">
              <w:rPr>
                <w:rFonts w:hint="cs"/>
                <w:rtl/>
              </w:rPr>
              <w:t xml:space="preserve"> 22</w:t>
            </w:r>
            <w:r w:rsidRPr="00193D80">
              <w:rPr>
                <w:rtl/>
              </w:rPr>
              <w:t xml:space="preserve"> </w:t>
            </w:r>
            <w:r w:rsidRPr="00193D80">
              <w:t>(Add.22)</w:t>
            </w:r>
          </w:p>
        </w:tc>
      </w:tr>
      <w:tr w:rsidR="00461D2F" w:rsidRPr="00193D80" w14:paraId="16AD3F0C" w14:textId="77777777" w:rsidTr="00461D2F">
        <w:trPr>
          <w:cantSplit/>
          <w:jc w:val="center"/>
        </w:trPr>
        <w:tc>
          <w:tcPr>
            <w:tcW w:w="5130" w:type="dxa"/>
          </w:tcPr>
          <w:p w14:paraId="774251E8" w14:textId="4DDB6B32" w:rsidR="00461D2F" w:rsidRPr="00193D80" w:rsidRDefault="00461D2F" w:rsidP="00461D2F">
            <w:pPr>
              <w:pStyle w:val="Tabletext"/>
              <w:rPr>
                <w:b/>
                <w:bCs/>
              </w:rPr>
            </w:pPr>
            <w:r w:rsidRPr="00193D80">
              <w:rPr>
                <w:rFonts w:hint="cs"/>
                <w:b/>
                <w:bCs/>
                <w:rtl/>
              </w:rPr>
              <w:t xml:space="preserve">الموضوع </w:t>
            </w:r>
            <w:r w:rsidRPr="00193D80">
              <w:rPr>
                <w:b/>
                <w:bCs/>
              </w:rPr>
              <w:t>K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F701E" w:rsidRPr="00193D80">
              <w:rPr>
                <w:b/>
                <w:bCs/>
                <w:rtl/>
                <w:lang w:bidi="ar-EG"/>
              </w:rPr>
              <w:t>–</w:t>
            </w:r>
            <w:r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F701E" w:rsidRPr="00193D80">
              <w:rPr>
                <w:rFonts w:hint="cs"/>
                <w:rtl/>
                <w:lang w:bidi="ar-EG"/>
              </w:rPr>
              <w:t>إدخال</w:t>
            </w:r>
            <w:r w:rsidR="004F701E" w:rsidRPr="00193D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03208" w:rsidRPr="00193D80">
              <w:rPr>
                <w:rtl/>
                <w:lang w:bidi="ar-EG"/>
              </w:rPr>
              <w:t>تعديلات على</w:t>
            </w:r>
            <w:r w:rsidRPr="00193D80">
              <w:rPr>
                <w:rFonts w:hint="cs"/>
                <w:rtl/>
                <w:lang w:bidi="ar-EG"/>
              </w:rPr>
              <w:t xml:space="preserve"> القرار </w:t>
            </w:r>
            <w:r w:rsidRPr="00193D80">
              <w:rPr>
                <w:b/>
                <w:bCs/>
              </w:rPr>
              <w:t>553 (Rev.WRC-15)</w:t>
            </w:r>
          </w:p>
        </w:tc>
        <w:tc>
          <w:tcPr>
            <w:tcW w:w="3687" w:type="dxa"/>
          </w:tcPr>
          <w:p w14:paraId="464D1862" w14:textId="6ED20A2B" w:rsidR="00461D2F" w:rsidRPr="00193D80" w:rsidRDefault="00461D2F" w:rsidP="00CE6927">
            <w:pPr>
              <w:pStyle w:val="Tabletext"/>
            </w:pPr>
            <w:bookmarkStart w:id="1" w:name="_Hlk150792554"/>
            <w:r w:rsidRPr="00193D80">
              <w:rPr>
                <w:rtl/>
              </w:rPr>
              <w:t>الإضافة</w:t>
            </w:r>
            <w:r w:rsidR="000B4A3E" w:rsidRPr="00193D80">
              <w:rPr>
                <w:rFonts w:hint="cs"/>
                <w:rtl/>
              </w:rPr>
              <w:t xml:space="preserve"> 13</w:t>
            </w:r>
            <w:r w:rsidRPr="00193D80">
              <w:rPr>
                <w:rtl/>
              </w:rPr>
              <w:t xml:space="preserve"> </w:t>
            </w:r>
            <w:r w:rsidRPr="00193D80">
              <w:t>(Add.22)</w:t>
            </w:r>
            <w:bookmarkEnd w:id="1"/>
          </w:p>
        </w:tc>
      </w:tr>
    </w:tbl>
    <w:p w14:paraId="141D26CE" w14:textId="77777777" w:rsidR="00193D80" w:rsidRDefault="00193D80" w:rsidP="00193D80">
      <w:pPr>
        <w:pStyle w:val="Tablefin"/>
        <w:bidi/>
        <w:rPr>
          <w:lang w:bidi="ar-EG"/>
        </w:rPr>
      </w:pPr>
    </w:p>
    <w:p w14:paraId="2BEC209A" w14:textId="53703E91" w:rsidR="00FD7BB8" w:rsidRPr="00B269D2" w:rsidRDefault="00461D2F" w:rsidP="00461D2F">
      <w:pPr>
        <w:spacing w:before="600"/>
        <w:jc w:val="center"/>
      </w:pPr>
      <w:r w:rsidRPr="00193D8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D7BB8" w:rsidRPr="00B269D2" w:rsidSect="004C67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AE3E" w14:textId="77777777" w:rsidR="00592023" w:rsidRDefault="00592023" w:rsidP="002919E1">
      <w:r>
        <w:separator/>
      </w:r>
    </w:p>
    <w:p w14:paraId="73EE4B99" w14:textId="77777777" w:rsidR="00592023" w:rsidRDefault="00592023" w:rsidP="002919E1"/>
    <w:p w14:paraId="17D72CF0" w14:textId="77777777" w:rsidR="00592023" w:rsidRDefault="00592023" w:rsidP="002919E1"/>
    <w:p w14:paraId="34E3AC82" w14:textId="77777777" w:rsidR="00592023" w:rsidRDefault="00592023"/>
    <w:p w14:paraId="1D5DCF58" w14:textId="77777777" w:rsidR="00592023" w:rsidRDefault="00592023"/>
  </w:endnote>
  <w:endnote w:type="continuationSeparator" w:id="0">
    <w:p w14:paraId="1032BCBD" w14:textId="77777777" w:rsidR="00592023" w:rsidRDefault="00592023" w:rsidP="002919E1">
      <w:r>
        <w:continuationSeparator/>
      </w:r>
    </w:p>
    <w:p w14:paraId="057F6446" w14:textId="77777777" w:rsidR="00592023" w:rsidRDefault="00592023" w:rsidP="002919E1"/>
    <w:p w14:paraId="03367B18" w14:textId="77777777" w:rsidR="00592023" w:rsidRDefault="00592023" w:rsidP="002919E1"/>
    <w:p w14:paraId="5C1CFAE5" w14:textId="77777777" w:rsidR="00592023" w:rsidRDefault="00592023"/>
    <w:p w14:paraId="5ED1FF5B" w14:textId="77777777" w:rsidR="00592023" w:rsidRDefault="00592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0C25" w14:textId="2C40760C" w:rsidR="00D63A6F" w:rsidRPr="00600AF9" w:rsidRDefault="00F068DA" w:rsidP="00F068D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600AF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64B8">
      <w:rPr>
        <w:noProof/>
        <w:sz w:val="16"/>
        <w:szCs w:val="16"/>
        <w:lang w:val="pt-PT"/>
      </w:rPr>
      <w:t>P:\ARA\ITU-R\CONF-R\CMR23\000\062ADD22A.docx</w:t>
    </w:r>
    <w:r w:rsidRPr="0026373E">
      <w:rPr>
        <w:sz w:val="16"/>
        <w:szCs w:val="16"/>
      </w:rPr>
      <w:fldChar w:fldCharType="end"/>
    </w:r>
    <w:r w:rsidRPr="00600AF9">
      <w:rPr>
        <w:sz w:val="16"/>
        <w:szCs w:val="16"/>
        <w:lang w:val="pt-PT"/>
      </w:rPr>
      <w:t xml:space="preserve">   (528633)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3879" w14:textId="77777777" w:rsidR="00A964B8" w:rsidRDefault="00A96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4091" w14:textId="5AB53732" w:rsidR="00461D2F" w:rsidRPr="00600AF9" w:rsidRDefault="00461D2F" w:rsidP="00461D2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600AF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64B8">
      <w:rPr>
        <w:noProof/>
        <w:sz w:val="16"/>
        <w:szCs w:val="16"/>
        <w:lang w:val="pt-PT"/>
      </w:rPr>
      <w:t>P:\ARA\ITU-R\CONF-R\CMR23\000\062ADD22A.docx</w:t>
    </w:r>
    <w:r w:rsidRPr="0026373E">
      <w:rPr>
        <w:sz w:val="16"/>
        <w:szCs w:val="16"/>
      </w:rPr>
      <w:fldChar w:fldCharType="end"/>
    </w:r>
    <w:r w:rsidRPr="00600AF9">
      <w:rPr>
        <w:sz w:val="16"/>
        <w:szCs w:val="16"/>
        <w:lang w:val="pt-PT"/>
      </w:rPr>
      <w:t xml:space="preserve">   (</w:t>
    </w:r>
    <w:r w:rsidR="00F068DA" w:rsidRPr="00600AF9">
      <w:rPr>
        <w:sz w:val="16"/>
        <w:szCs w:val="16"/>
        <w:lang w:val="pt-PT"/>
      </w:rPr>
      <w:t>528633</w:t>
    </w:r>
    <w:r w:rsidRPr="00600AF9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074F" w14:textId="77777777" w:rsidR="00592023" w:rsidRDefault="00592023" w:rsidP="00C45930">
      <w:r>
        <w:separator/>
      </w:r>
    </w:p>
  </w:footnote>
  <w:footnote w:type="continuationSeparator" w:id="0">
    <w:p w14:paraId="5ADCCD95" w14:textId="77777777" w:rsidR="00592023" w:rsidRDefault="00592023" w:rsidP="002919E1">
      <w:r>
        <w:continuationSeparator/>
      </w:r>
    </w:p>
    <w:p w14:paraId="63C7BC3F" w14:textId="77777777" w:rsidR="00592023" w:rsidRDefault="00592023" w:rsidP="002919E1"/>
    <w:p w14:paraId="008DA50B" w14:textId="77777777" w:rsidR="00592023" w:rsidRDefault="00592023" w:rsidP="002919E1"/>
    <w:p w14:paraId="5501368A" w14:textId="77777777" w:rsidR="00592023" w:rsidRDefault="00592023"/>
    <w:p w14:paraId="2A963808" w14:textId="77777777" w:rsidR="00592023" w:rsidRDefault="0059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F84E" w14:textId="77777777" w:rsidR="005E5F16" w:rsidRPr="00461D2F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461D2F">
      <w:rPr>
        <w:rStyle w:val="PageNumber"/>
        <w:rFonts w:ascii="Dubai" w:hAnsi="Dubai" w:cs="Dubai"/>
      </w:rPr>
      <w:fldChar w:fldCharType="begin"/>
    </w:r>
    <w:r w:rsidRPr="00461D2F">
      <w:rPr>
        <w:rStyle w:val="PageNumber"/>
        <w:rFonts w:ascii="Dubai" w:hAnsi="Dubai" w:cs="Dubai"/>
      </w:rPr>
      <w:instrText xml:space="preserve"> PAGE </w:instrText>
    </w:r>
    <w:r w:rsidRPr="00461D2F">
      <w:rPr>
        <w:rStyle w:val="PageNumber"/>
        <w:rFonts w:ascii="Dubai" w:hAnsi="Dubai" w:cs="Dubai"/>
      </w:rPr>
      <w:fldChar w:fldCharType="separate"/>
    </w:r>
    <w:r w:rsidRPr="00461D2F">
      <w:rPr>
        <w:rStyle w:val="PageNumber"/>
        <w:rFonts w:ascii="Dubai" w:hAnsi="Dubai" w:cs="Dubai"/>
      </w:rPr>
      <w:t>2</w:t>
    </w:r>
    <w:r w:rsidRPr="00461D2F">
      <w:rPr>
        <w:rStyle w:val="PageNumber"/>
        <w:rFonts w:ascii="Dubai" w:hAnsi="Dubai" w:cs="Dubai"/>
      </w:rPr>
      <w:fldChar w:fldCharType="end"/>
    </w:r>
    <w:r w:rsidRPr="00461D2F">
      <w:rPr>
        <w:rStyle w:val="PageNumber"/>
        <w:rFonts w:ascii="Dubai" w:hAnsi="Dubai" w:cs="Dubai"/>
        <w:rtl/>
      </w:rPr>
      <w:br/>
    </w:r>
    <w:r w:rsidR="004F5F29" w:rsidRPr="00461D2F">
      <w:rPr>
        <w:rStyle w:val="PageNumber"/>
        <w:rFonts w:ascii="Dubai" w:hAnsi="Dubai" w:cs="Dubai"/>
      </w:rPr>
      <w:t>WRC</w:t>
    </w:r>
    <w:r w:rsidRPr="00461D2F">
      <w:rPr>
        <w:rStyle w:val="PageNumber"/>
        <w:rFonts w:ascii="Dubai" w:hAnsi="Dubai" w:cs="Dubai"/>
      </w:rPr>
      <w:t>23/62(Add.22)-A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0433" w14:textId="77777777" w:rsidR="00A964B8" w:rsidRDefault="00A96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CF2E" w14:textId="77777777" w:rsidR="00A964B8" w:rsidRDefault="00A96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23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B2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889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E5B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5777959">
    <w:abstractNumId w:val="9"/>
  </w:num>
  <w:num w:numId="2" w16cid:durableId="42994260">
    <w:abstractNumId w:val="13"/>
  </w:num>
  <w:num w:numId="3" w16cid:durableId="1789661438">
    <w:abstractNumId w:val="11"/>
  </w:num>
  <w:num w:numId="4" w16cid:durableId="1237126841">
    <w:abstractNumId w:val="14"/>
  </w:num>
  <w:num w:numId="5" w16cid:durableId="1199973163">
    <w:abstractNumId w:val="7"/>
  </w:num>
  <w:num w:numId="6" w16cid:durableId="1399203782">
    <w:abstractNumId w:val="6"/>
  </w:num>
  <w:num w:numId="7" w16cid:durableId="529802782">
    <w:abstractNumId w:val="5"/>
  </w:num>
  <w:num w:numId="8" w16cid:durableId="1498836993">
    <w:abstractNumId w:val="4"/>
  </w:num>
  <w:num w:numId="9" w16cid:durableId="1049912145">
    <w:abstractNumId w:val="8"/>
  </w:num>
  <w:num w:numId="10" w16cid:durableId="1681010538">
    <w:abstractNumId w:val="3"/>
  </w:num>
  <w:num w:numId="11" w16cid:durableId="1590575990">
    <w:abstractNumId w:val="2"/>
  </w:num>
  <w:num w:numId="12" w16cid:durableId="1426072009">
    <w:abstractNumId w:val="1"/>
  </w:num>
  <w:num w:numId="13" w16cid:durableId="1398942885">
    <w:abstractNumId w:val="0"/>
  </w:num>
  <w:num w:numId="14" w16cid:durableId="334038586">
    <w:abstractNumId w:val="10"/>
  </w:num>
  <w:num w:numId="15" w16cid:durableId="2091586266">
    <w:abstractNumId w:val="15"/>
  </w:num>
  <w:num w:numId="16" w16cid:durableId="1104498789">
    <w:abstractNumId w:val="12"/>
  </w:num>
  <w:num w:numId="17" w16cid:durableId="787892292">
    <w:abstractNumId w:val="6"/>
  </w:num>
  <w:num w:numId="18" w16cid:durableId="806430237">
    <w:abstractNumId w:val="5"/>
  </w:num>
  <w:num w:numId="19" w16cid:durableId="274404288">
    <w:abstractNumId w:val="3"/>
  </w:num>
  <w:num w:numId="20" w16cid:durableId="1687363220">
    <w:abstractNumId w:val="2"/>
  </w:num>
  <w:num w:numId="21" w16cid:durableId="813059636">
    <w:abstractNumId w:val="6"/>
  </w:num>
  <w:num w:numId="22" w16cid:durableId="1110932151">
    <w:abstractNumId w:val="5"/>
  </w:num>
  <w:num w:numId="23" w16cid:durableId="1458524252">
    <w:abstractNumId w:val="3"/>
  </w:num>
  <w:num w:numId="24" w16cid:durableId="1077702002">
    <w:abstractNumId w:val="2"/>
  </w:num>
  <w:num w:numId="25" w16cid:durableId="2121291421">
    <w:abstractNumId w:val="6"/>
  </w:num>
  <w:num w:numId="26" w16cid:durableId="2088383932">
    <w:abstractNumId w:val="5"/>
  </w:num>
  <w:num w:numId="27" w16cid:durableId="1408071182">
    <w:abstractNumId w:val="3"/>
  </w:num>
  <w:num w:numId="28" w16cid:durableId="2009480976">
    <w:abstractNumId w:val="2"/>
  </w:num>
  <w:num w:numId="29" w16cid:durableId="1375084048">
    <w:abstractNumId w:val="6"/>
  </w:num>
  <w:num w:numId="30" w16cid:durableId="11688895">
    <w:abstractNumId w:val="5"/>
  </w:num>
  <w:num w:numId="31" w16cid:durableId="560362144">
    <w:abstractNumId w:val="3"/>
  </w:num>
  <w:num w:numId="32" w16cid:durableId="2016029992">
    <w:abstractNumId w:val="2"/>
  </w:num>
  <w:num w:numId="33" w16cid:durableId="930159995">
    <w:abstractNumId w:val="6"/>
  </w:num>
  <w:num w:numId="34" w16cid:durableId="1727602970">
    <w:abstractNumId w:val="5"/>
  </w:num>
  <w:num w:numId="35" w16cid:durableId="665521349">
    <w:abstractNumId w:val="3"/>
  </w:num>
  <w:num w:numId="36" w16cid:durableId="1771312952">
    <w:abstractNumId w:val="2"/>
  </w:num>
  <w:num w:numId="37" w16cid:durableId="937904341">
    <w:abstractNumId w:val="6"/>
  </w:num>
  <w:num w:numId="38" w16cid:durableId="170146389">
    <w:abstractNumId w:val="5"/>
  </w:num>
  <w:num w:numId="39" w16cid:durableId="1796748624">
    <w:abstractNumId w:val="3"/>
  </w:num>
  <w:num w:numId="40" w16cid:durableId="143061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4A3E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3D80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721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1D2F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4F701E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2B17"/>
    <w:rsid w:val="00576D0A"/>
    <w:rsid w:val="00576FCC"/>
    <w:rsid w:val="00580F39"/>
    <w:rsid w:val="005821DC"/>
    <w:rsid w:val="00584333"/>
    <w:rsid w:val="0058478B"/>
    <w:rsid w:val="00592023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0AF9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59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3042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A7366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64B8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3208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1B7E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372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068DA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B4CB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link w:val="TabletextChar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461D2F"/>
    <w:rPr>
      <w:rFonts w:ascii="Dubai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14afb1-1d13-4337-956c-291c7321baf3" targetNamespace="http://schemas.microsoft.com/office/2006/metadata/properties" ma:root="true" ma:fieldsID="d41af5c836d734370eb92e7ee5f83852" ns2:_="" ns3:_="">
    <xsd:import namespace="996b2e75-67fd-4955-a3b0-5ab9934cb50b"/>
    <xsd:import namespace="9314afb1-1d13-4337-956c-291c7321ba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4afb1-1d13-4337-956c-291c7321ba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14afb1-1d13-4337-956c-291c7321baf3">DPM</DPM_x0020_Author>
    <DPM_x0020_File_x0020_name xmlns="9314afb1-1d13-4337-956c-291c7321baf3">R23-WRC23-C-0062!A22!MSW-A</DPM_x0020_File_x0020_name>
    <DPM_x0020_Version xmlns="9314afb1-1d13-4337-956c-291c7321baf3">DPM_2022.05.12.01</DPM_x0020_Version>
  </documentManagement>
</p:properti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14afb1-1d13-4337-956c-291c7321b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14afb1-1d13-4337-956c-291c7321ba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R23-WRC23-C-0062!A22!MSW-A</vt:lpstr>
      <vt:lpstr>R16-WRC19-C-!MSW-A</vt:lpstr>
    </vt:vector>
  </TitlesOfParts>
  <Manager>General Secretariat - Pool</Manager>
  <Company>International Telecommunication Union (ITU)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R23-WRC23-C-0062!A22!MSW-A</dc:title>
  <dc:creator>Documents Proposals Manager (DPM)</dc:creator>
  <cp:keywords>DPM_v2023.8.1.1_prod</cp:keywords>
  <cp:lastModifiedBy>Kamaleldin, Mohamed</cp:lastModifiedBy>
  <cp:revision>5</cp:revision>
  <cp:lastPrinted>2020-08-11T14:28:00Z</cp:lastPrinted>
  <dcterms:created xsi:type="dcterms:W3CDTF">2023-11-13T17:27:00Z</dcterms:created>
  <dcterms:modified xsi:type="dcterms:W3CDTF">2023-11-13T17:30:00Z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