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426D87" w14:paraId="3951719E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21B7317F" w14:textId="77777777" w:rsidR="00752552" w:rsidRPr="00426D87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426D87">
              <w:rPr>
                <w:noProof/>
                <w:lang w:val="en-GB" w:bidi="ar-EG"/>
              </w:rPr>
              <w:drawing>
                <wp:inline distT="0" distB="0" distL="0" distR="0" wp14:anchorId="0912F8B3" wp14:editId="37DB8E18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BF29581" w14:textId="77777777" w:rsidR="00752552" w:rsidRPr="00426D87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 w:rsidRPr="00426D87">
              <w:rPr>
                <w:rtl/>
              </w:rPr>
              <w:t xml:space="preserve">المؤتمر العالمي للاتصالات الراديوية </w:t>
            </w:r>
            <w:r w:rsidRPr="00426D87">
              <w:t>(WRC-23)</w:t>
            </w:r>
          </w:p>
          <w:p w14:paraId="745E2A76" w14:textId="77777777" w:rsidR="00752552" w:rsidRPr="00426D87" w:rsidRDefault="00752552" w:rsidP="00752552">
            <w:pPr>
              <w:rPr>
                <w:b/>
                <w:bCs/>
                <w:rtl/>
                <w:lang w:bidi="ar-EG"/>
              </w:rPr>
            </w:pPr>
            <w:r w:rsidRPr="00426D87">
              <w:rPr>
                <w:b/>
                <w:bCs/>
                <w:sz w:val="26"/>
                <w:szCs w:val="26"/>
                <w:rtl/>
              </w:rPr>
              <w:t xml:space="preserve">دبي، </w:t>
            </w:r>
            <w:r w:rsidRPr="00426D87"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426D87">
              <w:rPr>
                <w:b/>
                <w:bCs/>
                <w:sz w:val="26"/>
                <w:szCs w:val="26"/>
                <w:rtl/>
                <w:lang w:bidi="ar-EG"/>
              </w:rPr>
              <w:t xml:space="preserve"> نوفمبر – </w:t>
            </w:r>
            <w:r w:rsidRPr="00426D87"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426D87">
              <w:rPr>
                <w:b/>
                <w:bCs/>
                <w:sz w:val="26"/>
                <w:szCs w:val="26"/>
                <w:rtl/>
                <w:lang w:bidi="ar-EG"/>
              </w:rPr>
              <w:t xml:space="preserve"> ديسمبر </w:t>
            </w:r>
            <w:r w:rsidRPr="00426D87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5B8FDE56" w14:textId="77777777" w:rsidR="00752552" w:rsidRPr="00426D87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426D87">
              <w:rPr>
                <w:noProof/>
              </w:rPr>
              <w:drawing>
                <wp:inline distT="0" distB="0" distL="0" distR="0" wp14:anchorId="7CE708DB" wp14:editId="464BA71B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426D87" w14:paraId="30505A59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04809537" w14:textId="77777777" w:rsidR="000D1EE4" w:rsidRPr="00426D87" w:rsidRDefault="000D1EE4" w:rsidP="000D1EE4">
            <w:pPr>
              <w:rPr>
                <w:rtl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53E91826" w14:textId="77777777" w:rsidR="000D1EE4" w:rsidRPr="00426D87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426D87" w14:paraId="60E96342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15A6DB6E" w14:textId="77777777" w:rsidR="000D1EE4" w:rsidRPr="00426D87" w:rsidRDefault="000D1EE4" w:rsidP="00116EA2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3D3CCF4C" w14:textId="77777777" w:rsidR="000D1EE4" w:rsidRPr="00426D87" w:rsidRDefault="000D1EE4" w:rsidP="00116EA2">
            <w:pPr>
              <w:spacing w:before="0" w:line="240" w:lineRule="exact"/>
              <w:rPr>
                <w:b/>
                <w:bCs/>
              </w:rPr>
            </w:pPr>
          </w:p>
        </w:tc>
      </w:tr>
      <w:tr w:rsidR="000D1EE4" w:rsidRPr="00426D87" w14:paraId="68E8223B" w14:textId="77777777" w:rsidTr="00752552">
        <w:trPr>
          <w:cantSplit/>
        </w:trPr>
        <w:tc>
          <w:tcPr>
            <w:tcW w:w="6696" w:type="dxa"/>
            <w:gridSpan w:val="2"/>
          </w:tcPr>
          <w:p w14:paraId="7491D435" w14:textId="77777777" w:rsidR="000D1EE4" w:rsidRPr="00426D87" w:rsidRDefault="00E50850" w:rsidP="00426D87">
            <w:pPr>
              <w:pStyle w:val="Committee"/>
              <w:bidi/>
              <w:rPr>
                <w:rtl/>
              </w:rPr>
            </w:pPr>
            <w:r w:rsidRPr="00426D87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1986F16A" w14:textId="77777777" w:rsidR="000D1EE4" w:rsidRPr="00426D87" w:rsidRDefault="00E50850" w:rsidP="00426D87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426D87">
              <w:rPr>
                <w:rFonts w:eastAsia="SimSun"/>
                <w:b/>
                <w:bCs/>
                <w:rtl/>
                <w:lang w:bidi="ar-EG"/>
              </w:rPr>
              <w:t>الإضافة 8</w:t>
            </w:r>
            <w:r w:rsidRPr="00426D87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426D87">
              <w:rPr>
                <w:rFonts w:eastAsia="SimSun"/>
                <w:b/>
                <w:bCs/>
              </w:rPr>
              <w:t>59-A</w:t>
            </w:r>
          </w:p>
        </w:tc>
      </w:tr>
      <w:tr w:rsidR="000D1EE4" w:rsidRPr="00426D87" w14:paraId="42C3A87F" w14:textId="77777777" w:rsidTr="00752552">
        <w:trPr>
          <w:cantSplit/>
        </w:trPr>
        <w:tc>
          <w:tcPr>
            <w:tcW w:w="6696" w:type="dxa"/>
            <w:gridSpan w:val="2"/>
          </w:tcPr>
          <w:p w14:paraId="2C763083" w14:textId="77777777" w:rsidR="000D1EE4" w:rsidRPr="00426D87" w:rsidRDefault="000D1EE4" w:rsidP="00426D87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D2FEDD3" w14:textId="77777777" w:rsidR="000D1EE4" w:rsidRPr="00426D87" w:rsidRDefault="00E50850" w:rsidP="00426D87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426D87">
              <w:rPr>
                <w:rFonts w:eastAsia="SimSun"/>
                <w:b/>
                <w:bCs/>
              </w:rPr>
              <w:t>23</w:t>
            </w:r>
            <w:r w:rsidRPr="00426D87">
              <w:rPr>
                <w:rFonts w:eastAsia="SimSun"/>
                <w:b/>
                <w:bCs/>
                <w:rtl/>
              </w:rPr>
              <w:t xml:space="preserve"> أكتوبر </w:t>
            </w:r>
            <w:r w:rsidRPr="00426D87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426D87" w14:paraId="3507B150" w14:textId="77777777" w:rsidTr="00752552">
        <w:trPr>
          <w:cantSplit/>
        </w:trPr>
        <w:tc>
          <w:tcPr>
            <w:tcW w:w="6696" w:type="dxa"/>
            <w:gridSpan w:val="2"/>
          </w:tcPr>
          <w:p w14:paraId="6723D8BD" w14:textId="77777777" w:rsidR="000D1EE4" w:rsidRPr="00426D87" w:rsidRDefault="000D1EE4" w:rsidP="00426D87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53ECB3C" w14:textId="77777777" w:rsidR="000D1EE4" w:rsidRPr="00426D87" w:rsidRDefault="00E50850" w:rsidP="00426D87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426D87">
              <w:rPr>
                <w:b/>
                <w:bCs/>
                <w:rtl/>
                <w:lang w:bidi="ar-EG"/>
              </w:rPr>
              <w:t>الأصل: بالإسبانية</w:t>
            </w:r>
          </w:p>
        </w:tc>
      </w:tr>
      <w:tr w:rsidR="000D1EE4" w:rsidRPr="00426D87" w14:paraId="7F886AED" w14:textId="77777777" w:rsidTr="00752552">
        <w:trPr>
          <w:cantSplit/>
        </w:trPr>
        <w:tc>
          <w:tcPr>
            <w:tcW w:w="9666" w:type="dxa"/>
            <w:gridSpan w:val="4"/>
          </w:tcPr>
          <w:p w14:paraId="032A0EDA" w14:textId="77777777" w:rsidR="000D1EE4" w:rsidRPr="00426D87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426D87" w14:paraId="1EAD7537" w14:textId="77777777" w:rsidTr="00752552">
        <w:trPr>
          <w:cantSplit/>
        </w:trPr>
        <w:tc>
          <w:tcPr>
            <w:tcW w:w="9666" w:type="dxa"/>
            <w:gridSpan w:val="4"/>
          </w:tcPr>
          <w:p w14:paraId="2F7B0CF9" w14:textId="77777777" w:rsidR="000D1EE4" w:rsidRPr="00426D87" w:rsidRDefault="000D1EE4" w:rsidP="000D1EE4">
            <w:pPr>
              <w:pStyle w:val="Source"/>
              <w:rPr>
                <w:rtl/>
                <w:lang w:bidi="ar-SA"/>
              </w:rPr>
            </w:pPr>
            <w:r w:rsidRPr="00426D87">
              <w:rPr>
                <w:rtl/>
              </w:rPr>
              <w:t>كوبـا</w:t>
            </w:r>
          </w:p>
        </w:tc>
      </w:tr>
      <w:tr w:rsidR="000D1EE4" w:rsidRPr="00426D87" w14:paraId="0036CB7B" w14:textId="77777777" w:rsidTr="00752552">
        <w:trPr>
          <w:cantSplit/>
        </w:trPr>
        <w:tc>
          <w:tcPr>
            <w:tcW w:w="9666" w:type="dxa"/>
            <w:gridSpan w:val="4"/>
          </w:tcPr>
          <w:p w14:paraId="7F7680C4" w14:textId="15285B90" w:rsidR="000D1EE4" w:rsidRPr="00426D87" w:rsidRDefault="00111933" w:rsidP="00F7562F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426D87" w14:paraId="254A967D" w14:textId="77777777" w:rsidTr="00752552">
        <w:trPr>
          <w:cantSplit/>
        </w:trPr>
        <w:tc>
          <w:tcPr>
            <w:tcW w:w="9666" w:type="dxa"/>
            <w:gridSpan w:val="4"/>
          </w:tcPr>
          <w:p w14:paraId="5128CCEE" w14:textId="77777777" w:rsidR="000D1EE4" w:rsidRPr="00426D87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426D87" w14:paraId="6457F9D2" w14:textId="77777777" w:rsidTr="00752552">
        <w:trPr>
          <w:cantSplit/>
        </w:trPr>
        <w:tc>
          <w:tcPr>
            <w:tcW w:w="9666" w:type="dxa"/>
            <w:gridSpan w:val="4"/>
          </w:tcPr>
          <w:p w14:paraId="397BFAF9" w14:textId="17523CFB" w:rsidR="00E50850" w:rsidRPr="00426D87" w:rsidRDefault="00E50850" w:rsidP="00E50850">
            <w:pPr>
              <w:pStyle w:val="Agendaitem"/>
            </w:pPr>
            <w:r w:rsidRPr="00426D87">
              <w:rPr>
                <w:rtl/>
              </w:rPr>
              <w:t>بند جدول الأعمال</w:t>
            </w:r>
            <w:r w:rsidR="00F7562F">
              <w:rPr>
                <w:rFonts w:hint="cs"/>
                <w:rtl/>
              </w:rPr>
              <w:t xml:space="preserve"> </w:t>
            </w:r>
            <w:r w:rsidR="00F7562F" w:rsidRPr="00426D87">
              <w:rPr>
                <w:rtl/>
              </w:rPr>
              <w:t>8.1</w:t>
            </w:r>
          </w:p>
        </w:tc>
      </w:tr>
    </w:tbl>
    <w:p w14:paraId="1E17E58D" w14:textId="77777777" w:rsidR="00514340" w:rsidRPr="00426D87" w:rsidRDefault="00514340" w:rsidP="00A370EB">
      <w:pPr>
        <w:rPr>
          <w:rtl/>
        </w:rPr>
      </w:pPr>
      <w:r w:rsidRPr="00426D87">
        <w:t>8.1</w:t>
      </w:r>
      <w:r w:rsidRPr="00426D87">
        <w:tab/>
      </w:r>
      <w:r w:rsidRPr="00426D87">
        <w:rPr>
          <w:b/>
          <w:rtl/>
          <w:lang w:val="es-ES" w:bidi="ar-EG"/>
        </w:rPr>
        <w:t xml:space="preserve">النظر، استناداً إلى دراسات قطاع الاتصالات الراديوية وفقاً للقرار </w:t>
      </w:r>
      <w:r w:rsidRPr="00426D87">
        <w:rPr>
          <w:b/>
          <w:lang w:bidi="ar-EG"/>
        </w:rPr>
        <w:t>171 (WRC-</w:t>
      </w:r>
      <w:proofErr w:type="gramStart"/>
      <w:r w:rsidRPr="00426D87">
        <w:rPr>
          <w:b/>
          <w:lang w:bidi="ar-EG"/>
        </w:rPr>
        <w:t>19)</w:t>
      </w:r>
      <w:r w:rsidRPr="00426D87">
        <w:rPr>
          <w:b/>
          <w:rtl/>
          <w:lang w:val="es-ES" w:bidi="ar-EG"/>
        </w:rPr>
        <w:t>،</w:t>
      </w:r>
      <w:proofErr w:type="gramEnd"/>
      <w:r w:rsidRPr="00426D87">
        <w:rPr>
          <w:b/>
          <w:rtl/>
          <w:lang w:val="es-ES" w:bidi="ar-EG"/>
        </w:rPr>
        <w:t xml:space="preserve"> في التدابير التنظيمية المناسبة بغية استعراض، و</w:t>
      </w:r>
      <w:r w:rsidRPr="00426D87">
        <w:rPr>
          <w:b/>
          <w:rtl/>
          <w:lang w:val="es-ES"/>
        </w:rPr>
        <w:t xml:space="preserve">إذا استدعى الأمر، </w:t>
      </w:r>
      <w:r w:rsidRPr="00426D87">
        <w:rPr>
          <w:b/>
          <w:rtl/>
          <w:lang w:val="es-ES" w:bidi="ar-EG"/>
        </w:rPr>
        <w:t xml:space="preserve">مراجَعة القرار </w:t>
      </w:r>
      <w:r w:rsidRPr="00426D87">
        <w:rPr>
          <w:b/>
          <w:lang w:bidi="ar-EG"/>
        </w:rPr>
        <w:t>155 (Rev.WRC-19)</w:t>
      </w:r>
      <w:r w:rsidRPr="00426D87">
        <w:rPr>
          <w:b/>
          <w:rtl/>
          <w:lang w:val="es-ES"/>
        </w:rPr>
        <w:t xml:space="preserve"> </w:t>
      </w:r>
      <w:r w:rsidRPr="00426D87">
        <w:rPr>
          <w:b/>
          <w:rtl/>
          <w:lang w:val="es-ES" w:bidi="ar-EG"/>
        </w:rPr>
        <w:t>و</w:t>
      </w:r>
      <w:r w:rsidRPr="00426D87">
        <w:rPr>
          <w:b/>
          <w:rtl/>
          <w:lang w:val="es-ES"/>
        </w:rPr>
        <w:t xml:space="preserve">الرقم </w:t>
      </w:r>
      <w:r w:rsidRPr="00426D87">
        <w:rPr>
          <w:rStyle w:val="Artref"/>
          <w:b/>
          <w:bCs/>
        </w:rPr>
        <w:t>484B.5</w:t>
      </w:r>
      <w:r w:rsidRPr="00426D87">
        <w:rPr>
          <w:b/>
          <w:rtl/>
          <w:lang w:val="es-ES"/>
        </w:rPr>
        <w:t xml:space="preserve"> لتضمينهما استعمال شبكات الخدمة الثابتة الساتلية من أجل اتصالات التحكم والاتصالات خارج الحمولة النافعة لأنظمة الطائرات بدون طيار؛</w:t>
      </w:r>
    </w:p>
    <w:p w14:paraId="15CE1A28" w14:textId="008CBC65" w:rsidR="00417E14" w:rsidRDefault="00F7562F" w:rsidP="00F7562F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2C937C13" w14:textId="597CF94D" w:rsidR="00F7562F" w:rsidRDefault="00883945" w:rsidP="00C309E0">
      <w:pPr>
        <w:rPr>
          <w:rtl/>
        </w:rPr>
      </w:pPr>
      <w:r w:rsidRPr="00883945">
        <w:rPr>
          <w:rtl/>
        </w:rPr>
        <w:t xml:space="preserve">أحد العناصر الأساسية لاستخدام الاتصالات الراديوية </w:t>
      </w:r>
      <w:r w:rsidR="0033108F">
        <w:rPr>
          <w:rFonts w:hint="cs"/>
          <w:rtl/>
        </w:rPr>
        <w:t>مِ</w:t>
      </w:r>
      <w:r w:rsidRPr="00883945">
        <w:rPr>
          <w:rtl/>
        </w:rPr>
        <w:t>ن ق</w:t>
      </w:r>
      <w:r w:rsidR="0033108F">
        <w:rPr>
          <w:rFonts w:hint="cs"/>
          <w:rtl/>
        </w:rPr>
        <w:t>ِ</w:t>
      </w:r>
      <w:r w:rsidRPr="00883945">
        <w:rPr>
          <w:rtl/>
        </w:rPr>
        <w:t xml:space="preserve">بل محطات الطائرات في الرحلات الجوية </w:t>
      </w:r>
      <w:r w:rsidR="0033108F">
        <w:rPr>
          <w:rFonts w:hint="cs"/>
          <w:rtl/>
        </w:rPr>
        <w:t xml:space="preserve">يتمُّ تناوله </w:t>
      </w:r>
      <w:r w:rsidRPr="00883945">
        <w:rPr>
          <w:rtl/>
        </w:rPr>
        <w:t>في أحكام الرقم</w:t>
      </w:r>
      <w:r w:rsidR="009B2A4A">
        <w:t> </w:t>
      </w:r>
      <w:r w:rsidRPr="00275426">
        <w:rPr>
          <w:rStyle w:val="Artref"/>
          <w:b/>
          <w:bCs/>
          <w:rtl/>
        </w:rPr>
        <w:t>10.4</w:t>
      </w:r>
      <w:r w:rsidRPr="00883945">
        <w:rPr>
          <w:rtl/>
        </w:rPr>
        <w:t xml:space="preserve"> من لوائح الراديو:</w:t>
      </w:r>
    </w:p>
    <w:p w14:paraId="33522C26" w14:textId="5D65AE41" w:rsidR="00F7562F" w:rsidRPr="00275426" w:rsidRDefault="00111933" w:rsidP="00C309E0">
      <w:pPr>
        <w:rPr>
          <w:rtl/>
        </w:rPr>
      </w:pPr>
      <w:r>
        <w:rPr>
          <w:rFonts w:hint="cs"/>
          <w:rtl/>
        </w:rPr>
        <w:t>"</w:t>
      </w:r>
      <w:r w:rsidR="00F7562F" w:rsidRPr="001F37D3">
        <w:rPr>
          <w:rFonts w:hint="cs"/>
          <w:b/>
          <w:bCs/>
          <w:rtl/>
        </w:rPr>
        <w:t>10.4</w:t>
      </w:r>
      <w:r w:rsidR="00F7562F">
        <w:rPr>
          <w:rtl/>
        </w:rPr>
        <w:tab/>
      </w:r>
      <w:r w:rsidR="00F7562F" w:rsidRPr="009B2A4A">
        <w:rPr>
          <w:spacing w:val="-6"/>
          <w:rtl/>
        </w:rPr>
        <w:t xml:space="preserve">تعترف الدول الأعضاء بأن </w:t>
      </w:r>
      <w:r w:rsidR="00F7562F" w:rsidRPr="009B2A4A">
        <w:rPr>
          <w:rFonts w:hint="cs"/>
          <w:spacing w:val="-6"/>
          <w:rtl/>
        </w:rPr>
        <w:t>جوانب السلامة</w:t>
      </w:r>
      <w:r w:rsidR="00F7562F" w:rsidRPr="009B2A4A">
        <w:rPr>
          <w:spacing w:val="-6"/>
          <w:rtl/>
        </w:rPr>
        <w:t xml:space="preserve"> </w:t>
      </w:r>
      <w:r w:rsidR="00F7562F" w:rsidRPr="009B2A4A">
        <w:rPr>
          <w:rFonts w:hint="cs"/>
          <w:spacing w:val="-6"/>
          <w:rtl/>
        </w:rPr>
        <w:t>ل</w:t>
      </w:r>
      <w:r w:rsidR="00F7562F" w:rsidRPr="009B2A4A">
        <w:rPr>
          <w:spacing w:val="-6"/>
          <w:rtl/>
        </w:rPr>
        <w:t>خدمة الملاحة الراديوية وخدمات السلامة الأخرى</w:t>
      </w:r>
      <w:r w:rsidR="00F7562F" w:rsidRPr="009B2A4A">
        <w:rPr>
          <w:rFonts w:hint="cs"/>
          <w:spacing w:val="-6"/>
          <w:rtl/>
        </w:rPr>
        <w:t xml:space="preserve">، تتطلب تدابير </w:t>
      </w:r>
      <w:r w:rsidR="00F7562F" w:rsidRPr="009B2A4A">
        <w:rPr>
          <w:spacing w:val="-6"/>
          <w:rtl/>
        </w:rPr>
        <w:t>خاصة ل</w:t>
      </w:r>
      <w:r w:rsidR="00F7562F" w:rsidRPr="009B2A4A">
        <w:rPr>
          <w:rFonts w:hint="cs"/>
          <w:spacing w:val="-6"/>
          <w:rtl/>
        </w:rPr>
        <w:t>ضمان خلوها</w:t>
      </w:r>
      <w:r w:rsidR="00F7562F" w:rsidRPr="009B2A4A">
        <w:rPr>
          <w:spacing w:val="-6"/>
          <w:rtl/>
        </w:rPr>
        <w:t xml:space="preserve"> من التداخلات الضارة، ومن ثم فإن من الضروري أن يؤخذ هذا العامل في الاعتبار فيما يتعلق بتخصيص الترددات واستخدامها</w:t>
      </w:r>
      <w:r w:rsidR="00F7562F" w:rsidRPr="009B2A4A">
        <w:rPr>
          <w:rFonts w:hint="cs"/>
          <w:spacing w:val="-6"/>
          <w:rtl/>
        </w:rPr>
        <w:t>"</w:t>
      </w:r>
    </w:p>
    <w:p w14:paraId="01308493" w14:textId="4BE60D38" w:rsidR="006E243C" w:rsidRPr="00275426" w:rsidRDefault="006E243C" w:rsidP="006E243C">
      <w:pPr>
        <w:rPr>
          <w:spacing w:val="2"/>
          <w:rtl/>
        </w:rPr>
      </w:pPr>
      <w:r w:rsidRPr="00275426">
        <w:rPr>
          <w:rFonts w:hint="cs"/>
          <w:spacing w:val="2"/>
          <w:rtl/>
        </w:rPr>
        <w:t>و</w:t>
      </w:r>
      <w:r w:rsidRPr="00275426">
        <w:rPr>
          <w:spacing w:val="2"/>
          <w:rtl/>
        </w:rPr>
        <w:t xml:space="preserve">عند دراسة هذا البند من جدول الأعمال </w:t>
      </w:r>
      <w:r w:rsidRPr="00275426">
        <w:rPr>
          <w:rFonts w:hint="cs"/>
          <w:spacing w:val="2"/>
          <w:rtl/>
        </w:rPr>
        <w:t>واستعراض</w:t>
      </w:r>
      <w:r w:rsidRPr="00275426">
        <w:rPr>
          <w:spacing w:val="2"/>
          <w:rtl/>
        </w:rPr>
        <w:t xml:space="preserve"> القرار </w:t>
      </w:r>
      <w:r w:rsidRPr="00275426">
        <w:rPr>
          <w:b/>
          <w:bCs/>
          <w:spacing w:val="2"/>
          <w:rtl/>
        </w:rPr>
        <w:t>(</w:t>
      </w:r>
      <w:r w:rsidRPr="00275426">
        <w:rPr>
          <w:b/>
          <w:bCs/>
          <w:spacing w:val="2"/>
        </w:rPr>
        <w:t>Rev.WRC-19</w:t>
      </w:r>
      <w:r w:rsidRPr="00275426">
        <w:rPr>
          <w:b/>
          <w:bCs/>
          <w:spacing w:val="2"/>
          <w:rtl/>
        </w:rPr>
        <w:t>) 155</w:t>
      </w:r>
      <w:r w:rsidRPr="00275426">
        <w:rPr>
          <w:rFonts w:hint="cs"/>
          <w:spacing w:val="2"/>
          <w:rtl/>
        </w:rPr>
        <w:t xml:space="preserve"> </w:t>
      </w:r>
      <w:r w:rsidRPr="00275426">
        <w:rPr>
          <w:spacing w:val="2"/>
          <w:rtl/>
        </w:rPr>
        <w:t xml:space="preserve">والقرار </w:t>
      </w:r>
      <w:r w:rsidRPr="00275426">
        <w:rPr>
          <w:b/>
          <w:bCs/>
          <w:spacing w:val="2"/>
          <w:rtl/>
        </w:rPr>
        <w:t>(</w:t>
      </w:r>
      <w:r w:rsidRPr="00275426">
        <w:rPr>
          <w:b/>
          <w:bCs/>
          <w:spacing w:val="2"/>
        </w:rPr>
        <w:t>WRC-19</w:t>
      </w:r>
      <w:r w:rsidRPr="00275426">
        <w:rPr>
          <w:b/>
          <w:bCs/>
          <w:spacing w:val="2"/>
          <w:rtl/>
        </w:rPr>
        <w:t>)</w:t>
      </w:r>
      <w:r w:rsidRPr="00275426">
        <w:rPr>
          <w:rFonts w:hint="cs"/>
          <w:spacing w:val="2"/>
          <w:rtl/>
        </w:rPr>
        <w:t xml:space="preserve"> </w:t>
      </w:r>
      <w:r w:rsidRPr="00275426">
        <w:rPr>
          <w:b/>
          <w:bCs/>
          <w:spacing w:val="2"/>
          <w:rtl/>
        </w:rPr>
        <w:t>171</w:t>
      </w:r>
      <w:r w:rsidRPr="00275426">
        <w:rPr>
          <w:spacing w:val="2"/>
          <w:rtl/>
        </w:rPr>
        <w:t>، يصبح من الواضح أنه لم يتم</w:t>
      </w:r>
      <w:r w:rsidRPr="00275426">
        <w:rPr>
          <w:rFonts w:hint="cs"/>
          <w:spacing w:val="2"/>
          <w:rtl/>
        </w:rPr>
        <w:t>ّ</w:t>
      </w:r>
      <w:r w:rsidRPr="00275426">
        <w:rPr>
          <w:spacing w:val="2"/>
          <w:rtl/>
        </w:rPr>
        <w:t xml:space="preserve"> </w:t>
      </w:r>
      <w:r w:rsidRPr="00275426">
        <w:rPr>
          <w:rFonts w:hint="cs"/>
          <w:spacing w:val="2"/>
          <w:rtl/>
        </w:rPr>
        <w:t>التوصل بعدُ</w:t>
      </w:r>
      <w:r w:rsidRPr="00275426">
        <w:rPr>
          <w:spacing w:val="2"/>
          <w:rtl/>
        </w:rPr>
        <w:t xml:space="preserve"> </w:t>
      </w:r>
      <w:r w:rsidRPr="00275426">
        <w:rPr>
          <w:rFonts w:hint="cs"/>
          <w:spacing w:val="2"/>
          <w:rtl/>
        </w:rPr>
        <w:t>إلى</w:t>
      </w:r>
      <w:r w:rsidRPr="00275426">
        <w:rPr>
          <w:spacing w:val="2"/>
          <w:rtl/>
        </w:rPr>
        <w:t xml:space="preserve"> حلول م</w:t>
      </w:r>
      <w:r w:rsidRPr="00275426">
        <w:rPr>
          <w:rFonts w:hint="cs"/>
          <w:spacing w:val="2"/>
          <w:rtl/>
        </w:rPr>
        <w:t>ُ</w:t>
      </w:r>
      <w:r w:rsidRPr="00275426">
        <w:rPr>
          <w:spacing w:val="2"/>
          <w:rtl/>
        </w:rPr>
        <w:t>رضية لجميع القضايا المحد</w:t>
      </w:r>
      <w:r w:rsidRPr="00275426">
        <w:rPr>
          <w:rFonts w:hint="cs"/>
          <w:spacing w:val="2"/>
          <w:rtl/>
        </w:rPr>
        <w:t>َّ</w:t>
      </w:r>
      <w:r w:rsidRPr="00275426">
        <w:rPr>
          <w:spacing w:val="2"/>
          <w:rtl/>
        </w:rPr>
        <w:t>دة التي يتضمنها، لا</w:t>
      </w:r>
      <w:r w:rsidR="00275426" w:rsidRPr="00275426">
        <w:rPr>
          <w:rFonts w:hint="cs"/>
          <w:spacing w:val="2"/>
          <w:rtl/>
        </w:rPr>
        <w:t> </w:t>
      </w:r>
      <w:r w:rsidRPr="00275426">
        <w:rPr>
          <w:spacing w:val="2"/>
          <w:rtl/>
        </w:rPr>
        <w:t xml:space="preserve">سيما فيما يتعلق </w:t>
      </w:r>
      <w:r w:rsidRPr="00275426">
        <w:rPr>
          <w:rFonts w:hint="cs"/>
          <w:spacing w:val="2"/>
          <w:rtl/>
        </w:rPr>
        <w:t xml:space="preserve">بالحاجة إلى ضمان </w:t>
      </w:r>
      <w:r w:rsidRPr="00275426">
        <w:rPr>
          <w:spacing w:val="2"/>
          <w:rtl/>
        </w:rPr>
        <w:t>سلامة الطيران للطائرات دون طيار (</w:t>
      </w:r>
      <w:r w:rsidRPr="00275426">
        <w:rPr>
          <w:spacing w:val="2"/>
        </w:rPr>
        <w:t>UA</w:t>
      </w:r>
      <w:r w:rsidRPr="00275426">
        <w:rPr>
          <w:spacing w:val="2"/>
          <w:rtl/>
        </w:rPr>
        <w:t>) التي تستخدم تخصيصات التردد المستخد</w:t>
      </w:r>
      <w:r w:rsidRPr="00275426">
        <w:rPr>
          <w:rFonts w:hint="cs"/>
          <w:spacing w:val="2"/>
          <w:rtl/>
        </w:rPr>
        <w:t>َ</w:t>
      </w:r>
      <w:r w:rsidRPr="00275426">
        <w:rPr>
          <w:spacing w:val="2"/>
          <w:rtl/>
        </w:rPr>
        <w:t xml:space="preserve">مة للوصلات التجارية في الخدمة الثابتة </w:t>
      </w:r>
      <w:proofErr w:type="spellStart"/>
      <w:r w:rsidRPr="00275426">
        <w:rPr>
          <w:spacing w:val="2"/>
          <w:rtl/>
        </w:rPr>
        <w:t>الساتلية</w:t>
      </w:r>
      <w:proofErr w:type="spellEnd"/>
      <w:r w:rsidRPr="00275426">
        <w:rPr>
          <w:spacing w:val="2"/>
          <w:rtl/>
        </w:rPr>
        <w:t xml:space="preserve"> </w:t>
      </w:r>
      <w:r w:rsidRPr="00275426">
        <w:rPr>
          <w:rFonts w:hint="cs"/>
          <w:spacing w:val="2"/>
          <w:rtl/>
        </w:rPr>
        <w:t>و</w:t>
      </w:r>
      <w:r w:rsidRPr="00275426">
        <w:rPr>
          <w:spacing w:val="2"/>
          <w:rtl/>
        </w:rPr>
        <w:t xml:space="preserve">المستثناة من الرقم </w:t>
      </w:r>
      <w:r w:rsidRPr="00275426">
        <w:rPr>
          <w:rStyle w:val="Artref"/>
          <w:b/>
          <w:bCs/>
          <w:spacing w:val="2"/>
          <w:rtl/>
        </w:rPr>
        <w:t>10.4</w:t>
      </w:r>
      <w:r w:rsidRPr="00275426">
        <w:rPr>
          <w:b/>
          <w:bCs/>
          <w:spacing w:val="2"/>
          <w:rtl/>
        </w:rPr>
        <w:t xml:space="preserve"> </w:t>
      </w:r>
      <w:r w:rsidRPr="00275426">
        <w:rPr>
          <w:spacing w:val="2"/>
          <w:rtl/>
        </w:rPr>
        <w:t>وبالتالي لا تمتثل لحكم تنظيمي أساسي يتعلق بالشروط الواجب استيفاؤها عند توفير خدمات</w:t>
      </w:r>
      <w:r w:rsidRPr="00275426">
        <w:rPr>
          <w:rFonts w:hint="cs"/>
          <w:spacing w:val="2"/>
          <w:rtl/>
        </w:rPr>
        <w:t xml:space="preserve"> السلامة</w:t>
      </w:r>
      <w:r w:rsidRPr="00275426">
        <w:rPr>
          <w:spacing w:val="2"/>
          <w:rtl/>
        </w:rPr>
        <w:t>.</w:t>
      </w:r>
    </w:p>
    <w:p w14:paraId="3D5ABB8B" w14:textId="65360F45" w:rsidR="006E243C" w:rsidRDefault="006E243C" w:rsidP="006E243C">
      <w:pPr>
        <w:rPr>
          <w:rtl/>
        </w:rPr>
      </w:pPr>
      <w:r>
        <w:rPr>
          <w:rtl/>
        </w:rPr>
        <w:t xml:space="preserve">وتجدر الإشارة إلى أن تشغيل الشبكات في الخدمة الثابتة </w:t>
      </w:r>
      <w:proofErr w:type="spellStart"/>
      <w:r>
        <w:rPr>
          <w:rtl/>
        </w:rPr>
        <w:t>الساتلية</w:t>
      </w:r>
      <w:proofErr w:type="spellEnd"/>
      <w:r>
        <w:rPr>
          <w:rtl/>
        </w:rPr>
        <w:t xml:space="preserve"> يتسم</w:t>
      </w:r>
      <w:r w:rsidR="007F3413">
        <w:rPr>
          <w:rFonts w:hint="cs"/>
          <w:rtl/>
        </w:rPr>
        <w:t>ُّ</w:t>
      </w:r>
      <w:r>
        <w:rPr>
          <w:rtl/>
        </w:rPr>
        <w:t xml:space="preserve"> حالياً بدرجة عالية من الازدحام في موارد المدار/الطيف، مع وجود متطلبات تنظيمية تستند إلى إجراءات تنسيق معقدة تشكل عبئاً </w:t>
      </w:r>
      <w:r w:rsidR="007F3413">
        <w:rPr>
          <w:rFonts w:hint="cs"/>
          <w:rtl/>
          <w:lang w:bidi="ar-AE"/>
        </w:rPr>
        <w:t>بالغاً</w:t>
      </w:r>
      <w:r>
        <w:rPr>
          <w:rtl/>
        </w:rPr>
        <w:t xml:space="preserve"> على الإدارات؛ </w:t>
      </w:r>
      <w:r w:rsidR="007F3413">
        <w:rPr>
          <w:rFonts w:hint="cs"/>
          <w:rtl/>
        </w:rPr>
        <w:t>وقد يصل الأمر</w:t>
      </w:r>
      <w:r>
        <w:rPr>
          <w:rtl/>
        </w:rPr>
        <w:t xml:space="preserve"> إلى حد</w:t>
      </w:r>
      <w:r w:rsidR="007F3413">
        <w:rPr>
          <w:rFonts w:hint="cs"/>
          <w:rtl/>
        </w:rPr>
        <w:t>ّ</w:t>
      </w:r>
      <w:r>
        <w:rPr>
          <w:rtl/>
        </w:rPr>
        <w:t xml:space="preserve"> </w:t>
      </w:r>
      <w:r w:rsidR="00A62A34">
        <w:rPr>
          <w:rFonts w:hint="cs"/>
          <w:rtl/>
          <w:lang w:val="en-GB" w:bidi="ar-AE"/>
        </w:rPr>
        <w:t>الاستشهاد</w:t>
      </w:r>
      <w:r>
        <w:rPr>
          <w:rtl/>
        </w:rPr>
        <w:t xml:space="preserve"> بأحكام الرقم </w:t>
      </w:r>
      <w:r w:rsidRPr="00275426">
        <w:rPr>
          <w:rStyle w:val="Artref"/>
          <w:b/>
          <w:bCs/>
          <w:rtl/>
        </w:rPr>
        <w:t>41.11</w:t>
      </w:r>
      <w:r>
        <w:rPr>
          <w:rtl/>
        </w:rPr>
        <w:t xml:space="preserve">، الذي يسمح بالتبليغ عن الشبكات </w:t>
      </w:r>
      <w:proofErr w:type="spellStart"/>
      <w:r>
        <w:rPr>
          <w:rtl/>
        </w:rPr>
        <w:t>الساتلية</w:t>
      </w:r>
      <w:proofErr w:type="spellEnd"/>
      <w:r>
        <w:rPr>
          <w:rtl/>
        </w:rPr>
        <w:t xml:space="preserve"> وإدخالها في الحالات التي يت</w:t>
      </w:r>
      <w:r w:rsidR="00A62A34">
        <w:rPr>
          <w:rFonts w:hint="cs"/>
          <w:rtl/>
        </w:rPr>
        <w:t>مُّ</w:t>
      </w:r>
      <w:r>
        <w:rPr>
          <w:rtl/>
        </w:rPr>
        <w:t xml:space="preserve"> فيها إبلاغ المكتب بأن محاولات التنسيق للشبكات </w:t>
      </w:r>
      <w:r w:rsidR="00A62A34">
        <w:rPr>
          <w:rFonts w:hint="cs"/>
          <w:rtl/>
        </w:rPr>
        <w:t>لم تكن ناجحةً</w:t>
      </w:r>
      <w:r>
        <w:rPr>
          <w:rtl/>
        </w:rPr>
        <w:t xml:space="preserve">، وإذا وبعد تسجيل شكوى بشأن التداخل الضار، يمكن البدء </w:t>
      </w:r>
      <w:r w:rsidR="003E5A91">
        <w:rPr>
          <w:rFonts w:hint="cs"/>
          <w:rtl/>
        </w:rPr>
        <w:t>ب</w:t>
      </w:r>
      <w:r>
        <w:rPr>
          <w:rtl/>
        </w:rPr>
        <w:t xml:space="preserve">إجراء </w:t>
      </w:r>
      <w:r w:rsidR="003E5A91">
        <w:rPr>
          <w:rFonts w:hint="cs"/>
          <w:rtl/>
        </w:rPr>
        <w:t>للقيام</w:t>
      </w:r>
      <w:r>
        <w:rPr>
          <w:rtl/>
        </w:rPr>
        <w:t xml:space="preserve"> </w:t>
      </w:r>
      <w:r w:rsidR="003E5A91">
        <w:rPr>
          <w:rFonts w:hint="cs"/>
          <w:rtl/>
        </w:rPr>
        <w:t>ب</w:t>
      </w:r>
      <w:r>
        <w:rPr>
          <w:rtl/>
        </w:rPr>
        <w:t xml:space="preserve">تحليل مشترك بموجب الرقم </w:t>
      </w:r>
      <w:r w:rsidR="00275426" w:rsidRPr="00275426">
        <w:rPr>
          <w:rStyle w:val="Artref"/>
          <w:b/>
          <w:bCs/>
        </w:rPr>
        <w:t>42A.11</w:t>
      </w:r>
      <w:r w:rsidRPr="003E5A91">
        <w:rPr>
          <w:b/>
          <w:bCs/>
          <w:rtl/>
        </w:rPr>
        <w:t>.</w:t>
      </w:r>
    </w:p>
    <w:p w14:paraId="7229E6D8" w14:textId="0465714B" w:rsidR="001F49D6" w:rsidRDefault="006E243C" w:rsidP="001F49D6">
      <w:pPr>
        <w:rPr>
          <w:rtl/>
        </w:rPr>
      </w:pPr>
      <w:r>
        <w:rPr>
          <w:rtl/>
        </w:rPr>
        <w:t>وفي هذه الظروف، ترى إدارة كوبا أنه من غير الممكن الم</w:t>
      </w:r>
      <w:r w:rsidR="003E5A91">
        <w:rPr>
          <w:rFonts w:hint="cs"/>
          <w:rtl/>
        </w:rPr>
        <w:t>ُ</w:t>
      </w:r>
      <w:r>
        <w:rPr>
          <w:rtl/>
        </w:rPr>
        <w:t>ضي قد</w:t>
      </w:r>
      <w:r w:rsidR="003E5A91">
        <w:rPr>
          <w:rFonts w:hint="cs"/>
          <w:rtl/>
        </w:rPr>
        <w:t>ُ</w:t>
      </w:r>
      <w:r>
        <w:rPr>
          <w:rtl/>
        </w:rPr>
        <w:t xml:space="preserve">ماً </w:t>
      </w:r>
      <w:r w:rsidR="003E5A91">
        <w:rPr>
          <w:rFonts w:hint="cs"/>
          <w:rtl/>
        </w:rPr>
        <w:t>ب</w:t>
      </w:r>
      <w:r>
        <w:rPr>
          <w:rtl/>
        </w:rPr>
        <w:t xml:space="preserve">استخدام الخدمة الثابتة الساتلية بغرض إنشاء وصلات تتطلب مستوى عالٍ من الأمان ومع ذلك تكون </w:t>
      </w:r>
      <w:r w:rsidR="00982128">
        <w:rPr>
          <w:rFonts w:hint="cs"/>
          <w:rtl/>
        </w:rPr>
        <w:t>معرَّضة</w:t>
      </w:r>
      <w:r>
        <w:rPr>
          <w:rtl/>
        </w:rPr>
        <w:t xml:space="preserve"> لتداخلات غير متوقعة يمكن أن تعوق</w:t>
      </w:r>
      <w:r w:rsidR="003E5A91">
        <w:rPr>
          <w:rFonts w:hint="cs"/>
          <w:rtl/>
        </w:rPr>
        <w:t>َ</w:t>
      </w:r>
      <w:r>
        <w:rPr>
          <w:rtl/>
        </w:rPr>
        <w:t xml:space="preserve"> بشكل خطير أداء الطائرات دون طيا</w:t>
      </w:r>
      <w:r w:rsidR="003E5A91">
        <w:rPr>
          <w:rFonts w:hint="cs"/>
          <w:rtl/>
        </w:rPr>
        <w:t xml:space="preserve">ر، حتى وإِنْ تمَّ بنجاح تنسيق </w:t>
      </w:r>
      <w:r>
        <w:rPr>
          <w:rtl/>
        </w:rPr>
        <w:t>الشبكات المعني</w:t>
      </w:r>
      <w:r w:rsidR="003E5A91">
        <w:rPr>
          <w:rFonts w:hint="cs"/>
          <w:rtl/>
        </w:rPr>
        <w:t>ّ</w:t>
      </w:r>
      <w:r>
        <w:rPr>
          <w:rtl/>
        </w:rPr>
        <w:t>ة.</w:t>
      </w:r>
    </w:p>
    <w:p w14:paraId="0CCD056F" w14:textId="77777777" w:rsidR="00275426" w:rsidRDefault="001F49D6" w:rsidP="00275426">
      <w:pPr>
        <w:pStyle w:val="Headingb"/>
      </w:pPr>
      <w:r>
        <w:rPr>
          <w:rFonts w:hint="cs"/>
          <w:rtl/>
        </w:rPr>
        <w:lastRenderedPageBreak/>
        <w:t>المقترحات</w:t>
      </w:r>
    </w:p>
    <w:p w14:paraId="2953811D" w14:textId="6DC3D4F1" w:rsidR="00F7562F" w:rsidRPr="00B6524A" w:rsidRDefault="00F7562F" w:rsidP="00F7562F">
      <w:pPr>
        <w:tabs>
          <w:tab w:val="clear" w:pos="1134"/>
          <w:tab w:val="clear" w:pos="1871"/>
          <w:tab w:val="clear" w:pos="2268"/>
        </w:tabs>
        <w:spacing w:before="0"/>
      </w:pPr>
      <w:r w:rsidRPr="00B6524A">
        <w:br w:type="page"/>
      </w:r>
    </w:p>
    <w:p w14:paraId="47D04A19" w14:textId="77777777" w:rsidR="00D9665F" w:rsidRPr="00426D87" w:rsidRDefault="002160EC" w:rsidP="00D9665F">
      <w:pPr>
        <w:pStyle w:val="ArtNo"/>
        <w:spacing w:before="0"/>
        <w:rPr>
          <w:rtl/>
        </w:rPr>
      </w:pPr>
      <w:bookmarkStart w:id="1" w:name="_Toc454442698"/>
      <w:r w:rsidRPr="00426D87">
        <w:rPr>
          <w:rtl/>
        </w:rPr>
        <w:lastRenderedPageBreak/>
        <w:t xml:space="preserve">المـادة </w:t>
      </w:r>
      <w:r w:rsidRPr="00426D87">
        <w:rPr>
          <w:rStyle w:val="href"/>
        </w:rPr>
        <w:t>5</w:t>
      </w:r>
      <w:bookmarkEnd w:id="1"/>
    </w:p>
    <w:p w14:paraId="1CB770CF" w14:textId="77777777" w:rsidR="00D9665F" w:rsidRPr="00426D87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 w:rsidRPr="00426D87">
        <w:rPr>
          <w:b w:val="0"/>
          <w:rtl/>
        </w:rPr>
        <w:t>توزيع نطاقات التردد</w:t>
      </w:r>
      <w:bookmarkEnd w:id="2"/>
      <w:bookmarkEnd w:id="3"/>
    </w:p>
    <w:p w14:paraId="446F72DE" w14:textId="77777777" w:rsidR="00D9665F" w:rsidRPr="00426D87" w:rsidRDefault="002160EC" w:rsidP="00D9665F">
      <w:pPr>
        <w:pStyle w:val="Section1"/>
        <w:rPr>
          <w:szCs w:val="22"/>
          <w:rtl/>
        </w:rPr>
      </w:pPr>
      <w:r w:rsidRPr="00426D87">
        <w:rPr>
          <w:rtl/>
        </w:rPr>
        <w:t xml:space="preserve">القسم </w:t>
      </w:r>
      <w:proofErr w:type="gramStart"/>
      <w:r w:rsidRPr="00426D87">
        <w:t>IV</w:t>
      </w:r>
      <w:r w:rsidRPr="00426D87">
        <w:rPr>
          <w:rtl/>
        </w:rPr>
        <w:t xml:space="preserve">  -</w:t>
      </w:r>
      <w:proofErr w:type="gramEnd"/>
      <w:r w:rsidRPr="00426D87">
        <w:rPr>
          <w:rtl/>
        </w:rPr>
        <w:t xml:space="preserve">  جدول توزيع نطاقات التردد</w:t>
      </w:r>
      <w:r w:rsidRPr="00426D87">
        <w:rPr>
          <w:rtl/>
        </w:rPr>
        <w:br/>
      </w:r>
      <w:r w:rsidRPr="00426D87">
        <w:rPr>
          <w:b w:val="0"/>
          <w:bCs w:val="0"/>
          <w:sz w:val="22"/>
          <w:szCs w:val="22"/>
          <w:rtl/>
        </w:rPr>
        <w:t>(انظر الرقم</w:t>
      </w:r>
      <w:r w:rsidRPr="00426D87">
        <w:rPr>
          <w:sz w:val="22"/>
          <w:szCs w:val="22"/>
          <w:rtl/>
        </w:rPr>
        <w:t xml:space="preserve"> </w:t>
      </w:r>
      <w:r w:rsidRPr="00426D87">
        <w:rPr>
          <w:sz w:val="22"/>
          <w:szCs w:val="22"/>
        </w:rPr>
        <w:t>1.2</w:t>
      </w:r>
      <w:r w:rsidRPr="00426D87">
        <w:rPr>
          <w:b w:val="0"/>
          <w:bCs w:val="0"/>
          <w:sz w:val="22"/>
          <w:szCs w:val="22"/>
          <w:rtl/>
        </w:rPr>
        <w:t>)</w:t>
      </w:r>
    </w:p>
    <w:p w14:paraId="029674EF" w14:textId="77777777" w:rsidR="00536520" w:rsidRPr="00426D87" w:rsidRDefault="00514340">
      <w:pPr>
        <w:pStyle w:val="Proposal"/>
      </w:pPr>
      <w:r w:rsidRPr="00426D87">
        <w:t>SUP</w:t>
      </w:r>
      <w:r w:rsidRPr="00426D87">
        <w:tab/>
        <w:t>CUB/59A8/1</w:t>
      </w:r>
    </w:p>
    <w:p w14:paraId="6110B6D6" w14:textId="39008971" w:rsidR="00F02067" w:rsidRPr="00426D87" w:rsidRDefault="00B85189" w:rsidP="00D9665F">
      <w:pPr>
        <w:pStyle w:val="Note"/>
        <w:rPr>
          <w:rFonts w:eastAsia="PMingLiU"/>
          <w:sz w:val="16"/>
          <w:szCs w:val="24"/>
          <w:rtl/>
          <w:lang w:eastAsia="zh-TW" w:bidi="ar-SA"/>
        </w:rPr>
      </w:pPr>
      <w:r>
        <w:rPr>
          <w:rStyle w:val="Artdef"/>
        </w:rPr>
        <w:t>484B.5</w:t>
      </w:r>
    </w:p>
    <w:p w14:paraId="59430A8E" w14:textId="77777777" w:rsidR="00536520" w:rsidRPr="00426D87" w:rsidRDefault="00536520">
      <w:pPr>
        <w:pStyle w:val="Reasons"/>
      </w:pPr>
    </w:p>
    <w:p w14:paraId="7BF8E01F" w14:textId="77777777" w:rsidR="00536520" w:rsidRPr="00426D87" w:rsidRDefault="00514340">
      <w:pPr>
        <w:pStyle w:val="Proposal"/>
      </w:pPr>
      <w:r w:rsidRPr="00426D87">
        <w:t>SUP</w:t>
      </w:r>
      <w:r w:rsidRPr="00426D87">
        <w:tab/>
        <w:t>CUB/59A8/2</w:t>
      </w:r>
    </w:p>
    <w:p w14:paraId="15BAECBE" w14:textId="77777777" w:rsidR="00514340" w:rsidRPr="00426D87" w:rsidRDefault="00514340" w:rsidP="0078577E">
      <w:pPr>
        <w:pStyle w:val="ResNo"/>
        <w:keepLines/>
      </w:pPr>
      <w:bookmarkStart w:id="4" w:name="_Toc36038309"/>
      <w:bookmarkStart w:id="5" w:name="_Toc40075738"/>
      <w:r w:rsidRPr="00426D87">
        <w:rPr>
          <w:rtl/>
        </w:rPr>
        <w:t xml:space="preserve">القرار </w:t>
      </w:r>
      <w:r w:rsidRPr="00426D87">
        <w:rPr>
          <w:rStyle w:val="href"/>
        </w:rPr>
        <w:t>155</w:t>
      </w:r>
      <w:r w:rsidRPr="00426D87">
        <w:t> (REV.WRC</w:t>
      </w:r>
      <w:r w:rsidRPr="00426D87">
        <w:noBreakHyphen/>
        <w:t>19)</w:t>
      </w:r>
      <w:bookmarkEnd w:id="4"/>
      <w:bookmarkEnd w:id="5"/>
    </w:p>
    <w:p w14:paraId="3F18E2A8" w14:textId="77777777" w:rsidR="00514340" w:rsidRPr="00426D87" w:rsidRDefault="00514340" w:rsidP="0078577E">
      <w:pPr>
        <w:pStyle w:val="Restitle"/>
        <w:rPr>
          <w:rtl/>
        </w:rPr>
      </w:pPr>
      <w:bookmarkStart w:id="6" w:name="_Toc36038310"/>
      <w:bookmarkStart w:id="7" w:name="_Toc40075739"/>
      <w:r w:rsidRPr="00426D87">
        <w:rPr>
          <w:spacing w:val="8"/>
          <w:rtl/>
        </w:rPr>
        <w:t>أحكام تنظيمية متصلة بالمحطات الأرضية على متن طائرات دون طيار تعمل</w:t>
      </w:r>
      <w:r w:rsidRPr="00426D87">
        <w:rPr>
          <w:spacing w:val="8"/>
          <w:rtl/>
        </w:rPr>
        <w:br/>
      </w:r>
      <w:r w:rsidRPr="00426D87">
        <w:rPr>
          <w:spacing w:val="-2"/>
          <w:rtl/>
        </w:rPr>
        <w:t xml:space="preserve">في شبكات ساتلية مستقرة بالنسبة إلى الأرض في الخدمة الثابتة الساتلية في بعض </w:t>
      </w:r>
      <w:r w:rsidRPr="00426D87">
        <w:rPr>
          <w:spacing w:val="-2"/>
          <w:rtl/>
        </w:rPr>
        <w:br/>
        <w:t>نطاقات</w:t>
      </w:r>
      <w:r w:rsidRPr="00426D87">
        <w:rPr>
          <w:rtl/>
        </w:rPr>
        <w:t xml:space="preserve"> التردد غير الخاضعة لخطة التذييلات </w:t>
      </w:r>
      <w:r w:rsidRPr="00426D87">
        <w:rPr>
          <w:szCs w:val="24"/>
          <w:lang w:eastAsia="zh-CN"/>
        </w:rPr>
        <w:t>30</w:t>
      </w:r>
      <w:r w:rsidRPr="00426D87">
        <w:rPr>
          <w:rtl/>
        </w:rPr>
        <w:t xml:space="preserve"> و</w:t>
      </w:r>
      <w:r w:rsidRPr="00426D87">
        <w:rPr>
          <w:szCs w:val="24"/>
          <w:lang w:eastAsia="zh-CN"/>
        </w:rPr>
        <w:t>30A</w:t>
      </w:r>
      <w:r w:rsidRPr="00426D87">
        <w:rPr>
          <w:rtl/>
        </w:rPr>
        <w:t xml:space="preserve"> و</w:t>
      </w:r>
      <w:r w:rsidRPr="00426D87">
        <w:rPr>
          <w:szCs w:val="24"/>
          <w:lang w:eastAsia="zh-CN"/>
        </w:rPr>
        <w:t>30B</w:t>
      </w:r>
      <w:r w:rsidRPr="00426D87">
        <w:rPr>
          <w:rtl/>
        </w:rPr>
        <w:t xml:space="preserve"> من أجل التحكم والاتصالات خارج الحمولة النافعة لأنظمة الطائرات دون طيار </w:t>
      </w:r>
      <w:r w:rsidRPr="00426D87">
        <w:rPr>
          <w:rtl/>
        </w:rPr>
        <w:br/>
        <w:t>في الفضاء الجوي غير المحجوز</w:t>
      </w:r>
      <w:r w:rsidRPr="00426D87">
        <w:rPr>
          <w:rStyle w:val="FootnoteReference"/>
          <w:rtl/>
        </w:rPr>
        <w:footnoteReference w:customMarkFollows="1" w:id="1"/>
        <w:t>*</w:t>
      </w:r>
      <w:bookmarkEnd w:id="6"/>
      <w:bookmarkEnd w:id="7"/>
    </w:p>
    <w:p w14:paraId="221555E7" w14:textId="77777777" w:rsidR="00536520" w:rsidRPr="00426D87" w:rsidRDefault="00536520">
      <w:pPr>
        <w:pStyle w:val="Reasons"/>
      </w:pPr>
    </w:p>
    <w:p w14:paraId="278D5649" w14:textId="77777777" w:rsidR="00536520" w:rsidRPr="00426D87" w:rsidRDefault="00514340">
      <w:pPr>
        <w:pStyle w:val="Proposal"/>
      </w:pPr>
      <w:r w:rsidRPr="00426D87">
        <w:t>SUP</w:t>
      </w:r>
      <w:r w:rsidRPr="00426D87">
        <w:tab/>
        <w:t>CUB/59A8/3</w:t>
      </w:r>
    </w:p>
    <w:p w14:paraId="7434006A" w14:textId="77777777" w:rsidR="00514340" w:rsidRPr="00426D87" w:rsidRDefault="00514340" w:rsidP="005C3943">
      <w:pPr>
        <w:pStyle w:val="ResNo"/>
      </w:pPr>
      <w:bookmarkStart w:id="8" w:name="_Toc36038323"/>
      <w:bookmarkStart w:id="9" w:name="_Toc40075762"/>
      <w:r w:rsidRPr="00426D87">
        <w:rPr>
          <w:rtl/>
        </w:rPr>
        <w:t xml:space="preserve">القرار </w:t>
      </w:r>
      <w:r w:rsidRPr="00426D87">
        <w:rPr>
          <w:rStyle w:val="href"/>
        </w:rPr>
        <w:t>171</w:t>
      </w:r>
      <w:r w:rsidRPr="00426D87">
        <w:rPr>
          <w:lang w:val="en-GB"/>
        </w:rPr>
        <w:t xml:space="preserve"> (WRC-19)</w:t>
      </w:r>
      <w:bookmarkEnd w:id="8"/>
      <w:bookmarkEnd w:id="9"/>
    </w:p>
    <w:p w14:paraId="0A00D0CE" w14:textId="77777777" w:rsidR="00514340" w:rsidRPr="00426D87" w:rsidRDefault="00514340" w:rsidP="005C3943">
      <w:pPr>
        <w:pStyle w:val="Restitle"/>
        <w:rPr>
          <w:rtl/>
          <w:lang w:bidi="ar-EG"/>
        </w:rPr>
      </w:pPr>
      <w:bookmarkStart w:id="10" w:name="_Toc36038324"/>
      <w:bookmarkStart w:id="11" w:name="_Toc40075763"/>
      <w:r w:rsidRPr="00426D87">
        <w:rPr>
          <w:rtl/>
        </w:rPr>
        <w:t xml:space="preserve">استعراض وإمكانية مراجَعة القرار </w:t>
      </w:r>
      <w:r w:rsidRPr="00426D87">
        <w:t>155 (Rev.WRC</w:t>
      </w:r>
      <w:r w:rsidRPr="00426D87">
        <w:noBreakHyphen/>
        <w:t>19)</w:t>
      </w:r>
      <w:r w:rsidRPr="00426D87">
        <w:rPr>
          <w:rtl/>
        </w:rPr>
        <w:t xml:space="preserve"> والرقم </w:t>
      </w:r>
      <w:r w:rsidRPr="00426D87">
        <w:t>484B.5</w:t>
      </w:r>
      <w:r w:rsidRPr="00426D87">
        <w:rPr>
          <w:rtl/>
          <w:lang w:bidi="ar-EG"/>
        </w:rPr>
        <w:t xml:space="preserve"> </w:t>
      </w:r>
      <w:r w:rsidRPr="00426D87">
        <w:rPr>
          <w:rtl/>
          <w:lang w:bidi="ar-EG"/>
        </w:rPr>
        <w:br/>
        <w:t>في نطاقات التردد التي ينطبقان فيها</w:t>
      </w:r>
      <w:bookmarkEnd w:id="10"/>
      <w:bookmarkEnd w:id="11"/>
    </w:p>
    <w:p w14:paraId="4A5FC97D" w14:textId="3C8B1A25" w:rsidR="003104D7" w:rsidRPr="00B85189" w:rsidRDefault="005E2649" w:rsidP="00B85189">
      <w:pPr>
        <w:pStyle w:val="Reasons"/>
        <w:rPr>
          <w:b w:val="0"/>
          <w:bCs w:val="0"/>
          <w:rtl/>
        </w:rPr>
      </w:pPr>
      <w:r w:rsidRPr="00B85189">
        <w:rPr>
          <w:rFonts w:hint="cs"/>
          <w:rtl/>
        </w:rPr>
        <w:t>الأسباب:</w:t>
      </w:r>
      <w:r w:rsidR="009B2A4A">
        <w:tab/>
      </w:r>
      <w:r w:rsidR="003104D7" w:rsidRPr="00B85189">
        <w:rPr>
          <w:b w:val="0"/>
          <w:bCs w:val="0"/>
          <w:rtl/>
        </w:rPr>
        <w:t xml:space="preserve">الدراسات التي </w:t>
      </w:r>
      <w:r w:rsidR="003104D7" w:rsidRPr="00B85189">
        <w:rPr>
          <w:rFonts w:hint="cs"/>
          <w:b w:val="0"/>
          <w:bCs w:val="0"/>
          <w:rtl/>
        </w:rPr>
        <w:t>أُجريت</w:t>
      </w:r>
      <w:r w:rsidR="003104D7" w:rsidRPr="00B85189">
        <w:rPr>
          <w:b w:val="0"/>
          <w:bCs w:val="0"/>
          <w:rtl/>
        </w:rPr>
        <w:t xml:space="preserve"> </w:t>
      </w:r>
      <w:r w:rsidR="003104D7" w:rsidRPr="00B85189">
        <w:rPr>
          <w:rFonts w:hint="cs"/>
          <w:b w:val="0"/>
          <w:bCs w:val="0"/>
          <w:rtl/>
        </w:rPr>
        <w:t>لا</w:t>
      </w:r>
      <w:r w:rsidR="00B85189">
        <w:rPr>
          <w:rFonts w:hint="eastAsia"/>
          <w:b w:val="0"/>
          <w:bCs w:val="0"/>
          <w:rtl/>
        </w:rPr>
        <w:t> </w:t>
      </w:r>
      <w:r w:rsidR="003104D7" w:rsidRPr="00B85189">
        <w:rPr>
          <w:rFonts w:hint="cs"/>
          <w:b w:val="0"/>
          <w:bCs w:val="0"/>
          <w:rtl/>
        </w:rPr>
        <w:t xml:space="preserve">تتيح </w:t>
      </w:r>
      <w:r w:rsidR="00CF55CF" w:rsidRPr="00B85189">
        <w:rPr>
          <w:rFonts w:hint="cs"/>
          <w:b w:val="0"/>
          <w:bCs w:val="0"/>
          <w:rtl/>
        </w:rPr>
        <w:t xml:space="preserve">ضمان </w:t>
      </w:r>
      <w:r w:rsidR="003104D7" w:rsidRPr="00B85189">
        <w:rPr>
          <w:b w:val="0"/>
          <w:bCs w:val="0"/>
          <w:rtl/>
        </w:rPr>
        <w:t>شروط السلامة اللازمة لاتصالات التحكم والاتصالات خارج الحمولة النافعة</w:t>
      </w:r>
      <w:r w:rsidR="00B85189">
        <w:rPr>
          <w:rFonts w:hint="eastAsia"/>
          <w:b w:val="0"/>
          <w:bCs w:val="0"/>
          <w:rtl/>
        </w:rPr>
        <w:t> </w:t>
      </w:r>
      <w:r w:rsidR="003104D7" w:rsidRPr="00B85189">
        <w:rPr>
          <w:b w:val="0"/>
          <w:bCs w:val="0"/>
        </w:rPr>
        <w:t>(CNPC)</w:t>
      </w:r>
      <w:r w:rsidR="003104D7" w:rsidRPr="00B85189">
        <w:rPr>
          <w:rFonts w:hint="cs"/>
          <w:b w:val="0"/>
          <w:bCs w:val="0"/>
          <w:rtl/>
        </w:rPr>
        <w:t xml:space="preserve"> للطائرات دون طيار </w:t>
      </w:r>
      <w:r w:rsidR="003104D7" w:rsidRPr="00B85189">
        <w:rPr>
          <w:b w:val="0"/>
          <w:bCs w:val="0"/>
          <w:rtl/>
        </w:rPr>
        <w:t>في الفضاء الجوي غير المحجو</w:t>
      </w:r>
      <w:r w:rsidR="003104D7" w:rsidRPr="00B85189">
        <w:rPr>
          <w:rFonts w:hint="cs"/>
          <w:b w:val="0"/>
          <w:bCs w:val="0"/>
          <w:rtl/>
        </w:rPr>
        <w:t xml:space="preserve">ز باستخدام شبكات </w:t>
      </w:r>
      <w:r w:rsidR="00CF55CF" w:rsidRPr="00B85189">
        <w:rPr>
          <w:rFonts w:hint="cs"/>
          <w:b w:val="0"/>
          <w:bCs w:val="0"/>
          <w:rtl/>
        </w:rPr>
        <w:t xml:space="preserve">في الخدمة الثابتة </w:t>
      </w:r>
      <w:proofErr w:type="spellStart"/>
      <w:r w:rsidR="00CF55CF" w:rsidRPr="00B85189">
        <w:rPr>
          <w:rFonts w:hint="cs"/>
          <w:b w:val="0"/>
          <w:bCs w:val="0"/>
          <w:rtl/>
        </w:rPr>
        <w:t>الساتلية</w:t>
      </w:r>
      <w:proofErr w:type="spellEnd"/>
      <w:r w:rsidR="00CF55CF" w:rsidRPr="00B85189">
        <w:rPr>
          <w:rFonts w:hint="cs"/>
          <w:b w:val="0"/>
          <w:bCs w:val="0"/>
          <w:rtl/>
        </w:rPr>
        <w:t>.</w:t>
      </w:r>
    </w:p>
    <w:p w14:paraId="77C5C9F2" w14:textId="36E3CE20" w:rsidR="00F7562F" w:rsidRPr="00F7562F" w:rsidRDefault="00F7562F" w:rsidP="00F7562F">
      <w:pPr>
        <w:spacing w:before="600"/>
        <w:jc w:val="center"/>
        <w:rPr>
          <w:rtl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7562F" w:rsidRPr="00F7562F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7FF6" w14:textId="77777777" w:rsidR="00235315" w:rsidRDefault="00235315" w:rsidP="002919E1">
      <w:r>
        <w:separator/>
      </w:r>
    </w:p>
    <w:p w14:paraId="6CABB9E9" w14:textId="77777777" w:rsidR="00235315" w:rsidRDefault="00235315" w:rsidP="002919E1"/>
    <w:p w14:paraId="13080CAB" w14:textId="77777777" w:rsidR="00235315" w:rsidRDefault="00235315" w:rsidP="002919E1"/>
    <w:p w14:paraId="36DABAB0" w14:textId="77777777" w:rsidR="00235315" w:rsidRDefault="00235315"/>
    <w:p w14:paraId="0038BF1E" w14:textId="77777777" w:rsidR="00235315" w:rsidRDefault="00235315"/>
  </w:endnote>
  <w:endnote w:type="continuationSeparator" w:id="0">
    <w:p w14:paraId="10DB8F9A" w14:textId="77777777" w:rsidR="00235315" w:rsidRDefault="00235315" w:rsidP="002919E1">
      <w:r>
        <w:continuationSeparator/>
      </w:r>
    </w:p>
    <w:p w14:paraId="5220CA9B" w14:textId="77777777" w:rsidR="00235315" w:rsidRDefault="00235315" w:rsidP="002919E1"/>
    <w:p w14:paraId="4F0976F9" w14:textId="77777777" w:rsidR="00235315" w:rsidRDefault="00235315" w:rsidP="002919E1"/>
    <w:p w14:paraId="3926000E" w14:textId="77777777" w:rsidR="00235315" w:rsidRDefault="00235315"/>
    <w:p w14:paraId="01DCEB83" w14:textId="77777777" w:rsidR="00235315" w:rsidRDefault="002353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0617" w14:textId="4AF3A711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75426">
      <w:rPr>
        <w:noProof/>
        <w:sz w:val="16"/>
        <w:szCs w:val="16"/>
        <w:lang w:val="fr-FR"/>
      </w:rPr>
      <w:t>P:\ARA\ITU-R\CONF-R\CMR23\000\059ADD08A.docx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F7562F" w:rsidRPr="00F7562F">
      <w:rPr>
        <w:sz w:val="16"/>
        <w:szCs w:val="16"/>
        <w:lang w:val="fr-FR"/>
      </w:rPr>
      <w:t>529965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4E63" w14:textId="2CB186D5" w:rsidR="00275426" w:rsidRPr="00275426" w:rsidRDefault="00275426" w:rsidP="00275426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85189">
      <w:rPr>
        <w:noProof/>
        <w:sz w:val="16"/>
        <w:szCs w:val="16"/>
        <w:lang w:val="fr-FR"/>
      </w:rPr>
      <w:t>P:\ARA\ITU-R\CONF-R\CMR23\000\059ADD08A.docx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F7562F">
      <w:rPr>
        <w:sz w:val="16"/>
        <w:szCs w:val="16"/>
        <w:lang w:val="fr-FR"/>
      </w:rPr>
      <w:t>529965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4251" w14:textId="7D6383CA" w:rsidR="00F7562F" w:rsidRPr="00C12260" w:rsidRDefault="00C12260" w:rsidP="00C12260">
    <w:pPr>
      <w:pStyle w:val="Footer"/>
      <w:bidi w:val="0"/>
      <w:rPr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75426">
      <w:rPr>
        <w:noProof/>
        <w:sz w:val="16"/>
        <w:szCs w:val="16"/>
        <w:lang w:val="fr-FR"/>
      </w:rPr>
      <w:t>P:\ARA\ITU-R\CONF-R\CMR23\000\059ADD08A.docx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F7562F">
      <w:rPr>
        <w:sz w:val="16"/>
        <w:szCs w:val="16"/>
        <w:lang w:val="fr-FR"/>
      </w:rPr>
      <w:t>529965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CEB6" w14:textId="77777777" w:rsidR="00235315" w:rsidRDefault="00235315" w:rsidP="00C45930">
      <w:r>
        <w:separator/>
      </w:r>
    </w:p>
  </w:footnote>
  <w:footnote w:type="continuationSeparator" w:id="0">
    <w:p w14:paraId="3D538DC2" w14:textId="77777777" w:rsidR="00235315" w:rsidRDefault="00235315" w:rsidP="002919E1">
      <w:r>
        <w:continuationSeparator/>
      </w:r>
    </w:p>
    <w:p w14:paraId="497223BE" w14:textId="77777777" w:rsidR="00235315" w:rsidRDefault="00235315" w:rsidP="002919E1"/>
    <w:p w14:paraId="3AD208D0" w14:textId="77777777" w:rsidR="00235315" w:rsidRDefault="00235315" w:rsidP="002919E1"/>
    <w:p w14:paraId="26A8F6C5" w14:textId="77777777" w:rsidR="00235315" w:rsidRDefault="00235315"/>
    <w:p w14:paraId="3B0FA9ED" w14:textId="77777777" w:rsidR="00235315" w:rsidRDefault="00235315"/>
  </w:footnote>
  <w:footnote w:id="1">
    <w:p w14:paraId="5BB4C21D" w14:textId="24296A00" w:rsidR="00514340" w:rsidRPr="00FE2CFF" w:rsidRDefault="00514340" w:rsidP="009B2A4A">
      <w:pPr>
        <w:pStyle w:val="FootnoteText"/>
        <w:tabs>
          <w:tab w:val="clear" w:pos="1134"/>
          <w:tab w:val="clear" w:pos="1871"/>
          <w:tab w:val="left" w:pos="425"/>
        </w:tabs>
        <w:rPr>
          <w:rtl/>
        </w:rPr>
      </w:pPr>
      <w:r w:rsidRPr="00FE2CFF">
        <w:rPr>
          <w:rStyle w:val="FootnoteReference"/>
          <w:rtl/>
        </w:rPr>
        <w:t>*</w:t>
      </w:r>
      <w:r w:rsidRPr="00FE2CFF">
        <w:rPr>
          <w:rtl/>
        </w:rPr>
        <w:tab/>
      </w:r>
      <w:r w:rsidRPr="00FE2CFF">
        <w:rPr>
          <w:rFonts w:hint="cs"/>
          <w:rtl/>
        </w:rPr>
        <w:t xml:space="preserve">يمكن أيضاً استعماله </w:t>
      </w:r>
      <w:r w:rsidR="00CF55CF">
        <w:rPr>
          <w:rFonts w:hint="cs"/>
          <w:rtl/>
        </w:rPr>
        <w:t>باتساق</w:t>
      </w:r>
      <w:r w:rsidR="00505BFF">
        <w:rPr>
          <w:rFonts w:hint="cs"/>
          <w:rtl/>
        </w:rPr>
        <w:t xml:space="preserve"> مع</w:t>
      </w:r>
      <w:r w:rsidR="00CF55CF" w:rsidRPr="00FE2CFF">
        <w:rPr>
          <w:rFonts w:hint="cs"/>
          <w:rtl/>
        </w:rPr>
        <w:t xml:space="preserve"> </w:t>
      </w:r>
      <w:r w:rsidR="00505BFF">
        <w:rPr>
          <w:rFonts w:hint="cs"/>
          <w:rtl/>
        </w:rPr>
        <w:t>ا</w:t>
      </w:r>
      <w:r w:rsidRPr="00FE2CFF">
        <w:rPr>
          <w:rFonts w:hint="cs"/>
          <w:rtl/>
        </w:rPr>
        <w:t>لمعايير والممارسات الدولية التي تقرها السلطة المختصة للطيران المدني.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4FDF" w14:textId="3BF1A667" w:rsidR="00D63A6F" w:rsidRPr="00275426" w:rsidRDefault="005E5F16" w:rsidP="00C12260">
    <w:pPr>
      <w:bidi w:val="0"/>
      <w:spacing w:after="360" w:line="240" w:lineRule="auto"/>
      <w:jc w:val="center"/>
    </w:pPr>
    <w:r w:rsidRPr="00275426">
      <w:rPr>
        <w:rStyle w:val="PageNumber"/>
        <w:rFonts w:ascii="Dubai" w:hAnsi="Dubai" w:cs="Dubai"/>
      </w:rPr>
      <w:fldChar w:fldCharType="begin"/>
    </w:r>
    <w:r w:rsidRPr="00275426">
      <w:rPr>
        <w:rStyle w:val="PageNumber"/>
        <w:rFonts w:ascii="Dubai" w:hAnsi="Dubai" w:cs="Dubai"/>
      </w:rPr>
      <w:instrText xml:space="preserve"> PAGE </w:instrText>
    </w:r>
    <w:r w:rsidRPr="00275426">
      <w:rPr>
        <w:rStyle w:val="PageNumber"/>
        <w:rFonts w:ascii="Dubai" w:hAnsi="Dubai" w:cs="Dubai"/>
      </w:rPr>
      <w:fldChar w:fldCharType="separate"/>
    </w:r>
    <w:r w:rsidRPr="00275426">
      <w:rPr>
        <w:rStyle w:val="PageNumber"/>
        <w:rFonts w:ascii="Dubai" w:hAnsi="Dubai" w:cs="Dubai"/>
      </w:rPr>
      <w:t>2</w:t>
    </w:r>
    <w:r w:rsidRPr="00275426">
      <w:rPr>
        <w:rStyle w:val="PageNumber"/>
        <w:rFonts w:ascii="Dubai" w:hAnsi="Dubai" w:cs="Dubai"/>
      </w:rPr>
      <w:fldChar w:fldCharType="end"/>
    </w:r>
    <w:r w:rsidRPr="00275426">
      <w:rPr>
        <w:rStyle w:val="PageNumber"/>
        <w:rFonts w:ascii="Dubai" w:hAnsi="Dubai" w:cs="Dubai"/>
        <w:rtl/>
      </w:rPr>
      <w:br/>
    </w:r>
    <w:r w:rsidR="004F5F29" w:rsidRPr="00275426">
      <w:rPr>
        <w:rStyle w:val="PageNumber"/>
        <w:rFonts w:ascii="Dubai" w:hAnsi="Dubai" w:cs="Dubai"/>
      </w:rPr>
      <w:t>WRC</w:t>
    </w:r>
    <w:r w:rsidRPr="00275426">
      <w:rPr>
        <w:rStyle w:val="PageNumber"/>
        <w:rFonts w:ascii="Dubai" w:hAnsi="Dubai" w:cs="Dubai"/>
      </w:rPr>
      <w:t>23/59(Add.8)-A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BE49" w14:textId="52C55B31" w:rsidR="00275426" w:rsidRDefault="00275426" w:rsidP="00275426">
    <w:pPr>
      <w:bidi w:val="0"/>
      <w:spacing w:after="360" w:line="240" w:lineRule="auto"/>
      <w:jc w:val="center"/>
    </w:pPr>
    <w:r w:rsidRPr="00275426">
      <w:rPr>
        <w:rStyle w:val="PageNumber"/>
        <w:rFonts w:ascii="Dubai" w:hAnsi="Dubai" w:cs="Dubai"/>
      </w:rPr>
      <w:fldChar w:fldCharType="begin"/>
    </w:r>
    <w:r w:rsidRPr="00275426">
      <w:rPr>
        <w:rStyle w:val="PageNumber"/>
        <w:rFonts w:ascii="Dubai" w:hAnsi="Dubai" w:cs="Dubai"/>
      </w:rPr>
      <w:instrText xml:space="preserve"> PAGE </w:instrText>
    </w:r>
    <w:r w:rsidRPr="00275426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275426">
      <w:rPr>
        <w:rStyle w:val="PageNumber"/>
        <w:rFonts w:ascii="Dubai" w:hAnsi="Dubai" w:cs="Dubai"/>
      </w:rPr>
      <w:fldChar w:fldCharType="end"/>
    </w:r>
    <w:r w:rsidRPr="00275426">
      <w:rPr>
        <w:rStyle w:val="PageNumber"/>
        <w:rFonts w:ascii="Dubai" w:hAnsi="Dubai" w:cs="Dubai"/>
        <w:rtl/>
      </w:rPr>
      <w:br/>
    </w:r>
    <w:r w:rsidRPr="00275426">
      <w:rPr>
        <w:rStyle w:val="PageNumber"/>
        <w:rFonts w:ascii="Dubai" w:hAnsi="Dubai" w:cs="Dubai"/>
      </w:rPr>
      <w:t>WRC23/59(Add.8)-A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805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DCD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F0DD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CE84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67607420">
    <w:abstractNumId w:val="9"/>
  </w:num>
  <w:num w:numId="2" w16cid:durableId="1036657723">
    <w:abstractNumId w:val="13"/>
  </w:num>
  <w:num w:numId="3" w16cid:durableId="1095327322">
    <w:abstractNumId w:val="11"/>
  </w:num>
  <w:num w:numId="4" w16cid:durableId="1703901087">
    <w:abstractNumId w:val="14"/>
  </w:num>
  <w:num w:numId="5" w16cid:durableId="2055889716">
    <w:abstractNumId w:val="7"/>
  </w:num>
  <w:num w:numId="6" w16cid:durableId="1910772375">
    <w:abstractNumId w:val="6"/>
  </w:num>
  <w:num w:numId="7" w16cid:durableId="993070859">
    <w:abstractNumId w:val="5"/>
  </w:num>
  <w:num w:numId="8" w16cid:durableId="1816289334">
    <w:abstractNumId w:val="4"/>
  </w:num>
  <w:num w:numId="9" w16cid:durableId="839781909">
    <w:abstractNumId w:val="8"/>
  </w:num>
  <w:num w:numId="10" w16cid:durableId="579173603">
    <w:abstractNumId w:val="3"/>
  </w:num>
  <w:num w:numId="11" w16cid:durableId="1131560281">
    <w:abstractNumId w:val="2"/>
  </w:num>
  <w:num w:numId="12" w16cid:durableId="2030328375">
    <w:abstractNumId w:val="1"/>
  </w:num>
  <w:num w:numId="13" w16cid:durableId="37094683">
    <w:abstractNumId w:val="0"/>
  </w:num>
  <w:num w:numId="14" w16cid:durableId="1982147470">
    <w:abstractNumId w:val="10"/>
  </w:num>
  <w:num w:numId="15" w16cid:durableId="411972124">
    <w:abstractNumId w:val="15"/>
  </w:num>
  <w:num w:numId="16" w16cid:durableId="953827458">
    <w:abstractNumId w:val="12"/>
  </w:num>
  <w:num w:numId="17" w16cid:durableId="1903058659">
    <w:abstractNumId w:val="6"/>
  </w:num>
  <w:num w:numId="18" w16cid:durableId="1678193758">
    <w:abstractNumId w:val="5"/>
  </w:num>
  <w:num w:numId="19" w16cid:durableId="301891000">
    <w:abstractNumId w:val="3"/>
  </w:num>
  <w:num w:numId="20" w16cid:durableId="1587031501">
    <w:abstractNumId w:val="2"/>
  </w:num>
  <w:num w:numId="21" w16cid:durableId="1417705311">
    <w:abstractNumId w:val="6"/>
  </w:num>
  <w:num w:numId="22" w16cid:durableId="1729843702">
    <w:abstractNumId w:val="5"/>
  </w:num>
  <w:num w:numId="23" w16cid:durableId="1906141495">
    <w:abstractNumId w:val="3"/>
  </w:num>
  <w:num w:numId="24" w16cid:durableId="1482230834">
    <w:abstractNumId w:val="2"/>
  </w:num>
  <w:num w:numId="25" w16cid:durableId="809440901">
    <w:abstractNumId w:val="6"/>
  </w:num>
  <w:num w:numId="26" w16cid:durableId="1584220966">
    <w:abstractNumId w:val="5"/>
  </w:num>
  <w:num w:numId="27" w16cid:durableId="1434548348">
    <w:abstractNumId w:val="3"/>
  </w:num>
  <w:num w:numId="28" w16cid:durableId="1175536168">
    <w:abstractNumId w:val="2"/>
  </w:num>
  <w:num w:numId="29" w16cid:durableId="1277761250">
    <w:abstractNumId w:val="6"/>
  </w:num>
  <w:num w:numId="30" w16cid:durableId="526604155">
    <w:abstractNumId w:val="5"/>
  </w:num>
  <w:num w:numId="31" w16cid:durableId="935862266">
    <w:abstractNumId w:val="3"/>
  </w:num>
  <w:num w:numId="32" w16cid:durableId="1496215956">
    <w:abstractNumId w:val="2"/>
  </w:num>
  <w:num w:numId="33" w16cid:durableId="1643659941">
    <w:abstractNumId w:val="6"/>
  </w:num>
  <w:num w:numId="34" w16cid:durableId="1677685377">
    <w:abstractNumId w:val="5"/>
  </w:num>
  <w:num w:numId="35" w16cid:durableId="1527325062">
    <w:abstractNumId w:val="3"/>
  </w:num>
  <w:num w:numId="36" w16cid:durableId="603808281">
    <w:abstractNumId w:val="2"/>
  </w:num>
  <w:num w:numId="37" w16cid:durableId="1521820754">
    <w:abstractNumId w:val="6"/>
  </w:num>
  <w:num w:numId="38" w16cid:durableId="850531313">
    <w:abstractNumId w:val="5"/>
  </w:num>
  <w:num w:numId="39" w16cid:durableId="1260022923">
    <w:abstractNumId w:val="3"/>
  </w:num>
  <w:num w:numId="40" w16cid:durableId="1380325769">
    <w:abstractNumId w:val="2"/>
  </w:num>
  <w:num w:numId="41" w16cid:durableId="860317367">
    <w:abstractNumId w:val="6"/>
  </w:num>
  <w:num w:numId="42" w16cid:durableId="1445030367">
    <w:abstractNumId w:val="5"/>
  </w:num>
  <w:num w:numId="43" w16cid:durableId="691540998">
    <w:abstractNumId w:val="3"/>
  </w:num>
  <w:num w:numId="44" w16cid:durableId="618996585">
    <w:abstractNumId w:val="2"/>
  </w:num>
  <w:num w:numId="45" w16cid:durableId="1190297256">
    <w:abstractNumId w:val="6"/>
  </w:num>
  <w:num w:numId="46" w16cid:durableId="382217545">
    <w:abstractNumId w:val="5"/>
  </w:num>
  <w:num w:numId="47" w16cid:durableId="867446937">
    <w:abstractNumId w:val="3"/>
  </w:num>
  <w:num w:numId="48" w16cid:durableId="1021010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1933"/>
    <w:rsid w:val="00115F22"/>
    <w:rsid w:val="00116EA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D7A77"/>
    <w:rsid w:val="001E190C"/>
    <w:rsid w:val="001E1A72"/>
    <w:rsid w:val="001E2DB9"/>
    <w:rsid w:val="001E2F56"/>
    <w:rsid w:val="001E3FDB"/>
    <w:rsid w:val="001E51EE"/>
    <w:rsid w:val="001E54F6"/>
    <w:rsid w:val="001E5A8C"/>
    <w:rsid w:val="001F37D3"/>
    <w:rsid w:val="001F49D6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5315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5426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04D7"/>
    <w:rsid w:val="00311E3F"/>
    <w:rsid w:val="00314B1E"/>
    <w:rsid w:val="00323DAA"/>
    <w:rsid w:val="0032715E"/>
    <w:rsid w:val="00330AB2"/>
    <w:rsid w:val="0033108F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5A91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26D87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BFF"/>
    <w:rsid w:val="00505FCA"/>
    <w:rsid w:val="00506CDD"/>
    <w:rsid w:val="00510C2D"/>
    <w:rsid w:val="005113D4"/>
    <w:rsid w:val="00514340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3652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2649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243C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373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2941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3413"/>
    <w:rsid w:val="007F4998"/>
    <w:rsid w:val="007F6A4D"/>
    <w:rsid w:val="007F7FC3"/>
    <w:rsid w:val="00800790"/>
    <w:rsid w:val="00810482"/>
    <w:rsid w:val="008130D9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328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83945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2128"/>
    <w:rsid w:val="00984018"/>
    <w:rsid w:val="009906D6"/>
    <w:rsid w:val="00995CE3"/>
    <w:rsid w:val="009A3D30"/>
    <w:rsid w:val="009A5AC1"/>
    <w:rsid w:val="009B006F"/>
    <w:rsid w:val="009B2A4A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2A34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3737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5189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12260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CF55CF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7562F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9D6C3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Normalaftertitle0">
    <w:name w:val="Normal_after_title"/>
    <w:basedOn w:val="Normal"/>
    <w:uiPriority w:val="99"/>
    <w:rsid w:val="00925C81"/>
    <w:pPr>
      <w:tabs>
        <w:tab w:val="left" w:pos="1985"/>
      </w:tabs>
      <w:spacing w:before="360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35fff17-0e62-4f61-a9de-3b1850b65657" targetNamespace="http://schemas.microsoft.com/office/2006/metadata/properties" ma:root="true" ma:fieldsID="d41af5c836d734370eb92e7ee5f83852" ns2:_="" ns3:_="">
    <xsd:import namespace="996b2e75-67fd-4955-a3b0-5ab9934cb50b"/>
    <xsd:import namespace="935fff17-0e62-4f61-a9de-3b1850b6565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fff17-0e62-4f61-a9de-3b1850b6565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35fff17-0e62-4f61-a9de-3b1850b65657">DPM</DPM_x0020_Author>
    <DPM_x0020_File_x0020_name xmlns="935fff17-0e62-4f61-a9de-3b1850b65657">R23-WRC23-C-0059!A8!MSW-A</DPM_x0020_File_x0020_name>
    <DPM_x0020_Version xmlns="935fff17-0e62-4f61-a9de-3b1850b65657">DPM_2022.05.12.01</DPM_x0020_Version>
  </documentManagement>
</p:properties>
</file>

<file path=customXml/itemProps1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35fff17-0e62-4f61-a9de-3b1850b65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35fff17-0e62-4f61-a9de-3b1850b656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458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R23-WRC23-C-0059!A8!MSW-A</vt:lpstr>
    </vt:vector>
  </TitlesOfParts>
  <Manager>General Secretariat - Pool</Manager>
  <Company>International Telecommunication Union (ITU)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R23-WRC23-C-0059!A8!MSW-A</dc:title>
  <dc:creator>Documents Proposals Manager (DPM)</dc:creator>
  <cp:keywords>DPM_v2023.8.1.1_prod</cp:keywords>
  <cp:lastModifiedBy>Arabic-AAM</cp:lastModifiedBy>
  <cp:revision>5</cp:revision>
  <cp:lastPrinted>2020-08-11T14:28:00Z</cp:lastPrinted>
  <dcterms:created xsi:type="dcterms:W3CDTF">2023-11-17T05:08:00Z</dcterms:created>
  <dcterms:modified xsi:type="dcterms:W3CDTF">2023-11-17T17:36:00Z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