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A2590" w14:paraId="5AE3844C" w14:textId="77777777" w:rsidTr="00F320AA">
        <w:trPr>
          <w:cantSplit/>
        </w:trPr>
        <w:tc>
          <w:tcPr>
            <w:tcW w:w="1418" w:type="dxa"/>
            <w:vAlign w:val="center"/>
          </w:tcPr>
          <w:p w14:paraId="3A8B0214" w14:textId="77777777" w:rsidR="00F320AA" w:rsidRPr="003A2590" w:rsidRDefault="00F320AA" w:rsidP="00F320AA">
            <w:pPr>
              <w:spacing w:before="0"/>
              <w:rPr>
                <w:rFonts w:ascii="Verdana" w:hAnsi="Verdana"/>
                <w:position w:val="6"/>
              </w:rPr>
            </w:pPr>
            <w:r w:rsidRPr="003A2590">
              <w:rPr>
                <w:noProof/>
              </w:rPr>
              <w:drawing>
                <wp:inline distT="0" distB="0" distL="0" distR="0" wp14:anchorId="38BD0BC6" wp14:editId="477974E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1DB7BA8" w14:textId="77777777" w:rsidR="00F320AA" w:rsidRPr="003A2590" w:rsidRDefault="00F320AA" w:rsidP="00F320AA">
            <w:pPr>
              <w:spacing w:before="400" w:after="48" w:line="240" w:lineRule="atLeast"/>
              <w:rPr>
                <w:rFonts w:ascii="Verdana" w:hAnsi="Verdana"/>
                <w:position w:val="6"/>
              </w:rPr>
            </w:pPr>
            <w:r w:rsidRPr="003A2590">
              <w:rPr>
                <w:rFonts w:ascii="Verdana" w:hAnsi="Verdana" w:cs="Times"/>
                <w:b/>
                <w:position w:val="6"/>
                <w:sz w:val="22"/>
                <w:szCs w:val="22"/>
              </w:rPr>
              <w:t>World Radiocommunication Conference (WRC-23)</w:t>
            </w:r>
            <w:r w:rsidRPr="003A2590">
              <w:rPr>
                <w:rFonts w:ascii="Verdana" w:hAnsi="Verdana" w:cs="Times"/>
                <w:b/>
                <w:position w:val="6"/>
                <w:sz w:val="26"/>
                <w:szCs w:val="26"/>
              </w:rPr>
              <w:br/>
            </w:r>
            <w:r w:rsidRPr="00DC55EC">
              <w:rPr>
                <w:rFonts w:ascii="Verdana" w:hAnsi="Verdana"/>
                <w:b/>
                <w:bCs/>
                <w:position w:val="6"/>
                <w:sz w:val="18"/>
                <w:szCs w:val="18"/>
                <w:lang w:val="en-US"/>
              </w:rPr>
              <w:t>Dubai, 20 November - 15 December 2023</w:t>
            </w:r>
          </w:p>
        </w:tc>
        <w:tc>
          <w:tcPr>
            <w:tcW w:w="1951" w:type="dxa"/>
            <w:vAlign w:val="center"/>
          </w:tcPr>
          <w:p w14:paraId="5C238CF5" w14:textId="77777777" w:rsidR="00F320AA" w:rsidRPr="003A2590" w:rsidRDefault="00EB0812" w:rsidP="00F320AA">
            <w:pPr>
              <w:spacing w:before="0" w:line="240" w:lineRule="atLeast"/>
            </w:pPr>
            <w:r w:rsidRPr="003A2590">
              <w:rPr>
                <w:noProof/>
              </w:rPr>
              <w:drawing>
                <wp:inline distT="0" distB="0" distL="0" distR="0" wp14:anchorId="1985E6A8" wp14:editId="40EE8BB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A2590" w14:paraId="666E27B7" w14:textId="77777777">
        <w:trPr>
          <w:cantSplit/>
        </w:trPr>
        <w:tc>
          <w:tcPr>
            <w:tcW w:w="6911" w:type="dxa"/>
            <w:gridSpan w:val="2"/>
            <w:tcBorders>
              <w:bottom w:val="single" w:sz="12" w:space="0" w:color="auto"/>
            </w:tcBorders>
          </w:tcPr>
          <w:p w14:paraId="65573AAA" w14:textId="77777777" w:rsidR="00A066F1" w:rsidRPr="003A2590"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E726A8A" w14:textId="77777777" w:rsidR="00A066F1" w:rsidRPr="003A2590" w:rsidRDefault="00A066F1" w:rsidP="00A066F1">
            <w:pPr>
              <w:spacing w:before="0" w:line="240" w:lineRule="atLeast"/>
              <w:rPr>
                <w:rFonts w:ascii="Verdana" w:hAnsi="Verdana"/>
                <w:szCs w:val="24"/>
              </w:rPr>
            </w:pPr>
          </w:p>
        </w:tc>
      </w:tr>
      <w:tr w:rsidR="00A066F1" w:rsidRPr="003A2590" w14:paraId="4FB155F6" w14:textId="77777777">
        <w:trPr>
          <w:cantSplit/>
        </w:trPr>
        <w:tc>
          <w:tcPr>
            <w:tcW w:w="6911" w:type="dxa"/>
            <w:gridSpan w:val="2"/>
            <w:tcBorders>
              <w:top w:val="single" w:sz="12" w:space="0" w:color="auto"/>
            </w:tcBorders>
          </w:tcPr>
          <w:p w14:paraId="2AF693CA" w14:textId="77777777" w:rsidR="00A066F1" w:rsidRPr="003A259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0906CF8" w14:textId="77777777" w:rsidR="00A066F1" w:rsidRPr="003A2590" w:rsidRDefault="00A066F1" w:rsidP="00A066F1">
            <w:pPr>
              <w:spacing w:before="0" w:line="240" w:lineRule="atLeast"/>
              <w:rPr>
                <w:rFonts w:ascii="Verdana" w:hAnsi="Verdana"/>
                <w:sz w:val="20"/>
              </w:rPr>
            </w:pPr>
          </w:p>
        </w:tc>
      </w:tr>
      <w:tr w:rsidR="00A066F1" w:rsidRPr="003A2590" w14:paraId="0E374EE3" w14:textId="77777777">
        <w:trPr>
          <w:cantSplit/>
          <w:trHeight w:val="23"/>
        </w:trPr>
        <w:tc>
          <w:tcPr>
            <w:tcW w:w="6911" w:type="dxa"/>
            <w:gridSpan w:val="2"/>
            <w:shd w:val="clear" w:color="auto" w:fill="auto"/>
          </w:tcPr>
          <w:p w14:paraId="613B9F79" w14:textId="77777777" w:rsidR="00A066F1" w:rsidRPr="003A259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A2590">
              <w:rPr>
                <w:rFonts w:ascii="Verdana" w:hAnsi="Verdana"/>
                <w:sz w:val="20"/>
                <w:szCs w:val="20"/>
              </w:rPr>
              <w:t>PLENARY MEETING</w:t>
            </w:r>
          </w:p>
        </w:tc>
        <w:tc>
          <w:tcPr>
            <w:tcW w:w="3120" w:type="dxa"/>
            <w:gridSpan w:val="2"/>
          </w:tcPr>
          <w:p w14:paraId="4761CE62" w14:textId="77777777" w:rsidR="00A066F1" w:rsidRPr="003A2590" w:rsidRDefault="00E55816" w:rsidP="00AA666F">
            <w:pPr>
              <w:tabs>
                <w:tab w:val="left" w:pos="851"/>
              </w:tabs>
              <w:spacing w:before="0" w:line="240" w:lineRule="atLeast"/>
              <w:rPr>
                <w:rFonts w:ascii="Verdana" w:hAnsi="Verdana"/>
                <w:sz w:val="20"/>
              </w:rPr>
            </w:pPr>
            <w:r w:rsidRPr="003A2590">
              <w:rPr>
                <w:rFonts w:ascii="Verdana" w:hAnsi="Verdana"/>
                <w:b/>
                <w:sz w:val="20"/>
              </w:rPr>
              <w:t>Addendum 1 to</w:t>
            </w:r>
            <w:r w:rsidRPr="003A2590">
              <w:rPr>
                <w:rFonts w:ascii="Verdana" w:hAnsi="Verdana"/>
                <w:b/>
                <w:sz w:val="20"/>
              </w:rPr>
              <w:br/>
              <w:t>Document 59</w:t>
            </w:r>
            <w:r w:rsidR="00A066F1" w:rsidRPr="003A2590">
              <w:rPr>
                <w:rFonts w:ascii="Verdana" w:hAnsi="Verdana"/>
                <w:b/>
                <w:sz w:val="20"/>
              </w:rPr>
              <w:t>-</w:t>
            </w:r>
            <w:r w:rsidR="005E10C9" w:rsidRPr="003A2590">
              <w:rPr>
                <w:rFonts w:ascii="Verdana" w:hAnsi="Verdana"/>
                <w:b/>
                <w:sz w:val="20"/>
              </w:rPr>
              <w:t>E</w:t>
            </w:r>
          </w:p>
        </w:tc>
      </w:tr>
      <w:tr w:rsidR="00A066F1" w:rsidRPr="003A2590" w14:paraId="7D1423FE" w14:textId="77777777">
        <w:trPr>
          <w:cantSplit/>
          <w:trHeight w:val="23"/>
        </w:trPr>
        <w:tc>
          <w:tcPr>
            <w:tcW w:w="6911" w:type="dxa"/>
            <w:gridSpan w:val="2"/>
            <w:shd w:val="clear" w:color="auto" w:fill="auto"/>
          </w:tcPr>
          <w:p w14:paraId="7ADA004D" w14:textId="77777777" w:rsidR="00A066F1" w:rsidRPr="003A259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84A7FC3" w14:textId="77777777" w:rsidR="00A066F1" w:rsidRPr="003A2590" w:rsidRDefault="00420873" w:rsidP="00A066F1">
            <w:pPr>
              <w:tabs>
                <w:tab w:val="left" w:pos="993"/>
              </w:tabs>
              <w:spacing w:before="0"/>
              <w:rPr>
                <w:rFonts w:ascii="Verdana" w:hAnsi="Verdana"/>
                <w:sz w:val="20"/>
              </w:rPr>
            </w:pPr>
            <w:r w:rsidRPr="003A2590">
              <w:rPr>
                <w:rFonts w:ascii="Verdana" w:hAnsi="Verdana"/>
                <w:b/>
                <w:sz w:val="20"/>
              </w:rPr>
              <w:t>25 August 2023</w:t>
            </w:r>
          </w:p>
        </w:tc>
      </w:tr>
      <w:tr w:rsidR="00A066F1" w:rsidRPr="003A2590" w14:paraId="6D9807E2" w14:textId="77777777">
        <w:trPr>
          <w:cantSplit/>
          <w:trHeight w:val="23"/>
        </w:trPr>
        <w:tc>
          <w:tcPr>
            <w:tcW w:w="6911" w:type="dxa"/>
            <w:gridSpan w:val="2"/>
            <w:shd w:val="clear" w:color="auto" w:fill="auto"/>
          </w:tcPr>
          <w:p w14:paraId="08B5C468" w14:textId="77777777" w:rsidR="00A066F1" w:rsidRPr="003A259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03C8A72" w14:textId="77777777" w:rsidR="00A066F1" w:rsidRPr="003A2590" w:rsidRDefault="00E55816" w:rsidP="00A066F1">
            <w:pPr>
              <w:tabs>
                <w:tab w:val="left" w:pos="993"/>
              </w:tabs>
              <w:spacing w:before="0"/>
              <w:rPr>
                <w:rFonts w:ascii="Verdana" w:hAnsi="Verdana"/>
                <w:b/>
                <w:sz w:val="20"/>
              </w:rPr>
            </w:pPr>
            <w:r w:rsidRPr="003A2590">
              <w:rPr>
                <w:rFonts w:ascii="Verdana" w:hAnsi="Verdana"/>
                <w:b/>
                <w:sz w:val="20"/>
              </w:rPr>
              <w:t>Original: Spanish</w:t>
            </w:r>
          </w:p>
        </w:tc>
      </w:tr>
      <w:tr w:rsidR="00A066F1" w:rsidRPr="003A2590" w14:paraId="731461A6" w14:textId="77777777" w:rsidTr="00025864">
        <w:trPr>
          <w:cantSplit/>
          <w:trHeight w:val="23"/>
        </w:trPr>
        <w:tc>
          <w:tcPr>
            <w:tcW w:w="10031" w:type="dxa"/>
            <w:gridSpan w:val="4"/>
            <w:shd w:val="clear" w:color="auto" w:fill="auto"/>
          </w:tcPr>
          <w:p w14:paraId="7C736C73" w14:textId="77777777" w:rsidR="00A066F1" w:rsidRPr="003A2590" w:rsidRDefault="00A066F1" w:rsidP="00A066F1">
            <w:pPr>
              <w:tabs>
                <w:tab w:val="left" w:pos="993"/>
              </w:tabs>
              <w:spacing w:before="0"/>
              <w:rPr>
                <w:rFonts w:ascii="Verdana" w:hAnsi="Verdana"/>
                <w:b/>
                <w:sz w:val="20"/>
              </w:rPr>
            </w:pPr>
          </w:p>
        </w:tc>
      </w:tr>
      <w:tr w:rsidR="00E55816" w:rsidRPr="003A2590" w14:paraId="5ACBAC7A" w14:textId="77777777" w:rsidTr="00025864">
        <w:trPr>
          <w:cantSplit/>
          <w:trHeight w:val="23"/>
        </w:trPr>
        <w:tc>
          <w:tcPr>
            <w:tcW w:w="10031" w:type="dxa"/>
            <w:gridSpan w:val="4"/>
            <w:shd w:val="clear" w:color="auto" w:fill="auto"/>
          </w:tcPr>
          <w:p w14:paraId="6FF31078" w14:textId="77777777" w:rsidR="00E55816" w:rsidRPr="003A2590" w:rsidRDefault="00884D60" w:rsidP="00E55816">
            <w:pPr>
              <w:pStyle w:val="Source"/>
            </w:pPr>
            <w:r w:rsidRPr="003A2590">
              <w:t>Cuba</w:t>
            </w:r>
          </w:p>
        </w:tc>
      </w:tr>
      <w:tr w:rsidR="00E55816" w:rsidRPr="003A2590" w14:paraId="0F8B259F" w14:textId="77777777" w:rsidTr="00025864">
        <w:trPr>
          <w:cantSplit/>
          <w:trHeight w:val="23"/>
        </w:trPr>
        <w:tc>
          <w:tcPr>
            <w:tcW w:w="10031" w:type="dxa"/>
            <w:gridSpan w:val="4"/>
            <w:shd w:val="clear" w:color="auto" w:fill="auto"/>
          </w:tcPr>
          <w:p w14:paraId="52A498EA" w14:textId="77777777" w:rsidR="00E55816" w:rsidRPr="003A2590" w:rsidRDefault="007D5320" w:rsidP="00E55816">
            <w:pPr>
              <w:pStyle w:val="Title1"/>
            </w:pPr>
            <w:r w:rsidRPr="003A2590">
              <w:t>proposals for the work of the conference</w:t>
            </w:r>
          </w:p>
        </w:tc>
      </w:tr>
      <w:tr w:rsidR="00E55816" w:rsidRPr="003A2590" w14:paraId="6FE16C34" w14:textId="77777777" w:rsidTr="00025864">
        <w:trPr>
          <w:cantSplit/>
          <w:trHeight w:val="23"/>
        </w:trPr>
        <w:tc>
          <w:tcPr>
            <w:tcW w:w="10031" w:type="dxa"/>
            <w:gridSpan w:val="4"/>
            <w:shd w:val="clear" w:color="auto" w:fill="auto"/>
          </w:tcPr>
          <w:p w14:paraId="682F0BB7" w14:textId="77777777" w:rsidR="00E55816" w:rsidRPr="003A2590" w:rsidRDefault="00E55816" w:rsidP="00E55816">
            <w:pPr>
              <w:pStyle w:val="Title2"/>
            </w:pPr>
          </w:p>
        </w:tc>
      </w:tr>
      <w:tr w:rsidR="00A538A6" w:rsidRPr="003A2590" w14:paraId="60D03196" w14:textId="77777777" w:rsidTr="00025864">
        <w:trPr>
          <w:cantSplit/>
          <w:trHeight w:val="23"/>
        </w:trPr>
        <w:tc>
          <w:tcPr>
            <w:tcW w:w="10031" w:type="dxa"/>
            <w:gridSpan w:val="4"/>
            <w:shd w:val="clear" w:color="auto" w:fill="auto"/>
          </w:tcPr>
          <w:p w14:paraId="36010957" w14:textId="77777777" w:rsidR="00A538A6" w:rsidRPr="003A2590" w:rsidRDefault="004B13CB" w:rsidP="004B13CB">
            <w:pPr>
              <w:pStyle w:val="Agendaitem"/>
              <w:rPr>
                <w:lang w:val="en-GB"/>
              </w:rPr>
            </w:pPr>
            <w:r w:rsidRPr="003A2590">
              <w:rPr>
                <w:lang w:val="en-GB"/>
              </w:rPr>
              <w:t>Agenda item 1.1</w:t>
            </w:r>
          </w:p>
        </w:tc>
      </w:tr>
    </w:tbl>
    <w:bookmarkEnd w:id="5"/>
    <w:bookmarkEnd w:id="6"/>
    <w:p w14:paraId="2E0B1F4F" w14:textId="77777777" w:rsidR="00187BD9" w:rsidRPr="003A2590" w:rsidRDefault="00344279" w:rsidP="00A21F28">
      <w:r w:rsidRPr="003A2590">
        <w:t>1.1</w:t>
      </w:r>
      <w:r w:rsidRPr="003A2590">
        <w:tab/>
        <w:t>to consider, based on the results of ITU</w:t>
      </w:r>
      <w:r w:rsidRPr="003A2590">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3A2590">
        <w:rPr>
          <w:b/>
        </w:rPr>
        <w:t>5.441B</w:t>
      </w:r>
      <w:r w:rsidRPr="003A2590">
        <w:t xml:space="preserve"> in accordance with Resolution </w:t>
      </w:r>
      <w:r w:rsidRPr="003A2590">
        <w:rPr>
          <w:b/>
        </w:rPr>
        <w:t>223 (Rev.WRC</w:t>
      </w:r>
      <w:r w:rsidRPr="003A2590">
        <w:rPr>
          <w:b/>
        </w:rPr>
        <w:noBreakHyphen/>
        <w:t>19)</w:t>
      </w:r>
      <w:r w:rsidRPr="003A2590">
        <w:t>;</w:t>
      </w:r>
    </w:p>
    <w:p w14:paraId="37545E96" w14:textId="2AAAB32B" w:rsidR="00A621EE" w:rsidRPr="003A2590" w:rsidRDefault="00A621EE" w:rsidP="00A621EE">
      <w:pPr>
        <w:pStyle w:val="Headingb"/>
        <w:rPr>
          <w:lang w:val="en-GB"/>
        </w:rPr>
      </w:pPr>
      <w:r w:rsidRPr="003A2590">
        <w:rPr>
          <w:lang w:val="en-GB"/>
        </w:rPr>
        <w:t>Introduc</w:t>
      </w:r>
      <w:r w:rsidR="00C57179" w:rsidRPr="003A2590">
        <w:rPr>
          <w:lang w:val="en-GB"/>
        </w:rPr>
        <w:t>tion</w:t>
      </w:r>
    </w:p>
    <w:p w14:paraId="3ABD7310" w14:textId="7B608D38" w:rsidR="00A621EE" w:rsidRPr="003A2590" w:rsidRDefault="00C57179" w:rsidP="00A621EE">
      <w:pPr>
        <w:rPr>
          <w:color w:val="393536"/>
          <w:szCs w:val="24"/>
        </w:rPr>
      </w:pPr>
      <w:r w:rsidRPr="003A2590">
        <w:rPr>
          <w:color w:val="393536"/>
          <w:szCs w:val="24"/>
        </w:rPr>
        <w:t xml:space="preserve">In considering the possibility of providing protection for stations </w:t>
      </w:r>
      <w:r w:rsidR="008405DC" w:rsidRPr="003A2590">
        <w:rPr>
          <w:color w:val="393536"/>
          <w:szCs w:val="24"/>
        </w:rPr>
        <w:t xml:space="preserve">of </w:t>
      </w:r>
      <w:r w:rsidRPr="003A2590">
        <w:rPr>
          <w:color w:val="393536"/>
          <w:szCs w:val="24"/>
        </w:rPr>
        <w:t>the aeronautical and maritime mobile service</w:t>
      </w:r>
      <w:r w:rsidR="008405DC" w:rsidRPr="003A2590">
        <w:rPr>
          <w:color w:val="393536"/>
          <w:szCs w:val="24"/>
        </w:rPr>
        <w:t>s</w:t>
      </w:r>
      <w:r w:rsidRPr="003A2590">
        <w:rPr>
          <w:color w:val="393536"/>
          <w:szCs w:val="24"/>
        </w:rPr>
        <w:t xml:space="preserve"> located in international airspace</w:t>
      </w:r>
      <w:r w:rsidR="008405DC" w:rsidRPr="003A2590">
        <w:rPr>
          <w:color w:val="393536"/>
          <w:szCs w:val="24"/>
        </w:rPr>
        <w:t xml:space="preserve"> and waters</w:t>
      </w:r>
      <w:r w:rsidRPr="003A2590">
        <w:rPr>
          <w:color w:val="393536"/>
          <w:szCs w:val="24"/>
        </w:rPr>
        <w:t>, the regulatory framework</w:t>
      </w:r>
      <w:r w:rsidR="008405DC" w:rsidRPr="003A2590">
        <w:rPr>
          <w:color w:val="393536"/>
          <w:szCs w:val="24"/>
        </w:rPr>
        <w:t>,</w:t>
      </w:r>
      <w:r w:rsidRPr="003A2590">
        <w:rPr>
          <w:color w:val="393536"/>
          <w:szCs w:val="24"/>
        </w:rPr>
        <w:t xml:space="preserve"> comprising provisions of the Constitution, Convention and the Radio Regulations</w:t>
      </w:r>
      <w:r w:rsidR="008405DC" w:rsidRPr="003A2590">
        <w:rPr>
          <w:color w:val="393536"/>
          <w:szCs w:val="24"/>
        </w:rPr>
        <w:t>,</w:t>
      </w:r>
      <w:r w:rsidRPr="003A2590">
        <w:rPr>
          <w:color w:val="393536"/>
          <w:szCs w:val="24"/>
        </w:rPr>
        <w:t xml:space="preserve"> has been reviewed</w:t>
      </w:r>
      <w:r w:rsidR="00A621EE" w:rsidRPr="003A2590">
        <w:rPr>
          <w:color w:val="393536"/>
          <w:szCs w:val="24"/>
        </w:rPr>
        <w:t>.</w:t>
      </w:r>
    </w:p>
    <w:p w14:paraId="10F40D19" w14:textId="58956108" w:rsidR="00A621EE" w:rsidRPr="003A2590" w:rsidRDefault="00C57179" w:rsidP="00A621EE">
      <w:pPr>
        <w:rPr>
          <w:color w:val="393536"/>
          <w:szCs w:val="24"/>
        </w:rPr>
      </w:pPr>
      <w:r w:rsidRPr="003A2590">
        <w:rPr>
          <w:color w:val="393536"/>
          <w:szCs w:val="24"/>
        </w:rPr>
        <w:t>As a result of this analysis, it has been accurately confirmed that, in order to enjoy protection against harmful interference, any radio station must meet two conditions</w:t>
      </w:r>
      <w:r w:rsidR="00A621EE" w:rsidRPr="003A2590">
        <w:rPr>
          <w:color w:val="393536"/>
          <w:szCs w:val="24"/>
        </w:rPr>
        <w:t>:</w:t>
      </w:r>
    </w:p>
    <w:p w14:paraId="7DA73B37" w14:textId="5CFDFDC0" w:rsidR="00A621EE" w:rsidRPr="003A2590" w:rsidRDefault="00A621EE" w:rsidP="009739F6">
      <w:pPr>
        <w:pStyle w:val="enumlev1"/>
      </w:pPr>
      <w:r w:rsidRPr="003A2590">
        <w:t>1</w:t>
      </w:r>
      <w:r w:rsidR="00DC55EC">
        <w:t>)</w:t>
      </w:r>
      <w:r w:rsidR="008B626B" w:rsidRPr="003A2590">
        <w:tab/>
      </w:r>
      <w:r w:rsidR="00C57179" w:rsidRPr="003A2590">
        <w:t>The station uses frequenc</w:t>
      </w:r>
      <w:r w:rsidR="00FE4F94" w:rsidRPr="003A2590">
        <w:t xml:space="preserve">ies </w:t>
      </w:r>
      <w:r w:rsidR="00C57179" w:rsidRPr="003A2590">
        <w:t>assign</w:t>
      </w:r>
      <w:r w:rsidR="00FE4F94" w:rsidRPr="003A2590">
        <w:t xml:space="preserve">ed </w:t>
      </w:r>
      <w:r w:rsidR="00C57179" w:rsidRPr="003A2590">
        <w:t xml:space="preserve">in </w:t>
      </w:r>
      <w:r w:rsidR="00FE4F94" w:rsidRPr="003A2590">
        <w:t xml:space="preserve">accordance </w:t>
      </w:r>
      <w:r w:rsidR="00C57179" w:rsidRPr="003A2590">
        <w:t>with the Table and the other provisions of the Radio Regulations;</w:t>
      </w:r>
    </w:p>
    <w:p w14:paraId="1397A398" w14:textId="741EB759" w:rsidR="00A621EE" w:rsidRPr="003A2590" w:rsidRDefault="00A621EE" w:rsidP="009739F6">
      <w:pPr>
        <w:pStyle w:val="enumlev1"/>
      </w:pPr>
      <w:r w:rsidRPr="003A2590">
        <w:t>2</w:t>
      </w:r>
      <w:r w:rsidR="00DC55EC">
        <w:t>)</w:t>
      </w:r>
      <w:r w:rsidR="008B626B" w:rsidRPr="003A2590">
        <w:tab/>
      </w:r>
      <w:r w:rsidR="00FE4F94" w:rsidRPr="003A2590">
        <w:t>The</w:t>
      </w:r>
      <w:r w:rsidR="00C57179" w:rsidRPr="003A2590">
        <w:t xml:space="preserve"> characteristics</w:t>
      </w:r>
      <w:r w:rsidR="00FE4F94" w:rsidRPr="003A2590">
        <w:t xml:space="preserve"> of these assignments</w:t>
      </w:r>
      <w:r w:rsidR="00C57179" w:rsidRPr="003A2590">
        <w:t xml:space="preserve"> are recorded in the Master International Frequency Register.</w:t>
      </w:r>
    </w:p>
    <w:p w14:paraId="3B6BC660" w14:textId="1346377A" w:rsidR="00A621EE" w:rsidRPr="003A2590" w:rsidRDefault="00FE4F94" w:rsidP="00A621EE">
      <w:pPr>
        <w:rPr>
          <w:color w:val="393536"/>
          <w:szCs w:val="24"/>
        </w:rPr>
      </w:pPr>
      <w:r w:rsidRPr="003A2590">
        <w:rPr>
          <w:color w:val="393536"/>
          <w:szCs w:val="24"/>
        </w:rPr>
        <w:t>The above is stated explicitly in No. </w:t>
      </w:r>
      <w:r w:rsidRPr="003A2590">
        <w:rPr>
          <w:b/>
          <w:bCs/>
          <w:color w:val="393536"/>
          <w:szCs w:val="24"/>
        </w:rPr>
        <w:t>4.3</w:t>
      </w:r>
      <w:r w:rsidRPr="003A2590">
        <w:rPr>
          <w:color w:val="393536"/>
          <w:szCs w:val="24"/>
        </w:rPr>
        <w:t xml:space="preserve"> of the Radio Regulations.</w:t>
      </w:r>
    </w:p>
    <w:p w14:paraId="4EFE9A01" w14:textId="3EDBB9AC" w:rsidR="00A621EE" w:rsidRPr="003A2590" w:rsidRDefault="00A800ED" w:rsidP="008B626B">
      <w:pPr>
        <w:textAlignment w:val="auto"/>
      </w:pPr>
      <w:r w:rsidRPr="003A2590">
        <w:rPr>
          <w:bCs/>
        </w:rPr>
        <w:t>“</w:t>
      </w:r>
      <w:r w:rsidR="00A621EE" w:rsidRPr="003A2590">
        <w:rPr>
          <w:b/>
        </w:rPr>
        <w:t>4.3</w:t>
      </w:r>
      <w:r w:rsidR="00A621EE" w:rsidRPr="003A2590">
        <w:tab/>
      </w:r>
      <w:r w:rsidR="00A621EE" w:rsidRPr="003A2590">
        <w:tab/>
        <w:t xml:space="preserve">Any new assignment or any change of frequency or other basic characteristic of an existing assignment (see Appendix </w:t>
      </w:r>
      <w:r w:rsidR="00A621EE" w:rsidRPr="003A2590">
        <w:rPr>
          <w:b/>
          <w:bCs/>
        </w:rPr>
        <w:t>4</w:t>
      </w:r>
      <w:r w:rsidR="00A621EE" w:rsidRPr="003A2590">
        <w:t>) shall be made in such a way as to avoid causing harmful interference to services rendered by stations using frequencies assigned in accordance with the Table of Frequency Allocations in this Chapter and the other provisions of these Regulations, the characteristics of which assignments are recorded in the Master International Frequency Register.</w:t>
      </w:r>
      <w:r w:rsidRPr="003A2590">
        <w:t>”</w:t>
      </w:r>
    </w:p>
    <w:p w14:paraId="03F47E90" w14:textId="5B9DA178" w:rsidR="00A621EE" w:rsidRPr="003A2590" w:rsidRDefault="00FE4F94" w:rsidP="00A621EE">
      <w:pPr>
        <w:rPr>
          <w:color w:val="393536"/>
          <w:szCs w:val="24"/>
        </w:rPr>
      </w:pPr>
      <w:r w:rsidRPr="003A2590">
        <w:rPr>
          <w:color w:val="393536"/>
          <w:szCs w:val="24"/>
        </w:rPr>
        <w:t>The above is complemented by the provisions of No. </w:t>
      </w:r>
      <w:r w:rsidRPr="003A2590">
        <w:rPr>
          <w:b/>
          <w:bCs/>
          <w:color w:val="393536"/>
          <w:szCs w:val="24"/>
        </w:rPr>
        <w:t>8.1</w:t>
      </w:r>
      <w:r w:rsidRPr="003A2590">
        <w:rPr>
          <w:color w:val="393536"/>
          <w:szCs w:val="24"/>
        </w:rPr>
        <w:t xml:space="preserve"> as follows</w:t>
      </w:r>
      <w:r w:rsidR="00A621EE" w:rsidRPr="003A2590">
        <w:rPr>
          <w:color w:val="393536"/>
          <w:szCs w:val="24"/>
        </w:rPr>
        <w:t>:</w:t>
      </w:r>
    </w:p>
    <w:p w14:paraId="729FEE43" w14:textId="421697D0" w:rsidR="00A621EE" w:rsidRPr="003A2590" w:rsidRDefault="00A800ED" w:rsidP="008B626B">
      <w:r w:rsidRPr="003A2590">
        <w:rPr>
          <w:rStyle w:val="Artdef"/>
          <w:b w:val="0"/>
          <w:bCs/>
        </w:rPr>
        <w:t>“</w:t>
      </w:r>
      <w:r w:rsidR="00A621EE" w:rsidRPr="003A2590">
        <w:rPr>
          <w:rStyle w:val="Artdef"/>
        </w:rPr>
        <w:t>8.1</w:t>
      </w:r>
      <w:r w:rsidR="00A621EE" w:rsidRPr="003A2590">
        <w:rPr>
          <w:rStyle w:val="Artdef"/>
        </w:rPr>
        <w:tab/>
      </w:r>
      <w:r w:rsidR="00A621EE" w:rsidRPr="003A2590">
        <w:tab/>
        <w:t xml:space="preserve">The international rights and obligations of administrations in respect of their own and other administrations’ frequency assignments shall be derived from the recording of those assignments in the Master International Frequency Register (the Master Register) or from their </w:t>
      </w:r>
      <w:r w:rsidR="00A621EE" w:rsidRPr="003A2590">
        <w:lastRenderedPageBreak/>
        <w:t>conformity, where appropriate, with a plan. Such rights shall be conditioned by the provisions of these Regulations and those of any relevant frequency allotment or assignment plan.</w:t>
      </w:r>
      <w:r w:rsidRPr="003A2590">
        <w:t>”</w:t>
      </w:r>
    </w:p>
    <w:p w14:paraId="4795FAB0" w14:textId="325CA57E" w:rsidR="007507D6" w:rsidRPr="004E301B" w:rsidRDefault="005D3295" w:rsidP="005A1D5E">
      <w:pPr>
        <w:rPr>
          <w:color w:val="393536"/>
          <w:szCs w:val="24"/>
        </w:rPr>
      </w:pPr>
      <w:proofErr w:type="gramStart"/>
      <w:r w:rsidRPr="003A2590">
        <w:rPr>
          <w:color w:val="393536"/>
          <w:szCs w:val="24"/>
        </w:rPr>
        <w:t>It is clear that no</w:t>
      </w:r>
      <w:proofErr w:type="gramEnd"/>
      <w:r w:rsidRPr="003A2590">
        <w:rPr>
          <w:color w:val="393536"/>
          <w:szCs w:val="24"/>
        </w:rPr>
        <w:t xml:space="preserve"> administration has jurisdiction to record frequency assignments to stations </w:t>
      </w:r>
      <w:r w:rsidR="008E05DA" w:rsidRPr="003A2590">
        <w:rPr>
          <w:color w:val="393536"/>
          <w:szCs w:val="24"/>
        </w:rPr>
        <w:t xml:space="preserve">of </w:t>
      </w:r>
      <w:r w:rsidRPr="003A2590">
        <w:rPr>
          <w:color w:val="393536"/>
          <w:szCs w:val="24"/>
        </w:rPr>
        <w:t>the aeronautical and maritime mobile service</w:t>
      </w:r>
      <w:r w:rsidR="008405DC" w:rsidRPr="003A2590">
        <w:rPr>
          <w:color w:val="393536"/>
          <w:szCs w:val="24"/>
        </w:rPr>
        <w:t>s</w:t>
      </w:r>
      <w:r w:rsidRPr="003A2590">
        <w:rPr>
          <w:color w:val="393536"/>
          <w:szCs w:val="24"/>
        </w:rPr>
        <w:t xml:space="preserve"> located in international airspace</w:t>
      </w:r>
      <w:r w:rsidR="008405DC" w:rsidRPr="003A2590">
        <w:rPr>
          <w:color w:val="393536"/>
          <w:szCs w:val="24"/>
        </w:rPr>
        <w:t xml:space="preserve"> or waters</w:t>
      </w:r>
      <w:r w:rsidRPr="003A2590">
        <w:rPr>
          <w:color w:val="393536"/>
          <w:szCs w:val="24"/>
        </w:rPr>
        <w:t xml:space="preserve"> in the </w:t>
      </w:r>
      <w:r w:rsidR="00764999" w:rsidRPr="004E301B">
        <w:rPr>
          <w:color w:val="393536"/>
          <w:szCs w:val="24"/>
          <w:rPrChange w:id="7" w:author="Arnould, Carine" w:date="2023-09-04T10:43:00Z">
            <w:rPr>
              <w:color w:val="393536"/>
              <w:szCs w:val="24"/>
              <w:highlight w:val="cyan"/>
            </w:rPr>
          </w:rPrChange>
        </w:rPr>
        <w:t>frequency band</w:t>
      </w:r>
      <w:r w:rsidR="00764999" w:rsidRPr="004E301B">
        <w:rPr>
          <w:color w:val="393536"/>
          <w:szCs w:val="24"/>
        </w:rPr>
        <w:t xml:space="preserve"> </w:t>
      </w:r>
      <w:r w:rsidR="005A1D5E" w:rsidRPr="004E301B">
        <w:rPr>
          <w:color w:val="393536"/>
          <w:szCs w:val="24"/>
        </w:rPr>
        <w:t>4 </w:t>
      </w:r>
      <w:r w:rsidR="00A621EE" w:rsidRPr="004E301B">
        <w:rPr>
          <w:color w:val="393536"/>
          <w:szCs w:val="24"/>
        </w:rPr>
        <w:t>800­</w:t>
      </w:r>
      <w:r w:rsidR="005A1D5E" w:rsidRPr="004E301B">
        <w:rPr>
          <w:color w:val="393536"/>
          <w:szCs w:val="24"/>
        </w:rPr>
        <w:t>4 </w:t>
      </w:r>
      <w:r w:rsidR="00A621EE" w:rsidRPr="004E301B">
        <w:rPr>
          <w:color w:val="393536"/>
          <w:szCs w:val="24"/>
        </w:rPr>
        <w:t xml:space="preserve">990 </w:t>
      </w:r>
      <w:proofErr w:type="spellStart"/>
      <w:r w:rsidR="00A621EE" w:rsidRPr="004E301B">
        <w:rPr>
          <w:color w:val="393536"/>
          <w:szCs w:val="24"/>
        </w:rPr>
        <w:t>MHz.</w:t>
      </w:r>
      <w:proofErr w:type="spellEnd"/>
    </w:p>
    <w:p w14:paraId="065BFCE6" w14:textId="7CD94180" w:rsidR="00A621EE" w:rsidRPr="004E301B" w:rsidRDefault="003065B3" w:rsidP="00A621EE">
      <w:pPr>
        <w:rPr>
          <w:color w:val="393536"/>
          <w:szCs w:val="24"/>
        </w:rPr>
      </w:pPr>
      <w:r w:rsidRPr="004E301B">
        <w:rPr>
          <w:color w:val="393536"/>
          <w:szCs w:val="24"/>
        </w:rPr>
        <w:t xml:space="preserve">Within the framework of ITU, the solutions to this type of situation are reflected in the development of plans, such as the frequency </w:t>
      </w:r>
      <w:r w:rsidR="00A800ED" w:rsidRPr="004E301B">
        <w:rPr>
          <w:color w:val="393536"/>
          <w:szCs w:val="24"/>
        </w:rPr>
        <w:t xml:space="preserve">allotment </w:t>
      </w:r>
      <w:r w:rsidRPr="004E301B">
        <w:rPr>
          <w:color w:val="393536"/>
          <w:szCs w:val="24"/>
        </w:rPr>
        <w:t xml:space="preserve">plans under Appendices </w:t>
      </w:r>
      <w:r w:rsidRPr="004E301B">
        <w:rPr>
          <w:b/>
          <w:bCs/>
          <w:color w:val="393536"/>
          <w:szCs w:val="24"/>
        </w:rPr>
        <w:t>25</w:t>
      </w:r>
      <w:r w:rsidRPr="004E301B">
        <w:rPr>
          <w:color w:val="393536"/>
          <w:szCs w:val="24"/>
        </w:rPr>
        <w:t xml:space="preserve">, </w:t>
      </w:r>
      <w:r w:rsidRPr="004E301B">
        <w:rPr>
          <w:b/>
          <w:bCs/>
          <w:color w:val="393536"/>
          <w:szCs w:val="24"/>
        </w:rPr>
        <w:t>26</w:t>
      </w:r>
      <w:r w:rsidRPr="004E301B">
        <w:rPr>
          <w:color w:val="393536"/>
          <w:szCs w:val="24"/>
        </w:rPr>
        <w:t xml:space="preserve"> and </w:t>
      </w:r>
      <w:r w:rsidRPr="004E301B">
        <w:rPr>
          <w:b/>
          <w:bCs/>
          <w:color w:val="393536"/>
          <w:szCs w:val="24"/>
        </w:rPr>
        <w:t>27</w:t>
      </w:r>
      <w:r w:rsidRPr="004E301B">
        <w:rPr>
          <w:color w:val="393536"/>
          <w:szCs w:val="24"/>
        </w:rPr>
        <w:t>, in which members have collectively made the relevant provisions to satisfy their requirements for the maritime</w:t>
      </w:r>
      <w:r w:rsidR="00765331" w:rsidRPr="004E301B">
        <w:rPr>
          <w:color w:val="393536"/>
          <w:szCs w:val="24"/>
        </w:rPr>
        <w:t>, aeronautical</w:t>
      </w:r>
      <w:r w:rsidRPr="004E301B">
        <w:rPr>
          <w:color w:val="393536"/>
          <w:szCs w:val="24"/>
        </w:rPr>
        <w:t xml:space="preserve"> (OR) and aeronautical (R)</w:t>
      </w:r>
      <w:r w:rsidR="00765331" w:rsidRPr="004E301B">
        <w:rPr>
          <w:color w:val="393536"/>
          <w:szCs w:val="24"/>
        </w:rPr>
        <w:t xml:space="preserve"> </w:t>
      </w:r>
      <w:r w:rsidR="008405DC" w:rsidRPr="004E301B">
        <w:rPr>
          <w:color w:val="393536"/>
          <w:szCs w:val="24"/>
        </w:rPr>
        <w:t xml:space="preserve">mobile </w:t>
      </w:r>
      <w:r w:rsidR="00765331" w:rsidRPr="004E301B">
        <w:rPr>
          <w:color w:val="393536"/>
          <w:szCs w:val="24"/>
        </w:rPr>
        <w:t>services</w:t>
      </w:r>
      <w:r w:rsidRPr="004E301B">
        <w:rPr>
          <w:color w:val="393536"/>
          <w:szCs w:val="24"/>
        </w:rPr>
        <w:t xml:space="preserve"> in the high-frequency bands</w:t>
      </w:r>
      <w:r w:rsidR="005D3295" w:rsidRPr="004E301B">
        <w:rPr>
          <w:color w:val="393536"/>
          <w:szCs w:val="24"/>
        </w:rPr>
        <w:t>.</w:t>
      </w:r>
    </w:p>
    <w:p w14:paraId="590F1A1C" w14:textId="595C4B90" w:rsidR="00F36E94" w:rsidRPr="004E301B" w:rsidRDefault="007365C7" w:rsidP="00F36E94">
      <w:pPr>
        <w:rPr>
          <w:color w:val="393536"/>
          <w:szCs w:val="24"/>
        </w:rPr>
      </w:pPr>
      <w:r w:rsidRPr="004E301B">
        <w:rPr>
          <w:color w:val="393536"/>
          <w:szCs w:val="24"/>
        </w:rPr>
        <w:t xml:space="preserve">In the case of the </w:t>
      </w:r>
      <w:r w:rsidR="00764999" w:rsidRPr="004E301B">
        <w:rPr>
          <w:color w:val="393536"/>
          <w:szCs w:val="24"/>
          <w:rPrChange w:id="8" w:author="Arnould, Carine" w:date="2023-09-04T10:43:00Z">
            <w:rPr>
              <w:color w:val="393536"/>
              <w:szCs w:val="24"/>
              <w:highlight w:val="cyan"/>
            </w:rPr>
          </w:rPrChange>
        </w:rPr>
        <w:t>frequency band</w:t>
      </w:r>
      <w:r w:rsidR="00764999" w:rsidRPr="004E301B">
        <w:rPr>
          <w:color w:val="393536"/>
          <w:szCs w:val="24"/>
        </w:rPr>
        <w:t xml:space="preserve"> </w:t>
      </w:r>
      <w:r w:rsidRPr="004E301B">
        <w:rPr>
          <w:color w:val="393536"/>
          <w:szCs w:val="24"/>
        </w:rPr>
        <w:t>4 800</w:t>
      </w:r>
      <w:r w:rsidRPr="004E301B">
        <w:rPr>
          <w:color w:val="393536"/>
          <w:szCs w:val="24"/>
        </w:rPr>
        <w:noBreakHyphen/>
        <w:t xml:space="preserve">4 990 </w:t>
      </w:r>
      <w:r w:rsidR="00A800ED" w:rsidRPr="004E301B">
        <w:rPr>
          <w:color w:val="393536"/>
          <w:szCs w:val="24"/>
        </w:rPr>
        <w:t>MHz</w:t>
      </w:r>
      <w:r w:rsidRPr="004E301B">
        <w:rPr>
          <w:color w:val="393536"/>
          <w:szCs w:val="24"/>
        </w:rPr>
        <w:t xml:space="preserve">, this band is allocated in the three regions on </w:t>
      </w:r>
      <w:r w:rsidR="00A800ED" w:rsidRPr="004E301B">
        <w:rPr>
          <w:color w:val="393536"/>
          <w:szCs w:val="24"/>
        </w:rPr>
        <w:t xml:space="preserve">a </w:t>
      </w:r>
      <w:r w:rsidRPr="004E301B">
        <w:rPr>
          <w:color w:val="393536"/>
          <w:szCs w:val="24"/>
        </w:rPr>
        <w:t>primary basis to the fixed and mobile services and on a secondary basis to the radio astronomy service</w:t>
      </w:r>
      <w:r w:rsidR="00A621EE" w:rsidRPr="004E301B">
        <w:rPr>
          <w:color w:val="393536"/>
          <w:szCs w:val="24"/>
        </w:rPr>
        <w:t xml:space="preserve">. </w:t>
      </w:r>
      <w:r w:rsidR="00F36E94" w:rsidRPr="004E301B">
        <w:rPr>
          <w:color w:val="393536"/>
          <w:szCs w:val="24"/>
        </w:rPr>
        <w:t xml:space="preserve">In addition, pursuant to No. </w:t>
      </w:r>
      <w:r w:rsidR="00F36E94" w:rsidRPr="004E301B">
        <w:rPr>
          <w:b/>
          <w:bCs/>
          <w:color w:val="393536"/>
          <w:szCs w:val="24"/>
        </w:rPr>
        <w:t>5.339</w:t>
      </w:r>
      <w:r w:rsidR="00F36E94" w:rsidRPr="004E301B">
        <w:rPr>
          <w:color w:val="393536"/>
          <w:szCs w:val="24"/>
        </w:rPr>
        <w:t xml:space="preserve">, the </w:t>
      </w:r>
      <w:r w:rsidR="00764999" w:rsidRPr="004E301B">
        <w:rPr>
          <w:color w:val="393536"/>
          <w:szCs w:val="24"/>
          <w:rPrChange w:id="9" w:author="Arnould, Carine" w:date="2023-09-04T10:43:00Z">
            <w:rPr>
              <w:color w:val="393536"/>
              <w:szCs w:val="24"/>
              <w:highlight w:val="cyan"/>
            </w:rPr>
          </w:rPrChange>
        </w:rPr>
        <w:t>frequency band</w:t>
      </w:r>
      <w:r w:rsidR="00764999" w:rsidRPr="004E301B">
        <w:rPr>
          <w:color w:val="393536"/>
          <w:szCs w:val="24"/>
        </w:rPr>
        <w:t xml:space="preserve"> </w:t>
      </w:r>
      <w:r w:rsidR="00F36E94" w:rsidRPr="004E301B">
        <w:rPr>
          <w:color w:val="393536"/>
          <w:szCs w:val="24"/>
        </w:rPr>
        <w:t>4 950</w:t>
      </w:r>
      <w:r w:rsidR="00F36E94" w:rsidRPr="004E301B">
        <w:rPr>
          <w:color w:val="393536"/>
          <w:szCs w:val="24"/>
        </w:rPr>
        <w:noBreakHyphen/>
        <w:t xml:space="preserve">4 990 MHz is </w:t>
      </w:r>
      <w:r w:rsidR="005A1D5E" w:rsidRPr="004E301B">
        <w:rPr>
          <w:color w:val="393536"/>
          <w:szCs w:val="24"/>
        </w:rPr>
        <w:t xml:space="preserve">also </w:t>
      </w:r>
      <w:r w:rsidR="00F36E94" w:rsidRPr="004E301B">
        <w:rPr>
          <w:color w:val="393536"/>
          <w:szCs w:val="24"/>
        </w:rPr>
        <w:t>allocated</w:t>
      </w:r>
      <w:r w:rsidR="005A1D5E" w:rsidRPr="004E301B">
        <w:rPr>
          <w:color w:val="393536"/>
          <w:szCs w:val="24"/>
        </w:rPr>
        <w:t>,</w:t>
      </w:r>
      <w:r w:rsidR="00F36E94" w:rsidRPr="004E301B">
        <w:rPr>
          <w:color w:val="393536"/>
          <w:szCs w:val="24"/>
        </w:rPr>
        <w:t xml:space="preserve"> to the space research (passive) and Earth exploration-satellite (passive) services on a secondary basis. Accordingly, the fixed, maritime</w:t>
      </w:r>
      <w:r w:rsidR="008405DC" w:rsidRPr="004E301B">
        <w:rPr>
          <w:color w:val="393536"/>
          <w:szCs w:val="24"/>
        </w:rPr>
        <w:t xml:space="preserve"> mobile</w:t>
      </w:r>
      <w:r w:rsidR="00F36E94" w:rsidRPr="004E301B">
        <w:rPr>
          <w:color w:val="393536"/>
          <w:szCs w:val="24"/>
        </w:rPr>
        <w:t xml:space="preserve">, aeronautical mobile and land mobile services share equal rights to the use of the </w:t>
      </w:r>
      <w:r w:rsidR="00764999" w:rsidRPr="004E301B">
        <w:rPr>
          <w:color w:val="393536"/>
          <w:szCs w:val="24"/>
          <w:rPrChange w:id="10" w:author="Arnould, Carine" w:date="2023-09-04T10:43:00Z">
            <w:rPr>
              <w:color w:val="393536"/>
              <w:szCs w:val="24"/>
              <w:highlight w:val="cyan"/>
            </w:rPr>
          </w:rPrChange>
        </w:rPr>
        <w:t>frequency band</w:t>
      </w:r>
      <w:r w:rsidR="00764999" w:rsidRPr="004E301B">
        <w:rPr>
          <w:color w:val="393536"/>
          <w:szCs w:val="24"/>
        </w:rPr>
        <w:t xml:space="preserve"> </w:t>
      </w:r>
      <w:r w:rsidR="00F36E94" w:rsidRPr="004E301B">
        <w:rPr>
          <w:color w:val="393536"/>
          <w:szCs w:val="24"/>
        </w:rPr>
        <w:t xml:space="preserve">4 800­4 990 MHz, or parts thereof, and administrations may record frequency assignments to stations </w:t>
      </w:r>
      <w:r w:rsidR="008405DC" w:rsidRPr="004E301B">
        <w:rPr>
          <w:color w:val="393536"/>
          <w:szCs w:val="24"/>
        </w:rPr>
        <w:t xml:space="preserve">of </w:t>
      </w:r>
      <w:r w:rsidR="00F36E94" w:rsidRPr="004E301B">
        <w:rPr>
          <w:color w:val="393536"/>
          <w:szCs w:val="24"/>
        </w:rPr>
        <w:t xml:space="preserve">these services that </w:t>
      </w:r>
      <w:r w:rsidR="008405DC" w:rsidRPr="004E301B">
        <w:rPr>
          <w:color w:val="393536"/>
          <w:szCs w:val="24"/>
        </w:rPr>
        <w:t xml:space="preserve">they </w:t>
      </w:r>
      <w:r w:rsidR="00F36E94" w:rsidRPr="004E301B">
        <w:rPr>
          <w:color w:val="393536"/>
          <w:szCs w:val="24"/>
        </w:rPr>
        <w:t xml:space="preserve">each authorize in </w:t>
      </w:r>
      <w:r w:rsidR="008405DC" w:rsidRPr="004E301B">
        <w:rPr>
          <w:color w:val="393536"/>
          <w:szCs w:val="24"/>
        </w:rPr>
        <w:t xml:space="preserve">their jurisdictional </w:t>
      </w:r>
      <w:r w:rsidR="00F36E94" w:rsidRPr="004E301B">
        <w:rPr>
          <w:color w:val="393536"/>
          <w:szCs w:val="24"/>
        </w:rPr>
        <w:t xml:space="preserve">territories, in conformity with the provisions of the Radio Regulations in force. </w:t>
      </w:r>
      <w:r w:rsidR="00FD03E8" w:rsidRPr="004E301B">
        <w:rPr>
          <w:color w:val="393536"/>
          <w:szCs w:val="24"/>
        </w:rPr>
        <w:t xml:space="preserve">In the case of stations whose </w:t>
      </w:r>
      <w:r w:rsidR="00F36E94" w:rsidRPr="004E301B">
        <w:rPr>
          <w:color w:val="393536"/>
          <w:szCs w:val="24"/>
        </w:rPr>
        <w:t xml:space="preserve">frequency assignments </w:t>
      </w:r>
      <w:r w:rsidR="00855BBC" w:rsidRPr="004E301B">
        <w:rPr>
          <w:color w:val="393536"/>
          <w:szCs w:val="24"/>
        </w:rPr>
        <w:t>are not</w:t>
      </w:r>
      <w:r w:rsidR="00F36E94" w:rsidRPr="004E301B">
        <w:rPr>
          <w:color w:val="393536"/>
          <w:szCs w:val="24"/>
        </w:rPr>
        <w:t xml:space="preserve"> recorded, it is necessary to ensure protection not only of recorded assignments in the primary services but also of those recorded in the secondary services.</w:t>
      </w:r>
    </w:p>
    <w:p w14:paraId="33698189" w14:textId="277809F7" w:rsidR="00F36E94" w:rsidRPr="004E301B" w:rsidRDefault="00F36E94" w:rsidP="00F36E94">
      <w:pPr>
        <w:rPr>
          <w:color w:val="393536"/>
          <w:szCs w:val="24"/>
        </w:rPr>
      </w:pPr>
      <w:r w:rsidRPr="004E301B">
        <w:rPr>
          <w:color w:val="393536"/>
          <w:szCs w:val="24"/>
        </w:rPr>
        <w:t>Clearly, from this analysis, it is not appropriate to establish power</w:t>
      </w:r>
      <w:r w:rsidR="008B626B" w:rsidRPr="004E301B">
        <w:rPr>
          <w:color w:val="393536"/>
          <w:szCs w:val="24"/>
        </w:rPr>
        <w:t xml:space="preserve"> </w:t>
      </w:r>
      <w:r w:rsidRPr="004E301B">
        <w:rPr>
          <w:color w:val="393536"/>
          <w:szCs w:val="24"/>
        </w:rPr>
        <w:t>flux</w:t>
      </w:r>
      <w:r w:rsidR="008B626B" w:rsidRPr="004E301B">
        <w:rPr>
          <w:color w:val="393536"/>
          <w:szCs w:val="24"/>
        </w:rPr>
        <w:t>-</w:t>
      </w:r>
      <w:r w:rsidRPr="004E301B">
        <w:rPr>
          <w:color w:val="393536"/>
          <w:szCs w:val="24"/>
        </w:rPr>
        <w:t xml:space="preserve">density limits for the protection of stations </w:t>
      </w:r>
      <w:r w:rsidR="00FD03E8" w:rsidRPr="004E301B">
        <w:rPr>
          <w:color w:val="393536"/>
          <w:szCs w:val="24"/>
        </w:rPr>
        <w:t xml:space="preserve">of </w:t>
      </w:r>
      <w:r w:rsidRPr="004E301B">
        <w:rPr>
          <w:color w:val="393536"/>
          <w:szCs w:val="24"/>
        </w:rPr>
        <w:t>the maritime and aeronautical mobile services whose frequency assignments are not recorded in the Master International Frequency Register and, as such, are not internationally recognized.</w:t>
      </w:r>
    </w:p>
    <w:p w14:paraId="719B24AE" w14:textId="392DA52D" w:rsidR="00F36E94" w:rsidRPr="004E301B" w:rsidRDefault="00F36E94" w:rsidP="00F36E94">
      <w:pPr>
        <w:rPr>
          <w:color w:val="393536"/>
          <w:szCs w:val="24"/>
        </w:rPr>
      </w:pPr>
      <w:r w:rsidRPr="004E301B">
        <w:rPr>
          <w:color w:val="393536"/>
          <w:szCs w:val="24"/>
        </w:rPr>
        <w:t xml:space="preserve">However, it is for the international community to decide on possible regulatory measures allowing administrations concerned to operate stations </w:t>
      </w:r>
      <w:r w:rsidR="005A1D5E" w:rsidRPr="004E301B">
        <w:rPr>
          <w:color w:val="393536"/>
          <w:szCs w:val="24"/>
        </w:rPr>
        <w:t xml:space="preserve">of </w:t>
      </w:r>
      <w:r w:rsidRPr="004E301B">
        <w:rPr>
          <w:color w:val="393536"/>
          <w:szCs w:val="24"/>
        </w:rPr>
        <w:t xml:space="preserve">the maritime and aeronautical mobile services outside their jurisdictional waters, without imposing limits on the operation and development of services </w:t>
      </w:r>
      <w:r w:rsidR="00765331" w:rsidRPr="004E301B">
        <w:rPr>
          <w:color w:val="393536"/>
          <w:szCs w:val="24"/>
        </w:rPr>
        <w:t>identified in the</w:t>
      </w:r>
      <w:r w:rsidRPr="004E301B">
        <w:rPr>
          <w:color w:val="393536"/>
          <w:szCs w:val="24"/>
        </w:rPr>
        <w:t xml:space="preserve"> Table</w:t>
      </w:r>
      <w:r w:rsidR="00765331" w:rsidRPr="004E301B">
        <w:rPr>
          <w:color w:val="393536"/>
          <w:szCs w:val="24"/>
        </w:rPr>
        <w:t xml:space="preserve"> of Frequency Allocations whose stations are operated within the national framework in accordance with the provisions of the Radio Regulations.</w:t>
      </w:r>
    </w:p>
    <w:p w14:paraId="66E01F30" w14:textId="54AA63BF" w:rsidR="00A621EE" w:rsidRPr="003A2590" w:rsidRDefault="00765331" w:rsidP="00A621EE">
      <w:pPr>
        <w:rPr>
          <w:color w:val="393536"/>
          <w:szCs w:val="24"/>
        </w:rPr>
      </w:pPr>
      <w:r w:rsidRPr="004E301B">
        <w:rPr>
          <w:color w:val="393536"/>
          <w:szCs w:val="24"/>
        </w:rPr>
        <w:t xml:space="preserve">In addition, the potential of the </w:t>
      </w:r>
      <w:r w:rsidR="00764999" w:rsidRPr="004E301B">
        <w:rPr>
          <w:color w:val="393536"/>
          <w:szCs w:val="24"/>
          <w:rPrChange w:id="11" w:author="Arnould, Carine" w:date="2023-09-04T10:43:00Z">
            <w:rPr>
              <w:color w:val="393536"/>
              <w:szCs w:val="24"/>
              <w:highlight w:val="cyan"/>
            </w:rPr>
          </w:rPrChange>
        </w:rPr>
        <w:t>frequency band</w:t>
      </w:r>
      <w:r w:rsidR="00764999" w:rsidRPr="004E301B">
        <w:rPr>
          <w:color w:val="393536"/>
          <w:szCs w:val="24"/>
        </w:rPr>
        <w:t xml:space="preserve"> </w:t>
      </w:r>
      <w:r w:rsidRPr="004E301B">
        <w:rPr>
          <w:color w:val="393536"/>
          <w:szCs w:val="24"/>
        </w:rPr>
        <w:t>4 800</w:t>
      </w:r>
      <w:r w:rsidRPr="004E301B">
        <w:rPr>
          <w:color w:val="393536"/>
          <w:szCs w:val="24"/>
        </w:rPr>
        <w:noBreakHyphen/>
        <w:t>4 990 for the use of IMT has been assessed,</w:t>
      </w:r>
      <w:r w:rsidRPr="003A2590">
        <w:rPr>
          <w:color w:val="393536"/>
          <w:szCs w:val="24"/>
        </w:rPr>
        <w:t xml:space="preserve"> </w:t>
      </w:r>
      <w:proofErr w:type="gramStart"/>
      <w:r w:rsidRPr="003A2590">
        <w:rPr>
          <w:color w:val="393536"/>
          <w:szCs w:val="24"/>
        </w:rPr>
        <w:t>taking into account</w:t>
      </w:r>
      <w:proofErr w:type="gramEnd"/>
      <w:r w:rsidRPr="003A2590">
        <w:rPr>
          <w:color w:val="393536"/>
          <w:szCs w:val="24"/>
        </w:rPr>
        <w:t xml:space="preserve"> that it corresponds to a band allocated to the mobile service on a primary basis in the three regions, which will allow in the future for a globally harmonized spectrum for IMT network deployment</w:t>
      </w:r>
      <w:r w:rsidR="00A621EE" w:rsidRPr="003A2590">
        <w:rPr>
          <w:color w:val="393536"/>
          <w:szCs w:val="24"/>
        </w:rPr>
        <w:t>.</w:t>
      </w:r>
    </w:p>
    <w:p w14:paraId="3D417A56" w14:textId="272674F5" w:rsidR="00A621EE" w:rsidRPr="003A2590" w:rsidRDefault="005D3295" w:rsidP="00A621EE">
      <w:pPr>
        <w:rPr>
          <w:color w:val="393536"/>
          <w:szCs w:val="24"/>
        </w:rPr>
      </w:pPr>
      <w:r w:rsidRPr="003A2590">
        <w:rPr>
          <w:color w:val="393536"/>
          <w:szCs w:val="24"/>
        </w:rPr>
        <w:t>Based on the above analysis, Cuba is submitting the following proposals to WRC-23.</w:t>
      </w:r>
    </w:p>
    <w:p w14:paraId="6AD7970D" w14:textId="77777777" w:rsidR="009440AF" w:rsidRDefault="009440AF">
      <w:pPr>
        <w:tabs>
          <w:tab w:val="clear" w:pos="1134"/>
          <w:tab w:val="clear" w:pos="1871"/>
          <w:tab w:val="clear" w:pos="2268"/>
        </w:tabs>
        <w:overflowPunct/>
        <w:autoSpaceDE/>
        <w:autoSpaceDN/>
        <w:adjustRightInd/>
        <w:spacing w:before="0"/>
        <w:textAlignment w:val="auto"/>
        <w:rPr>
          <w:caps/>
          <w:sz w:val="28"/>
        </w:rPr>
      </w:pPr>
      <w:bookmarkStart w:id="12" w:name="_Toc42842383"/>
      <w:r>
        <w:br w:type="page"/>
      </w:r>
    </w:p>
    <w:p w14:paraId="0A71D4F0" w14:textId="74152920" w:rsidR="007F1392" w:rsidRPr="003A2590" w:rsidRDefault="00344279" w:rsidP="00A621EE">
      <w:pPr>
        <w:pStyle w:val="ArtNo"/>
      </w:pPr>
      <w:r w:rsidRPr="003A2590">
        <w:lastRenderedPageBreak/>
        <w:t xml:space="preserve">ARTICLE </w:t>
      </w:r>
      <w:r w:rsidRPr="003A2590">
        <w:rPr>
          <w:rStyle w:val="href"/>
          <w:rFonts w:eastAsiaTheme="majorEastAsia"/>
          <w:color w:val="000000"/>
        </w:rPr>
        <w:t>5</w:t>
      </w:r>
      <w:bookmarkEnd w:id="12"/>
    </w:p>
    <w:p w14:paraId="4C02C0DF" w14:textId="77777777" w:rsidR="007F1392" w:rsidRPr="003A2590" w:rsidRDefault="00344279" w:rsidP="007F1392">
      <w:pPr>
        <w:pStyle w:val="Arttitle"/>
      </w:pPr>
      <w:bookmarkStart w:id="13" w:name="_Toc327956583"/>
      <w:bookmarkStart w:id="14" w:name="_Toc42842384"/>
      <w:r w:rsidRPr="003A2590">
        <w:t>Frequency allocations</w:t>
      </w:r>
      <w:bookmarkEnd w:id="13"/>
      <w:bookmarkEnd w:id="14"/>
    </w:p>
    <w:p w14:paraId="20AE0201" w14:textId="77777777" w:rsidR="007F1392" w:rsidRPr="003A2590" w:rsidRDefault="00344279" w:rsidP="007F1392">
      <w:pPr>
        <w:pStyle w:val="Section1"/>
        <w:keepNext/>
      </w:pPr>
      <w:r w:rsidRPr="003A2590">
        <w:t>Section IV – Table of Frequency Allocations</w:t>
      </w:r>
      <w:r w:rsidRPr="003A2590">
        <w:br/>
      </w:r>
      <w:r w:rsidRPr="003A2590">
        <w:rPr>
          <w:b w:val="0"/>
          <w:bCs/>
        </w:rPr>
        <w:t xml:space="preserve">(See No. </w:t>
      </w:r>
      <w:r w:rsidRPr="003A2590">
        <w:t>2.1</w:t>
      </w:r>
      <w:r w:rsidRPr="003A2590">
        <w:rPr>
          <w:b w:val="0"/>
          <w:bCs/>
        </w:rPr>
        <w:t>)</w:t>
      </w:r>
      <w:r w:rsidRPr="003A2590">
        <w:rPr>
          <w:b w:val="0"/>
          <w:bCs/>
        </w:rPr>
        <w:br/>
      </w:r>
      <w:r w:rsidRPr="003A2590">
        <w:br/>
      </w:r>
    </w:p>
    <w:p w14:paraId="4E8FB5C8" w14:textId="77777777" w:rsidR="007E6EA6" w:rsidRPr="003A2590" w:rsidRDefault="00344279">
      <w:pPr>
        <w:pStyle w:val="Proposal"/>
      </w:pPr>
      <w:r w:rsidRPr="003A2590">
        <w:t>MOD</w:t>
      </w:r>
      <w:r w:rsidRPr="003A2590">
        <w:tab/>
        <w:t>CUB/59A1/1</w:t>
      </w:r>
      <w:r w:rsidRPr="003A2590">
        <w:rPr>
          <w:vanish/>
          <w:color w:val="7F7F7F" w:themeColor="text1" w:themeTint="80"/>
          <w:vertAlign w:val="superscript"/>
        </w:rPr>
        <w:t>#1325</w:t>
      </w:r>
    </w:p>
    <w:p w14:paraId="7A3D9631" w14:textId="77777777" w:rsidR="00044B5F" w:rsidRPr="003A2590" w:rsidRDefault="00344279" w:rsidP="00BA379F">
      <w:pPr>
        <w:pStyle w:val="Tabletitle"/>
      </w:pPr>
      <w:r w:rsidRPr="003A2590">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044B5F" w:rsidRPr="003A2590" w14:paraId="4EBA02CD" w14:textId="77777777" w:rsidTr="00885C96">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27B7BC28" w14:textId="77777777" w:rsidR="00044B5F" w:rsidRPr="003A2590" w:rsidRDefault="00344279" w:rsidP="00885C96">
            <w:pPr>
              <w:pStyle w:val="Tablehead"/>
            </w:pPr>
            <w:r w:rsidRPr="003A2590">
              <w:t>Allocation to services</w:t>
            </w:r>
          </w:p>
        </w:tc>
      </w:tr>
      <w:tr w:rsidR="00044B5F" w:rsidRPr="003A2590" w14:paraId="54D553F2" w14:textId="77777777" w:rsidTr="00885C96">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10A5C1F" w14:textId="77777777" w:rsidR="00044B5F" w:rsidRPr="003A2590" w:rsidRDefault="00344279" w:rsidP="00885C96">
            <w:pPr>
              <w:pStyle w:val="Tablehead"/>
            </w:pPr>
            <w:r w:rsidRPr="003A2590">
              <w:t>Region 1</w:t>
            </w:r>
          </w:p>
        </w:tc>
        <w:tc>
          <w:tcPr>
            <w:tcW w:w="3099" w:type="dxa"/>
            <w:tcBorders>
              <w:top w:val="single" w:sz="6" w:space="0" w:color="auto"/>
              <w:left w:val="single" w:sz="6" w:space="0" w:color="auto"/>
              <w:bottom w:val="single" w:sz="6" w:space="0" w:color="auto"/>
              <w:right w:val="single" w:sz="6" w:space="0" w:color="auto"/>
            </w:tcBorders>
            <w:hideMark/>
          </w:tcPr>
          <w:p w14:paraId="157CEF73" w14:textId="77777777" w:rsidR="00044B5F" w:rsidRPr="003A2590" w:rsidRDefault="00344279" w:rsidP="00885C96">
            <w:pPr>
              <w:pStyle w:val="Tablehead"/>
            </w:pPr>
            <w:r w:rsidRPr="003A2590">
              <w:t>Region 2</w:t>
            </w:r>
          </w:p>
        </w:tc>
        <w:tc>
          <w:tcPr>
            <w:tcW w:w="3101" w:type="dxa"/>
            <w:tcBorders>
              <w:top w:val="single" w:sz="6" w:space="0" w:color="auto"/>
              <w:left w:val="single" w:sz="6" w:space="0" w:color="auto"/>
              <w:bottom w:val="single" w:sz="6" w:space="0" w:color="auto"/>
              <w:right w:val="single" w:sz="6" w:space="0" w:color="auto"/>
            </w:tcBorders>
            <w:hideMark/>
          </w:tcPr>
          <w:p w14:paraId="74FACE9D" w14:textId="77777777" w:rsidR="00044B5F" w:rsidRPr="003A2590" w:rsidRDefault="00344279" w:rsidP="00885C96">
            <w:pPr>
              <w:pStyle w:val="Tablehead"/>
            </w:pPr>
            <w:r w:rsidRPr="003A2590">
              <w:t>Region 3</w:t>
            </w:r>
          </w:p>
        </w:tc>
      </w:tr>
      <w:tr w:rsidR="00044B5F" w:rsidRPr="003A2590" w14:paraId="68EA8172" w14:textId="77777777" w:rsidTr="00885C96">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17024EF2" w14:textId="77777777" w:rsidR="00044B5F" w:rsidRPr="003A2590" w:rsidRDefault="00344279" w:rsidP="00885C96">
            <w:pPr>
              <w:pStyle w:val="TableTextS5"/>
              <w:tabs>
                <w:tab w:val="clear" w:pos="170"/>
                <w:tab w:val="clear" w:pos="567"/>
                <w:tab w:val="clear" w:pos="737"/>
              </w:tabs>
              <w:spacing w:line="210" w:lineRule="exact"/>
              <w:rPr>
                <w:color w:val="000000"/>
              </w:rPr>
            </w:pPr>
            <w:r w:rsidRPr="003A2590">
              <w:rPr>
                <w:rStyle w:val="Tablefreq"/>
              </w:rPr>
              <w:t>4 800-4 990</w:t>
            </w:r>
            <w:r w:rsidRPr="003A2590">
              <w:rPr>
                <w:color w:val="000000"/>
              </w:rPr>
              <w:tab/>
              <w:t>FIXED</w:t>
            </w:r>
          </w:p>
          <w:p w14:paraId="4E9B6032" w14:textId="77777777" w:rsidR="00044B5F" w:rsidRPr="003A2590" w:rsidRDefault="00344279" w:rsidP="00885C96">
            <w:pPr>
              <w:pStyle w:val="TableTextS5"/>
              <w:spacing w:before="60" w:after="60" w:line="210" w:lineRule="exact"/>
              <w:rPr>
                <w:color w:val="000000"/>
              </w:rPr>
            </w:pPr>
            <w:r w:rsidRPr="003A2590">
              <w:rPr>
                <w:color w:val="000000"/>
              </w:rPr>
              <w:tab/>
            </w:r>
            <w:r w:rsidRPr="003A2590">
              <w:rPr>
                <w:color w:val="000000"/>
              </w:rPr>
              <w:tab/>
            </w:r>
            <w:r w:rsidRPr="003A2590">
              <w:rPr>
                <w:color w:val="000000"/>
              </w:rPr>
              <w:tab/>
            </w:r>
            <w:r w:rsidRPr="003A2590">
              <w:rPr>
                <w:color w:val="000000"/>
              </w:rPr>
              <w:tab/>
              <w:t xml:space="preserve">MOBILE  </w:t>
            </w:r>
            <w:r w:rsidRPr="003A2590">
              <w:rPr>
                <w:rStyle w:val="Artref"/>
                <w:color w:val="000000"/>
              </w:rPr>
              <w:t xml:space="preserve">5.440A  5.441A  </w:t>
            </w:r>
            <w:ins w:id="15" w:author="I.T.U." w:date="2022-10-19T15:51:00Z">
              <w:r w:rsidRPr="003A2590">
                <w:rPr>
                  <w:rStyle w:val="Artref"/>
                  <w:color w:val="000000"/>
                </w:rPr>
                <w:t xml:space="preserve">MOD </w:t>
              </w:r>
            </w:ins>
            <w:r w:rsidRPr="003A2590">
              <w:rPr>
                <w:rStyle w:val="Artref"/>
                <w:color w:val="000000"/>
              </w:rPr>
              <w:t xml:space="preserve">5.441B  5.442 </w:t>
            </w:r>
          </w:p>
          <w:p w14:paraId="39C6468A" w14:textId="77777777" w:rsidR="00044B5F" w:rsidRPr="003A2590" w:rsidRDefault="00344279" w:rsidP="00885C96">
            <w:pPr>
              <w:pStyle w:val="TableTextS5"/>
              <w:spacing w:before="60" w:after="60" w:line="210" w:lineRule="exact"/>
              <w:rPr>
                <w:color w:val="000000"/>
              </w:rPr>
            </w:pPr>
            <w:r w:rsidRPr="003A2590">
              <w:rPr>
                <w:color w:val="000000"/>
              </w:rPr>
              <w:tab/>
            </w:r>
            <w:r w:rsidRPr="003A2590">
              <w:rPr>
                <w:color w:val="000000"/>
              </w:rPr>
              <w:tab/>
            </w:r>
            <w:r w:rsidRPr="003A2590">
              <w:rPr>
                <w:color w:val="000000"/>
              </w:rPr>
              <w:tab/>
            </w:r>
            <w:r w:rsidRPr="003A2590">
              <w:rPr>
                <w:color w:val="000000"/>
              </w:rPr>
              <w:tab/>
              <w:t>Radio astronomy</w:t>
            </w:r>
          </w:p>
          <w:p w14:paraId="068CF6F3" w14:textId="77777777" w:rsidR="00044B5F" w:rsidRPr="003A2590" w:rsidRDefault="00344279" w:rsidP="00885C96">
            <w:pPr>
              <w:pStyle w:val="TableTextS5"/>
              <w:spacing w:before="60" w:after="60" w:line="210" w:lineRule="exact"/>
              <w:rPr>
                <w:color w:val="000000"/>
              </w:rPr>
            </w:pPr>
            <w:r w:rsidRPr="003A2590">
              <w:rPr>
                <w:color w:val="000000"/>
              </w:rPr>
              <w:tab/>
            </w:r>
            <w:r w:rsidRPr="003A2590">
              <w:rPr>
                <w:color w:val="000000"/>
              </w:rPr>
              <w:tab/>
            </w:r>
            <w:r w:rsidRPr="003A2590">
              <w:rPr>
                <w:color w:val="000000"/>
              </w:rPr>
              <w:tab/>
            </w:r>
            <w:r w:rsidRPr="003A2590">
              <w:rPr>
                <w:color w:val="000000"/>
              </w:rPr>
              <w:tab/>
            </w:r>
            <w:r w:rsidRPr="003A2590">
              <w:rPr>
                <w:rStyle w:val="Artref"/>
                <w:color w:val="000000"/>
              </w:rPr>
              <w:t>5.149</w:t>
            </w:r>
            <w:r w:rsidRPr="003A2590">
              <w:rPr>
                <w:color w:val="000000"/>
              </w:rPr>
              <w:t xml:space="preserve">  </w:t>
            </w:r>
            <w:r w:rsidRPr="003A2590">
              <w:rPr>
                <w:rStyle w:val="Artref"/>
                <w:color w:val="000000"/>
              </w:rPr>
              <w:t>5.339</w:t>
            </w:r>
            <w:r w:rsidRPr="003A2590">
              <w:rPr>
                <w:color w:val="000000"/>
              </w:rPr>
              <w:t xml:space="preserve">  </w:t>
            </w:r>
            <w:r w:rsidRPr="003A2590">
              <w:rPr>
                <w:rStyle w:val="Artref"/>
                <w:color w:val="000000"/>
              </w:rPr>
              <w:t>5.443</w:t>
            </w:r>
          </w:p>
        </w:tc>
      </w:tr>
    </w:tbl>
    <w:p w14:paraId="2A33A41A" w14:textId="77777777" w:rsidR="007E6EA6" w:rsidRPr="003A2590" w:rsidRDefault="007E6EA6">
      <w:pPr>
        <w:pStyle w:val="Reasons"/>
      </w:pPr>
    </w:p>
    <w:p w14:paraId="1A2B3DC8" w14:textId="77777777" w:rsidR="007E6EA6" w:rsidRPr="003A2590" w:rsidRDefault="00344279">
      <w:pPr>
        <w:pStyle w:val="Proposal"/>
      </w:pPr>
      <w:r w:rsidRPr="003A2590">
        <w:t>MOD</w:t>
      </w:r>
      <w:r w:rsidRPr="003A2590">
        <w:tab/>
        <w:t>CUB/59A1/2</w:t>
      </w:r>
    </w:p>
    <w:p w14:paraId="07EDEE50" w14:textId="3DADEE7E" w:rsidR="00602C8D" w:rsidRPr="009739F6" w:rsidRDefault="00344279" w:rsidP="003C04F1">
      <w:pPr>
        <w:pStyle w:val="Note"/>
      </w:pPr>
      <w:r w:rsidRPr="003A2590">
        <w:rPr>
          <w:rStyle w:val="Artdef"/>
        </w:rPr>
        <w:t>5.441B</w:t>
      </w:r>
      <w:r w:rsidRPr="003A2590">
        <w:tab/>
        <w:t xml:space="preserve">In Angola, </w:t>
      </w:r>
      <w:r w:rsidRPr="003A2590">
        <w:rPr>
          <w:rStyle w:val="Policepardfaut1"/>
          <w:rFonts w:eastAsia="Calibri"/>
          <w:szCs w:val="24"/>
        </w:rPr>
        <w:t xml:space="preserve">Armenia, Azerbaijan, </w:t>
      </w:r>
      <w:r w:rsidRPr="003A2590">
        <w:t xml:space="preserve">Benin, Botswana, Brazil, Burkina Faso, Burundi, Cambodia, Cameroon, China, Côte d’Ivoire, </w:t>
      </w:r>
      <w:ins w:id="16" w:author="Turnbull, Karen" w:date="2023-08-30T17:45:00Z">
        <w:r w:rsidR="00A621EE" w:rsidRPr="000429BB">
          <w:t>Cuba,</w:t>
        </w:r>
        <w:r w:rsidR="00A621EE" w:rsidRPr="003A2590">
          <w:t xml:space="preserve"> </w:t>
        </w:r>
      </w:ins>
      <w:r w:rsidRPr="003A2590">
        <w:t xml:space="preserve">Djibouti, Eswatini, </w:t>
      </w:r>
      <w:r w:rsidRPr="003A2590">
        <w:rPr>
          <w:rStyle w:val="Policepardfaut1"/>
          <w:rFonts w:eastAsia="Calibri"/>
          <w:szCs w:val="24"/>
        </w:rPr>
        <w:t xml:space="preserve">Russian Federation, </w:t>
      </w:r>
      <w:r w:rsidRPr="003A2590">
        <w:t xml:space="preserve">Gambia, Guinea, </w:t>
      </w:r>
      <w:r w:rsidRPr="003A2590">
        <w:rPr>
          <w:rStyle w:val="Policepardfaut1"/>
          <w:rFonts w:eastAsia="Calibri"/>
          <w:szCs w:val="24"/>
        </w:rPr>
        <w:t xml:space="preserve">Iran (Islamic Republic of), Kazakhstan, Kenya, </w:t>
      </w:r>
      <w:r w:rsidRPr="003A2590">
        <w:t xml:space="preserve">Lao P.D.R., Lesotho, Liberia, Malawi, Mauritius, Mongolia, Mozambique, Nigeria, </w:t>
      </w:r>
      <w:r w:rsidRPr="003A2590">
        <w:rPr>
          <w:rStyle w:val="Policepardfaut1"/>
          <w:rFonts w:eastAsia="Calibri"/>
          <w:szCs w:val="24"/>
        </w:rPr>
        <w:t xml:space="preserve">Uganda, Uzbekistan, the </w:t>
      </w:r>
      <w:r w:rsidRPr="003A2590">
        <w:t>Dem. Rep. of the Congo,</w:t>
      </w:r>
      <w:r w:rsidRPr="003A2590">
        <w:rPr>
          <w:rStyle w:val="Policepardfaut1"/>
          <w:rFonts w:eastAsia="Calibri"/>
          <w:szCs w:val="24"/>
        </w:rPr>
        <w:t xml:space="preserve"> Kyrgyzstan, the Dem. People's Rep. of Korea, </w:t>
      </w:r>
      <w:r w:rsidRPr="003A2590">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3A2590">
        <w:rPr>
          <w:b/>
          <w:bCs/>
        </w:rPr>
        <w:t>9.21</w:t>
      </w:r>
      <w:r w:rsidRPr="003A2590">
        <w:t xml:space="preserve"> with concerned administrations, and IMT stations shall not claim protection from stations</w:t>
      </w:r>
      <w:ins w:id="17" w:author="LING-E" w:date="2023-08-31T10:57:00Z">
        <w:r w:rsidR="00765331" w:rsidRPr="003A2590">
          <w:t xml:space="preserve"> of the </w:t>
        </w:r>
        <w:r w:rsidR="00B631A3" w:rsidRPr="003A2590">
          <w:t>aeronautic</w:t>
        </w:r>
      </w:ins>
      <w:ins w:id="18" w:author="LING-E" w:date="2023-08-31T10:58:00Z">
        <w:r w:rsidR="00B631A3" w:rsidRPr="003A2590">
          <w:t xml:space="preserve">al mobile service </w:t>
        </w:r>
      </w:ins>
      <w:ins w:id="19" w:author="LING-E" w:date="2023-08-31T10:59:00Z">
        <w:r w:rsidR="00B631A3" w:rsidRPr="003A2590">
          <w:t>operating in accordance with these Regulations.</w:t>
        </w:r>
      </w:ins>
      <w:del w:id="20" w:author="Turnbull, Karen" w:date="2023-08-30T17:42:00Z">
        <w:r w:rsidRPr="003A2590" w:rsidDel="00A621EE">
          <w:delText xml:space="preserve"> of other applications of the mobile service. In addition, before an administration brings into use an IMT station in the mobile service, it shall ensure that the power flux-density (pfd) produced by this station does not exceed −155 dB(W/(m</w:delText>
        </w:r>
        <w:r w:rsidRPr="003A2590" w:rsidDel="00A621EE">
          <w:rPr>
            <w:vertAlign w:val="superscript"/>
          </w:rPr>
          <w:delText>2</w:delText>
        </w:r>
        <w:r w:rsidRPr="003A2590" w:rsidDel="00A621EE">
          <w:delText> · 1 MHz)) produced up to 19 km above sea level at 20 km from the coast, defined as the low-water mark, as officially recognized by the coastal State. This pfd criterion is subject to review at WRC</w:delText>
        </w:r>
        <w:r w:rsidRPr="003A2590" w:rsidDel="00A621EE">
          <w:noBreakHyphen/>
          <w:delText>23.</w:delText>
        </w:r>
      </w:del>
      <w:r w:rsidRPr="003A2590">
        <w:t xml:space="preserve"> Resolution </w:t>
      </w:r>
      <w:r w:rsidRPr="003A2590">
        <w:rPr>
          <w:b/>
          <w:bCs/>
        </w:rPr>
        <w:t>223 (Rev.WRC</w:t>
      </w:r>
      <w:r w:rsidRPr="003A2590">
        <w:rPr>
          <w:b/>
          <w:bCs/>
        </w:rPr>
        <w:noBreakHyphen/>
      </w:r>
      <w:del w:id="21" w:author="Turnbull, Karen" w:date="2023-08-30T17:46:00Z">
        <w:r w:rsidRPr="003A2590" w:rsidDel="00A621EE">
          <w:rPr>
            <w:b/>
            <w:bCs/>
          </w:rPr>
          <w:delText>19</w:delText>
        </w:r>
      </w:del>
      <w:ins w:id="22" w:author="Turnbull, Karen" w:date="2023-08-30T17:46:00Z">
        <w:r w:rsidR="00A621EE" w:rsidRPr="003A2590">
          <w:rPr>
            <w:b/>
            <w:bCs/>
          </w:rPr>
          <w:t>23</w:t>
        </w:r>
      </w:ins>
      <w:r w:rsidRPr="003A2590">
        <w:rPr>
          <w:b/>
          <w:bCs/>
        </w:rPr>
        <w:t>)</w:t>
      </w:r>
      <w:r w:rsidRPr="003A2590">
        <w:rPr>
          <w:bCs/>
        </w:rPr>
        <w:t xml:space="preserve"> applies</w:t>
      </w:r>
      <w:r w:rsidRPr="003A2590">
        <w:t>.</w:t>
      </w:r>
      <w:del w:id="23" w:author="Turnbull, Karen" w:date="2023-08-30T17:46:00Z">
        <w:r w:rsidRPr="003A2590" w:rsidDel="00344279">
          <w:delText xml:space="preserve"> This identification shall be effective after WRC</w:delText>
        </w:r>
        <w:r w:rsidRPr="003A2590" w:rsidDel="00344279">
          <w:noBreakHyphen/>
          <w:delText>19.</w:delText>
        </w:r>
      </w:del>
      <w:r w:rsidRPr="003A2590">
        <w:rPr>
          <w:sz w:val="16"/>
          <w:szCs w:val="16"/>
        </w:rPr>
        <w:t>     </w:t>
      </w:r>
      <w:r w:rsidRPr="009739F6">
        <w:rPr>
          <w:sz w:val="16"/>
          <w:szCs w:val="16"/>
        </w:rPr>
        <w:t>(WRC</w:t>
      </w:r>
      <w:r w:rsidRPr="009739F6">
        <w:rPr>
          <w:sz w:val="16"/>
          <w:szCs w:val="16"/>
        </w:rPr>
        <w:noBreakHyphen/>
      </w:r>
      <w:del w:id="24" w:author="TPU E kt" w:date="2023-09-01T10:10:00Z">
        <w:r w:rsidRPr="009739F6" w:rsidDel="009739F6">
          <w:rPr>
            <w:sz w:val="16"/>
            <w:szCs w:val="16"/>
          </w:rPr>
          <w:delText>19</w:delText>
        </w:r>
      </w:del>
      <w:ins w:id="25" w:author="TPU E kt" w:date="2023-09-01T10:10:00Z">
        <w:r w:rsidR="009739F6">
          <w:rPr>
            <w:sz w:val="16"/>
            <w:szCs w:val="16"/>
          </w:rPr>
          <w:t>23</w:t>
        </w:r>
      </w:ins>
      <w:r w:rsidRPr="009739F6">
        <w:rPr>
          <w:sz w:val="16"/>
          <w:szCs w:val="16"/>
        </w:rPr>
        <w:t>)</w:t>
      </w:r>
    </w:p>
    <w:p w14:paraId="4DDC1F92" w14:textId="0775E74D" w:rsidR="007E6EA6" w:rsidRPr="003A2590" w:rsidRDefault="00344279">
      <w:pPr>
        <w:pStyle w:val="Reasons"/>
      </w:pPr>
      <w:r w:rsidRPr="009739F6">
        <w:rPr>
          <w:b/>
        </w:rPr>
        <w:t>Reasons:</w:t>
      </w:r>
      <w:r w:rsidRPr="009739F6">
        <w:tab/>
      </w:r>
      <w:r w:rsidR="00A800ED" w:rsidRPr="003A2590">
        <w:t xml:space="preserve">To make appropriate amendments to No. </w:t>
      </w:r>
      <w:r w:rsidR="00A621EE" w:rsidRPr="003A2590">
        <w:rPr>
          <w:b/>
        </w:rPr>
        <w:t>5.441B</w:t>
      </w:r>
      <w:r w:rsidR="00A800ED" w:rsidRPr="003A2590">
        <w:rPr>
          <w:bCs/>
        </w:rPr>
        <w:t xml:space="preserve">, eliminating </w:t>
      </w:r>
      <w:r w:rsidR="00A800ED" w:rsidRPr="003A2590">
        <w:t>the application of pfd limits</w:t>
      </w:r>
      <w:r w:rsidR="00A621EE" w:rsidRPr="003A2590">
        <w:t xml:space="preserve"> </w:t>
      </w:r>
      <w:r w:rsidR="00A800ED" w:rsidRPr="003A2590">
        <w:t xml:space="preserve">and </w:t>
      </w:r>
      <w:r w:rsidR="00FD03E8" w:rsidRPr="003A2590">
        <w:t xml:space="preserve">inserting </w:t>
      </w:r>
      <w:r w:rsidR="00A800ED" w:rsidRPr="003A2590">
        <w:t xml:space="preserve">Cuba therein, in accordance with the provisions of </w:t>
      </w:r>
      <w:r w:rsidR="00A800ED" w:rsidRPr="003A2590">
        <w:rPr>
          <w:i/>
          <w:iCs/>
        </w:rPr>
        <w:t>further resolves</w:t>
      </w:r>
      <w:r w:rsidR="00A800ED" w:rsidRPr="003A2590">
        <w:t xml:space="preserve"> 1 a) of Resolution </w:t>
      </w:r>
      <w:r w:rsidR="00A621EE" w:rsidRPr="003A2590">
        <w:rPr>
          <w:b/>
        </w:rPr>
        <w:t>26</w:t>
      </w:r>
      <w:r w:rsidR="00A621EE" w:rsidRPr="003A2590">
        <w:t xml:space="preserve"> </w:t>
      </w:r>
      <w:r w:rsidR="00A621EE" w:rsidRPr="003A2590">
        <w:rPr>
          <w:b/>
        </w:rPr>
        <w:t>(</w:t>
      </w:r>
      <w:r w:rsidR="00FD03E8" w:rsidRPr="003A2590">
        <w:rPr>
          <w:b/>
        </w:rPr>
        <w:t>Rev.</w:t>
      </w:r>
      <w:r w:rsidR="00A800ED" w:rsidRPr="0038479F">
        <w:rPr>
          <w:b/>
        </w:rPr>
        <w:t>WRC</w:t>
      </w:r>
      <w:r w:rsidR="00A621EE" w:rsidRPr="0038479F">
        <w:rPr>
          <w:b/>
        </w:rPr>
        <w:t>­19</w:t>
      </w:r>
      <w:r w:rsidR="00A621EE" w:rsidRPr="003A2590">
        <w:rPr>
          <w:b/>
        </w:rPr>
        <w:t>).</w:t>
      </w:r>
    </w:p>
    <w:p w14:paraId="10B3F9D6" w14:textId="77777777" w:rsidR="007E6EA6" w:rsidRPr="003A2590" w:rsidRDefault="00344279">
      <w:pPr>
        <w:pStyle w:val="Proposal"/>
      </w:pPr>
      <w:r w:rsidRPr="003A2590">
        <w:lastRenderedPageBreak/>
        <w:t>MOD</w:t>
      </w:r>
      <w:r w:rsidRPr="003A2590">
        <w:tab/>
        <w:t>CUB/59A1/3</w:t>
      </w:r>
    </w:p>
    <w:p w14:paraId="63843964" w14:textId="3E2B80E7" w:rsidR="000B1A6C" w:rsidRPr="003A2590" w:rsidRDefault="00344279" w:rsidP="000B1A6C">
      <w:pPr>
        <w:pStyle w:val="ResNo"/>
      </w:pPr>
      <w:bookmarkStart w:id="26" w:name="_Toc39649437"/>
      <w:r w:rsidRPr="003A2590">
        <w:t xml:space="preserve">RESOLUTION </w:t>
      </w:r>
      <w:r w:rsidRPr="003A2590">
        <w:rPr>
          <w:rStyle w:val="href"/>
        </w:rPr>
        <w:t>223</w:t>
      </w:r>
      <w:r w:rsidRPr="003A2590">
        <w:t xml:space="preserve"> (REV.WRC</w:t>
      </w:r>
      <w:r w:rsidRPr="003A2590">
        <w:noBreakHyphen/>
      </w:r>
      <w:del w:id="27" w:author="Turnbull, Karen" w:date="2023-08-30T17:44:00Z">
        <w:r w:rsidRPr="003A2590" w:rsidDel="00A621EE">
          <w:delText>19</w:delText>
        </w:r>
      </w:del>
      <w:ins w:id="28" w:author="Turnbull, Karen" w:date="2023-08-30T17:44:00Z">
        <w:r w:rsidR="00A621EE" w:rsidRPr="003A2590">
          <w:t>23</w:t>
        </w:r>
      </w:ins>
      <w:r w:rsidRPr="003A2590">
        <w:t>)</w:t>
      </w:r>
      <w:bookmarkEnd w:id="26"/>
    </w:p>
    <w:p w14:paraId="629AA970" w14:textId="77777777" w:rsidR="000B1A6C" w:rsidRPr="003A2590" w:rsidRDefault="00344279" w:rsidP="000B1A6C">
      <w:pPr>
        <w:pStyle w:val="Restitle"/>
        <w:rPr>
          <w:lang w:eastAsia="ja-JP"/>
        </w:rPr>
      </w:pPr>
      <w:bookmarkStart w:id="29" w:name="_Toc35789311"/>
      <w:bookmarkStart w:id="30" w:name="_Toc35857008"/>
      <w:bookmarkStart w:id="31" w:name="_Toc35877643"/>
      <w:bookmarkStart w:id="32" w:name="_Toc35963586"/>
      <w:bookmarkStart w:id="33" w:name="_Toc39649438"/>
      <w:r w:rsidRPr="003A2590">
        <w:rPr>
          <w:lang w:eastAsia="ja-JP"/>
        </w:rPr>
        <w:t xml:space="preserve">Additional frequency bands identified for International </w:t>
      </w:r>
      <w:r w:rsidRPr="003A2590">
        <w:rPr>
          <w:lang w:eastAsia="ja-JP"/>
        </w:rPr>
        <w:br/>
        <w:t>Mobile Telecommunications</w:t>
      </w:r>
      <w:bookmarkEnd w:id="29"/>
      <w:bookmarkEnd w:id="30"/>
      <w:bookmarkEnd w:id="31"/>
      <w:bookmarkEnd w:id="32"/>
      <w:bookmarkEnd w:id="33"/>
    </w:p>
    <w:p w14:paraId="62630E0B" w14:textId="12FC9C87" w:rsidR="000B1A6C" w:rsidRDefault="00344279" w:rsidP="000B1A6C">
      <w:pPr>
        <w:pStyle w:val="Normalaftertitle"/>
      </w:pPr>
      <w:r w:rsidRPr="003A2590">
        <w:t>The World Radiocommunication Conference (</w:t>
      </w:r>
      <w:del w:id="34" w:author="Turnbull, Karen" w:date="2023-08-30T17:44:00Z">
        <w:r w:rsidRPr="003A2590" w:rsidDel="00A621EE">
          <w:delText>Sharm el-Sheikh, 2019</w:delText>
        </w:r>
      </w:del>
      <w:ins w:id="35" w:author="Turnbull, Karen" w:date="2023-08-30T17:44:00Z">
        <w:r w:rsidR="00A621EE" w:rsidRPr="003A2590">
          <w:t>Dubai, 2023</w:t>
        </w:r>
      </w:ins>
      <w:r w:rsidRPr="003A2590">
        <w:t>),</w:t>
      </w:r>
    </w:p>
    <w:p w14:paraId="6EADD4E8" w14:textId="11DB2838" w:rsidR="00764999" w:rsidRPr="00764999" w:rsidRDefault="00764999" w:rsidP="00764999">
      <w:r w:rsidRPr="00F071F0">
        <w:rPr>
          <w:rPrChange w:id="36" w:author="Arnould, Carine" w:date="2023-09-04T10:44:00Z">
            <w:rPr>
              <w:highlight w:val="cyan"/>
            </w:rPr>
          </w:rPrChange>
        </w:rPr>
        <w:t>…</w:t>
      </w:r>
    </w:p>
    <w:p w14:paraId="5ABFB91B" w14:textId="77777777" w:rsidR="000B1A6C" w:rsidRPr="003A2590" w:rsidRDefault="00344279" w:rsidP="000B1A6C">
      <w:pPr>
        <w:pStyle w:val="Call"/>
      </w:pPr>
      <w:r w:rsidRPr="003A2590">
        <w:t>recognizing</w:t>
      </w:r>
    </w:p>
    <w:p w14:paraId="082D29A3" w14:textId="2183DD31" w:rsidR="000B1A6C" w:rsidRPr="003A2590" w:rsidRDefault="00344279" w:rsidP="000B1A6C">
      <w:pPr>
        <w:rPr>
          <w:ins w:id="37" w:author="Turnbull, Karen" w:date="2023-08-30T17:48:00Z"/>
        </w:rPr>
      </w:pPr>
      <w:ins w:id="38" w:author="Turnbull, Karen" w:date="2023-08-30T17:48:00Z">
        <w:r w:rsidRPr="003A2590">
          <w:rPr>
            <w:i/>
            <w:iCs/>
          </w:rPr>
          <w:t>a)</w:t>
        </w:r>
        <w:r w:rsidRPr="003A2590">
          <w:tab/>
        </w:r>
      </w:ins>
      <w:r w:rsidRPr="003A2590">
        <w:t>that for some administrations the only way of implementing IMT would be spectrum refarming, requiring significant financial investment</w:t>
      </w:r>
      <w:del w:id="39" w:author="Turnbull, Karen" w:date="2023-08-30T17:48:00Z">
        <w:r w:rsidRPr="003A2590" w:rsidDel="00344279">
          <w:delText>,</w:delText>
        </w:r>
      </w:del>
      <w:ins w:id="40" w:author="Turnbull, Karen" w:date="2023-08-30T17:48:00Z">
        <w:r w:rsidRPr="003A2590">
          <w:t>;</w:t>
        </w:r>
      </w:ins>
    </w:p>
    <w:p w14:paraId="5AC97817" w14:textId="7E7530F0" w:rsidR="00344279" w:rsidRPr="009739F6" w:rsidRDefault="00344279" w:rsidP="000B1A6C">
      <w:pPr>
        <w:rPr>
          <w:rFonts w:eastAsia="???"/>
        </w:rPr>
      </w:pPr>
      <w:ins w:id="41" w:author="Turnbull, Karen" w:date="2023-08-30T17:48:00Z">
        <w:r w:rsidRPr="009739F6">
          <w:rPr>
            <w:i/>
            <w:iCs/>
          </w:rPr>
          <w:t>b)</w:t>
        </w:r>
        <w:r w:rsidRPr="009739F6">
          <w:tab/>
        </w:r>
      </w:ins>
      <w:ins w:id="42" w:author="LING-E" w:date="2023-08-31T11:02:00Z">
        <w:r w:rsidR="00B631A3" w:rsidRPr="009739F6">
          <w:t>that the rights to international recognition and protection of any frequency assignments are derived from the recording of those frequency assignments in the Master International Frequency Register and conditioned by the provisions of the Radio Regulations</w:t>
        </w:r>
      </w:ins>
      <w:ins w:id="43" w:author="Turnbull, Karen" w:date="2023-08-30T17:49:00Z">
        <w:r w:rsidRPr="009739F6">
          <w:rPr>
            <w:rFonts w:eastAsia="Arial Unicode MS"/>
            <w:kern w:val="1"/>
            <w:szCs w:val="24"/>
            <w:lang w:eastAsia="hi-IN" w:bidi="hi-IN"/>
          </w:rPr>
          <w:t>,</w:t>
        </w:r>
      </w:ins>
    </w:p>
    <w:p w14:paraId="47A30A1C" w14:textId="77777777" w:rsidR="000B1A6C" w:rsidRPr="003A2590" w:rsidRDefault="00344279" w:rsidP="000B1A6C">
      <w:pPr>
        <w:pStyle w:val="Call"/>
      </w:pPr>
      <w:r w:rsidRPr="003A2590">
        <w:t>resolves</w:t>
      </w:r>
    </w:p>
    <w:p w14:paraId="54C7C157" w14:textId="77777777" w:rsidR="000B1A6C" w:rsidRPr="003A2590" w:rsidRDefault="00344279" w:rsidP="000B1A6C">
      <w:pPr>
        <w:rPr>
          <w:rFonts w:eastAsia="???"/>
        </w:rPr>
      </w:pPr>
      <w:r w:rsidRPr="003A2590">
        <w:rPr>
          <w:rFonts w:eastAsia="???"/>
        </w:rPr>
        <w:t>1</w:t>
      </w:r>
      <w:r w:rsidRPr="003A2590">
        <w:rPr>
          <w:rFonts w:eastAsia="???"/>
        </w:rPr>
        <w:tab/>
        <w:t xml:space="preserve">to invite administrations planning to implement IMT to make available, based on user demand and other national considerations, additional </w:t>
      </w:r>
      <w:r w:rsidRPr="003A2590">
        <w:t>frequency</w:t>
      </w:r>
      <w:r w:rsidRPr="003A2590">
        <w:rPr>
          <w:rFonts w:eastAsia="???"/>
        </w:rPr>
        <w:t xml:space="preserve"> bands or portions of the</w:t>
      </w:r>
      <w:r w:rsidRPr="003A2590">
        <w:t xml:space="preserve"> frequency</w:t>
      </w:r>
      <w:r w:rsidRPr="003A2590">
        <w:rPr>
          <w:rFonts w:eastAsia="???"/>
        </w:rPr>
        <w:t xml:space="preserve"> bands above 1 GHz identified in Nos.</w:t>
      </w:r>
      <w:r w:rsidRPr="003A2590">
        <w:rPr>
          <w:lang w:eastAsia="ja-JP"/>
        </w:rPr>
        <w:t> </w:t>
      </w:r>
      <w:r w:rsidRPr="003A2590">
        <w:rPr>
          <w:rFonts w:eastAsia="???"/>
          <w:b/>
        </w:rPr>
        <w:t>5.341B</w:t>
      </w:r>
      <w:r w:rsidRPr="003A2590">
        <w:rPr>
          <w:rFonts w:eastAsia="???"/>
          <w:bCs/>
        </w:rPr>
        <w:t>,</w:t>
      </w:r>
      <w:r w:rsidRPr="003A2590">
        <w:rPr>
          <w:rFonts w:eastAsia="???"/>
        </w:rPr>
        <w:t> </w:t>
      </w:r>
      <w:r w:rsidRPr="003A2590">
        <w:rPr>
          <w:rStyle w:val="Artref"/>
          <w:rFonts w:eastAsia="???"/>
          <w:b/>
          <w:bCs/>
          <w:color w:val="000000"/>
          <w:szCs w:val="24"/>
        </w:rPr>
        <w:t>5.384A</w:t>
      </w:r>
      <w:r w:rsidRPr="003A2590">
        <w:rPr>
          <w:rStyle w:val="Artref"/>
          <w:rFonts w:eastAsia="???"/>
          <w:bCs/>
          <w:color w:val="000000"/>
          <w:szCs w:val="24"/>
        </w:rPr>
        <w:t xml:space="preserve">, </w:t>
      </w:r>
      <w:r w:rsidRPr="003A2590">
        <w:rPr>
          <w:b/>
          <w:bCs/>
        </w:rPr>
        <w:t>5.429B</w:t>
      </w:r>
      <w:r w:rsidRPr="003A2590">
        <w:t xml:space="preserve">, </w:t>
      </w:r>
      <w:r w:rsidRPr="003A2590">
        <w:rPr>
          <w:b/>
          <w:bCs/>
        </w:rPr>
        <w:t>5.429D</w:t>
      </w:r>
      <w:r w:rsidRPr="003A2590">
        <w:t xml:space="preserve">, </w:t>
      </w:r>
      <w:r w:rsidRPr="003A2590">
        <w:rPr>
          <w:b/>
          <w:bCs/>
        </w:rPr>
        <w:t>5.429F</w:t>
      </w:r>
      <w:r w:rsidRPr="003A2590">
        <w:t>,</w:t>
      </w:r>
      <w:r w:rsidRPr="003A2590">
        <w:rPr>
          <w:rStyle w:val="Artref"/>
          <w:bCs/>
        </w:rPr>
        <w:t xml:space="preserve"> </w:t>
      </w:r>
      <w:r w:rsidRPr="003A2590">
        <w:rPr>
          <w:rStyle w:val="Artref"/>
          <w:b/>
        </w:rPr>
        <w:t>5.441A</w:t>
      </w:r>
      <w:r w:rsidRPr="003A2590">
        <w:t xml:space="preserve"> and </w:t>
      </w:r>
      <w:r w:rsidRPr="003A2590">
        <w:rPr>
          <w:rStyle w:val="Artref"/>
          <w:b/>
        </w:rPr>
        <w:t>5.441B</w:t>
      </w:r>
      <w:r w:rsidRPr="003A2590">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58481C05" w14:textId="77777777" w:rsidR="000B1A6C" w:rsidRPr="003A2590" w:rsidRDefault="00344279" w:rsidP="000B1A6C">
      <w:pPr>
        <w:rPr>
          <w:rFonts w:eastAsia="???"/>
        </w:rPr>
      </w:pPr>
      <w:r w:rsidRPr="003A2590">
        <w:rPr>
          <w:rFonts w:eastAsia="???"/>
        </w:rPr>
        <w:t>2</w:t>
      </w:r>
      <w:r w:rsidRPr="003A2590">
        <w:rPr>
          <w:rFonts w:eastAsia="???"/>
        </w:rPr>
        <w:tab/>
        <w:t>to acknowledge that the differences in the texts of Nos. </w:t>
      </w:r>
      <w:r w:rsidRPr="003A2590">
        <w:rPr>
          <w:rFonts w:eastAsia="???"/>
          <w:b/>
        </w:rPr>
        <w:t>5.341B</w:t>
      </w:r>
      <w:r w:rsidRPr="003A2590">
        <w:rPr>
          <w:rFonts w:eastAsia="???"/>
        </w:rPr>
        <w:t>,</w:t>
      </w:r>
      <w:r w:rsidRPr="003A2590">
        <w:rPr>
          <w:lang w:eastAsia="ja-JP"/>
        </w:rPr>
        <w:t xml:space="preserve"> </w:t>
      </w:r>
      <w:r w:rsidRPr="003A2590">
        <w:rPr>
          <w:rStyle w:val="Artref"/>
          <w:rFonts w:eastAsia="???"/>
          <w:b/>
          <w:bCs/>
          <w:color w:val="000000"/>
          <w:szCs w:val="24"/>
        </w:rPr>
        <w:t>5.384A</w:t>
      </w:r>
      <w:r w:rsidRPr="003A2590">
        <w:rPr>
          <w:rFonts w:eastAsia="???"/>
        </w:rPr>
        <w:t xml:space="preserve"> and </w:t>
      </w:r>
      <w:r w:rsidRPr="003A2590">
        <w:rPr>
          <w:rStyle w:val="Artref"/>
          <w:rFonts w:eastAsia="???"/>
          <w:b/>
          <w:bCs/>
          <w:color w:val="000000"/>
          <w:szCs w:val="24"/>
        </w:rPr>
        <w:t>5.388</w:t>
      </w:r>
      <w:r w:rsidRPr="003A2590">
        <w:rPr>
          <w:rFonts w:eastAsia="???"/>
        </w:rPr>
        <w:t xml:space="preserve"> do not confer differences in regulatory status;</w:t>
      </w:r>
    </w:p>
    <w:p w14:paraId="6167CDF9" w14:textId="77777777" w:rsidR="000B1A6C" w:rsidRPr="003A2590" w:rsidRDefault="00344279" w:rsidP="000B1A6C">
      <w:pPr>
        <w:rPr>
          <w:rFonts w:eastAsia="???"/>
        </w:rPr>
      </w:pPr>
      <w:r w:rsidRPr="003A2590">
        <w:rPr>
          <w:rFonts w:eastAsia="???"/>
        </w:rPr>
        <w:t>3</w:t>
      </w:r>
      <w:r w:rsidRPr="003A2590">
        <w:rPr>
          <w:rFonts w:eastAsia="???"/>
        </w:rPr>
        <w:tab/>
        <w:t xml:space="preserve">that in the frequency bands 4 800-4 825 MHz and 4 835-4 950 MHz, in order </w:t>
      </w:r>
      <w:r w:rsidRPr="003A2590">
        <w:t>to identify potentially affected administrations when applying the procedure for seeking agreement under No. </w:t>
      </w:r>
      <w:r w:rsidRPr="003A2590">
        <w:rPr>
          <w:rStyle w:val="Artref"/>
          <w:b/>
        </w:rPr>
        <w:t>9.21</w:t>
      </w:r>
      <w:r w:rsidRPr="003A2590">
        <w:t xml:space="preserve"> by IMT stations in relation to aircraft stations, a coordination distance from an IMT station to the border of another country equal to 300 km (for land path)/450 km (for sea path) applies</w:t>
      </w:r>
      <w:r w:rsidRPr="003A2590">
        <w:rPr>
          <w:rFonts w:eastAsia="???"/>
        </w:rPr>
        <w:t>;</w:t>
      </w:r>
    </w:p>
    <w:p w14:paraId="6655A159" w14:textId="397D71AF" w:rsidR="000B1A6C" w:rsidRPr="003A2590" w:rsidRDefault="00344279" w:rsidP="000B1A6C">
      <w:pPr>
        <w:rPr>
          <w:rFonts w:eastAsia="???"/>
        </w:rPr>
      </w:pPr>
      <w:r w:rsidRPr="003A2590">
        <w:rPr>
          <w:rFonts w:eastAsia="???"/>
        </w:rPr>
        <w:t>4</w:t>
      </w:r>
      <w:r w:rsidRPr="003A2590">
        <w:rPr>
          <w:rFonts w:eastAsia="???"/>
        </w:rPr>
        <w:tab/>
        <w:t xml:space="preserve">that in the frequency band 4 800-4 990 MHz, in order </w:t>
      </w:r>
      <w:r w:rsidRPr="003A2590">
        <w:t>to identify potentially affected administrations when applying the procedure for seeking agreement under No. </w:t>
      </w:r>
      <w:r w:rsidRPr="003A2590">
        <w:rPr>
          <w:rStyle w:val="Artref"/>
          <w:b/>
        </w:rPr>
        <w:t>9.21</w:t>
      </w:r>
      <w:r w:rsidRPr="003A2590">
        <w:t xml:space="preserve"> by IMT stations in relation to fixed-service stations or other ground-based stations of the mobile service, a coordination distance from an IMT station to the border of another country equal to 70 km applies</w:t>
      </w:r>
      <w:del w:id="44" w:author="Turnbull, Karen" w:date="2023-08-30T17:49:00Z">
        <w:r w:rsidRPr="003A2590" w:rsidDel="00344279">
          <w:rPr>
            <w:rFonts w:eastAsia="???"/>
          </w:rPr>
          <w:delText>;</w:delText>
        </w:r>
      </w:del>
      <w:ins w:id="45" w:author="Turnbull, Karen" w:date="2023-08-30T17:49:00Z">
        <w:r w:rsidRPr="003A2590">
          <w:rPr>
            <w:rFonts w:eastAsia="???"/>
          </w:rPr>
          <w:t>,</w:t>
        </w:r>
      </w:ins>
    </w:p>
    <w:p w14:paraId="7E1BAFA4" w14:textId="2E37FCED" w:rsidR="000B1A6C" w:rsidRPr="003A2590" w:rsidDel="00344279" w:rsidRDefault="00344279" w:rsidP="000B1A6C">
      <w:pPr>
        <w:rPr>
          <w:del w:id="46" w:author="Turnbull, Karen" w:date="2023-08-30T17:49:00Z"/>
          <w:rFonts w:eastAsia="???"/>
        </w:rPr>
      </w:pPr>
      <w:del w:id="47" w:author="Turnbull, Karen" w:date="2023-08-30T17:49:00Z">
        <w:r w:rsidRPr="003A2590" w:rsidDel="00344279">
          <w:rPr>
            <w:rFonts w:eastAsia="???"/>
          </w:rPr>
          <w:delText>5</w:delText>
        </w:r>
        <w:r w:rsidRPr="003A2590" w:rsidDel="00344279">
          <w:rPr>
            <w:rFonts w:eastAsia="???"/>
          </w:rPr>
          <w:tab/>
          <w:delText xml:space="preserve">that the </w:delText>
        </w:r>
        <w:r w:rsidRPr="003A2590" w:rsidDel="00344279">
          <w:delText>power flux-density (pfd) limits in No. </w:delText>
        </w:r>
        <w:r w:rsidRPr="003A2590" w:rsidDel="00344279">
          <w:rPr>
            <w:b/>
            <w:bCs/>
          </w:rPr>
          <w:delText>5.441B</w:delText>
        </w:r>
        <w:r w:rsidRPr="003A2590" w:rsidDel="00344279">
          <w:delText>, which is subject to review at WRC</w:delText>
        </w:r>
        <w:r w:rsidRPr="003A2590" w:rsidDel="00344279">
          <w:noBreakHyphen/>
          <w:delText>23, shall not apply to the following countries: Armenia, Brazil, Cambodia, China, Russian Federation, Kazakhstan, Lao P.D.R., Uzbekistan, South Africa, Viet Nam and Zimbabwe,</w:delText>
        </w:r>
      </w:del>
    </w:p>
    <w:p w14:paraId="072E1E64" w14:textId="77777777" w:rsidR="000B1A6C" w:rsidRPr="003A2590" w:rsidRDefault="00344279" w:rsidP="000B1A6C">
      <w:pPr>
        <w:pStyle w:val="Call"/>
      </w:pPr>
      <w:r w:rsidRPr="003A2590">
        <w:t>invites the ITU Radiocommunication Sector</w:t>
      </w:r>
    </w:p>
    <w:p w14:paraId="0F50A6E4" w14:textId="77777777" w:rsidR="000B1A6C" w:rsidRPr="003A2590" w:rsidRDefault="00344279" w:rsidP="000B1A6C">
      <w:pPr>
        <w:rPr>
          <w:lang w:eastAsia="ja-JP"/>
        </w:rPr>
      </w:pPr>
      <w:r w:rsidRPr="003A2590">
        <w:rPr>
          <w:lang w:eastAsia="ja-JP"/>
        </w:rPr>
        <w:t>1</w:t>
      </w:r>
      <w:r w:rsidRPr="003A2590">
        <w:rPr>
          <w:lang w:eastAsia="ja-JP"/>
        </w:rPr>
        <w:tab/>
        <w:t>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241F3406" w14:textId="1E593673" w:rsidR="000B1A6C" w:rsidRPr="003A2590" w:rsidRDefault="00344279" w:rsidP="000B1A6C">
      <w:pPr>
        <w:rPr>
          <w:szCs w:val="24"/>
          <w:lang w:eastAsia="zh-CN"/>
        </w:rPr>
      </w:pPr>
      <w:r w:rsidRPr="003A2590">
        <w:rPr>
          <w:szCs w:val="24"/>
          <w:lang w:eastAsia="zh-CN"/>
        </w:rPr>
        <w:t>2</w:t>
      </w:r>
      <w:r w:rsidRPr="003A2590">
        <w:rPr>
          <w:szCs w:val="24"/>
          <w:lang w:eastAsia="zh-CN"/>
        </w:rPr>
        <w:tab/>
        <w:t xml:space="preserve">to study the technical and regulatory </w:t>
      </w:r>
      <w:del w:id="48" w:author="LING-E" w:date="2023-08-31T11:05:00Z">
        <w:r w:rsidRPr="003A2590" w:rsidDel="00B631A3">
          <w:rPr>
            <w:szCs w:val="24"/>
            <w:lang w:eastAsia="zh-CN"/>
          </w:rPr>
          <w:delText xml:space="preserve">conditions </w:delText>
        </w:r>
      </w:del>
      <w:ins w:id="49" w:author="LING-E" w:date="2023-08-31T11:05:00Z">
        <w:r w:rsidR="00B631A3" w:rsidRPr="003A2590">
          <w:rPr>
            <w:szCs w:val="24"/>
            <w:lang w:eastAsia="zh-CN"/>
          </w:rPr>
          <w:t xml:space="preserve">measures </w:t>
        </w:r>
      </w:ins>
      <w:r w:rsidRPr="003A2590">
        <w:rPr>
          <w:szCs w:val="24"/>
          <w:lang w:eastAsia="zh-CN"/>
        </w:rPr>
        <w:t>for</w:t>
      </w:r>
      <w:ins w:id="50" w:author="LING-E" w:date="2023-08-31T11:06:00Z">
        <w:r w:rsidR="00B631A3" w:rsidRPr="003A2590">
          <w:rPr>
            <w:szCs w:val="24"/>
            <w:lang w:eastAsia="zh-CN"/>
          </w:rPr>
          <w:t xml:space="preserve"> facilitating sharing between terrestrial IMT stations of coastal States and</w:t>
        </w:r>
      </w:ins>
      <w:del w:id="51" w:author="LING-E" w:date="2023-08-31T11:06:00Z">
        <w:r w:rsidRPr="003A2590" w:rsidDel="00B631A3">
          <w:rPr>
            <w:szCs w:val="24"/>
            <w:lang w:eastAsia="zh-CN"/>
          </w:rPr>
          <w:delText xml:space="preserve"> the protection of</w:delText>
        </w:r>
      </w:del>
      <w:r w:rsidRPr="003A2590">
        <w:t xml:space="preserve"> stations of the AMS and the maritime mobile service (MMS) located </w:t>
      </w:r>
      <w:del w:id="52" w:author="LING-E" w:date="2023-08-31T11:07:00Z">
        <w:r w:rsidRPr="003A2590" w:rsidDel="00B631A3">
          <w:delText>in international airspace or waters (i.e. </w:delText>
        </w:r>
      </w:del>
      <w:r w:rsidRPr="003A2590">
        <w:t>outside</w:t>
      </w:r>
      <w:ins w:id="53" w:author="LING-E" w:date="2023-08-31T11:07:00Z">
        <w:r w:rsidR="00B631A3" w:rsidRPr="003A2590">
          <w:t xml:space="preserve"> the</w:t>
        </w:r>
      </w:ins>
      <w:r w:rsidRPr="003A2590">
        <w:t xml:space="preserve"> national </w:t>
      </w:r>
      <w:r w:rsidRPr="003A2590">
        <w:lastRenderedPageBreak/>
        <w:t>territories</w:t>
      </w:r>
      <w:ins w:id="54" w:author="LING-E" w:date="2023-08-31T11:07:00Z">
        <w:r w:rsidR="00B631A3" w:rsidRPr="003A2590">
          <w:t xml:space="preserve"> of any country</w:t>
        </w:r>
      </w:ins>
      <w:del w:id="55" w:author="LING-E" w:date="2023-08-31T11:07:00Z">
        <w:r w:rsidRPr="003A2590" w:rsidDel="00B631A3">
          <w:delText>)</w:delText>
        </w:r>
      </w:del>
      <w:r w:rsidRPr="003A2590">
        <w:t xml:space="preserve"> and operated </w:t>
      </w:r>
      <w:r w:rsidRPr="003A2590">
        <w:rPr>
          <w:szCs w:val="24"/>
          <w:lang w:eastAsia="zh-CN"/>
        </w:rPr>
        <w:t>in the frequency band 4 800-4 990 MHz</w:t>
      </w:r>
      <w:ins w:id="56" w:author="Turnbull, Karen" w:date="2023-08-30T17:50:00Z">
        <w:r w:rsidRPr="009739F6">
          <w:rPr>
            <w:szCs w:val="24"/>
            <w:lang w:eastAsia="zh-CN"/>
          </w:rPr>
          <w:t xml:space="preserve">, </w:t>
        </w:r>
      </w:ins>
      <w:ins w:id="57" w:author="LING-E" w:date="2023-08-31T11:08:00Z">
        <w:r w:rsidR="00B631A3" w:rsidRPr="003A2590">
          <w:rPr>
            <w:rFonts w:eastAsia="Calibri"/>
          </w:rPr>
          <w:t xml:space="preserve">including measures based on frequency planning, </w:t>
        </w:r>
        <w:r w:rsidR="00B631A3" w:rsidRPr="003A2590">
          <w:rPr>
            <w:lang w:eastAsia="zh-CN"/>
          </w:rPr>
          <w:t>and, on the basis of these studies, to develop ITU</w:t>
        </w:r>
        <w:r w:rsidR="00B631A3" w:rsidRPr="003A2590">
          <w:rPr>
            <w:lang w:eastAsia="zh-CN"/>
          </w:rPr>
          <w:noBreakHyphen/>
          <w:t>R Recommendations and/or Reports, as appropriate, to assist administrations willing to implement such measures</w:t>
        </w:r>
      </w:ins>
      <w:r w:rsidRPr="003A2590">
        <w:rPr>
          <w:szCs w:val="24"/>
          <w:lang w:eastAsia="zh-CN"/>
        </w:rPr>
        <w:t>;</w:t>
      </w:r>
    </w:p>
    <w:p w14:paraId="5C1B90B0" w14:textId="77777777" w:rsidR="000B1A6C" w:rsidRPr="003A2590" w:rsidRDefault="00344279" w:rsidP="000B1A6C">
      <w:r w:rsidRPr="003A2590">
        <w:t>3</w:t>
      </w:r>
      <w:r w:rsidRPr="003A2590">
        <w:tab/>
        <w:t>to continue providing guidance to ensure that IMT can meet the telecommunication needs of developing countries and rural areas;</w:t>
      </w:r>
    </w:p>
    <w:p w14:paraId="288A86DB" w14:textId="66E0C5F4" w:rsidR="000B1A6C" w:rsidRPr="003A2590" w:rsidRDefault="00344279" w:rsidP="000B1A6C">
      <w:pPr>
        <w:rPr>
          <w:rFonts w:eastAsia="???"/>
        </w:rPr>
      </w:pPr>
      <w:r w:rsidRPr="003A2590">
        <w:rPr>
          <w:rFonts w:eastAsia="???"/>
        </w:rPr>
        <w:t>4</w:t>
      </w:r>
      <w:r w:rsidRPr="003A2590">
        <w:rPr>
          <w:rFonts w:eastAsia="???"/>
        </w:rPr>
        <w:tab/>
        <w:t xml:space="preserve">to include the results of the studies mentioned in </w:t>
      </w:r>
      <w:r w:rsidRPr="003A2590">
        <w:rPr>
          <w:rFonts w:eastAsia="???"/>
          <w:i/>
        </w:rPr>
        <w:t>invites the ITU Radiocommunication Sector</w:t>
      </w:r>
      <w:r w:rsidRPr="003A2590">
        <w:rPr>
          <w:rFonts w:eastAsia="???"/>
        </w:rPr>
        <w:t xml:space="preserve"> above in one or more ITU</w:t>
      </w:r>
      <w:r w:rsidRPr="003A2590">
        <w:rPr>
          <w:rFonts w:eastAsia="???"/>
        </w:rPr>
        <w:noBreakHyphen/>
        <w:t>R Recommendations and Reports, as appropriate</w:t>
      </w:r>
      <w:del w:id="58" w:author="Turnbull, Karen" w:date="2023-08-30T17:50:00Z">
        <w:r w:rsidRPr="003A2590" w:rsidDel="00344279">
          <w:rPr>
            <w:rFonts w:eastAsia="???"/>
          </w:rPr>
          <w:delText>,</w:delText>
        </w:r>
      </w:del>
      <w:ins w:id="59" w:author="Turnbull, Karen" w:date="2023-08-30T17:50:00Z">
        <w:r w:rsidRPr="003A2590">
          <w:rPr>
            <w:rFonts w:eastAsia="???"/>
          </w:rPr>
          <w:t>.</w:t>
        </w:r>
      </w:ins>
    </w:p>
    <w:p w14:paraId="65644E02" w14:textId="35172C44" w:rsidR="000B1A6C" w:rsidRPr="003A2590" w:rsidDel="00344279" w:rsidRDefault="00344279" w:rsidP="000B1A6C">
      <w:pPr>
        <w:pStyle w:val="Call"/>
        <w:rPr>
          <w:del w:id="60" w:author="Turnbull, Karen" w:date="2023-08-30T17:50:00Z"/>
          <w:lang w:eastAsia="zh-CN"/>
        </w:rPr>
      </w:pPr>
      <w:del w:id="61" w:author="Turnbull, Karen" w:date="2023-08-30T17:50:00Z">
        <w:r w:rsidRPr="003A2590" w:rsidDel="00344279">
          <w:rPr>
            <w:lang w:eastAsia="zh-CN"/>
          </w:rPr>
          <w:delText>invites the 2023 World Radiocommunication Conference</w:delText>
        </w:r>
      </w:del>
    </w:p>
    <w:p w14:paraId="54118362" w14:textId="4AA816A9" w:rsidR="000B1A6C" w:rsidRPr="003A2590" w:rsidDel="00344279" w:rsidRDefault="00344279" w:rsidP="000B1A6C">
      <w:pPr>
        <w:rPr>
          <w:del w:id="62" w:author="Turnbull, Karen" w:date="2023-08-30T17:50:00Z"/>
          <w:rFonts w:eastAsia="???"/>
        </w:rPr>
      </w:pPr>
      <w:del w:id="63" w:author="Turnbull, Karen" w:date="2023-08-30T17:50:00Z">
        <w:r w:rsidRPr="003A2590" w:rsidDel="00344279">
          <w:rPr>
            <w:szCs w:val="24"/>
            <w:lang w:eastAsia="zh-CN"/>
          </w:rPr>
          <w:delText xml:space="preserve">to consider, based on the results of the studies referred to in </w:delText>
        </w:r>
        <w:r w:rsidRPr="003A2590" w:rsidDel="00344279">
          <w:rPr>
            <w:i/>
            <w:iCs/>
            <w:szCs w:val="24"/>
            <w:lang w:eastAsia="zh-CN"/>
          </w:rPr>
          <w:delText>invites the ITU Radiocommunication Sector</w:delText>
        </w:r>
        <w:r w:rsidRPr="003A2590" w:rsidDel="00344279">
          <w:rPr>
            <w:szCs w:val="24"/>
            <w:lang w:eastAsia="zh-CN"/>
          </w:rPr>
          <w:delText xml:space="preserve"> above, possible</w:delText>
        </w:r>
        <w:r w:rsidRPr="003A2590" w:rsidDel="00344279">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3A2590" w:rsidDel="00344279">
          <w:rPr>
            <w:b/>
            <w:bCs/>
          </w:rPr>
          <w:delText>5.441B</w:delText>
        </w:r>
        <w:r w:rsidRPr="003A2590" w:rsidDel="00344279">
          <w:delText>.</w:delText>
        </w:r>
      </w:del>
    </w:p>
    <w:p w14:paraId="3EEA2C94" w14:textId="58372E30" w:rsidR="007E6EA6" w:rsidRDefault="00344279">
      <w:pPr>
        <w:pStyle w:val="Reasons"/>
      </w:pPr>
      <w:r w:rsidRPr="003A2590">
        <w:rPr>
          <w:b/>
        </w:rPr>
        <w:t>Reasons:</w:t>
      </w:r>
      <w:r w:rsidRPr="003A2590">
        <w:tab/>
      </w:r>
      <w:r w:rsidR="00B631A3" w:rsidRPr="003A2590">
        <w:t xml:space="preserve">To make the necessary amendments to the relevant parts of Resolution </w:t>
      </w:r>
      <w:r w:rsidR="00B631A3" w:rsidRPr="003A2590">
        <w:rPr>
          <w:b/>
          <w:bCs/>
        </w:rPr>
        <w:t>223 (</w:t>
      </w:r>
      <w:r w:rsidR="00640AA4" w:rsidRPr="003A2590">
        <w:rPr>
          <w:b/>
          <w:bCs/>
        </w:rPr>
        <w:t>Rev.</w:t>
      </w:r>
      <w:r w:rsidR="00B631A3" w:rsidRPr="003A2590">
        <w:rPr>
          <w:b/>
          <w:bCs/>
        </w:rPr>
        <w:t>WRC</w:t>
      </w:r>
      <w:r w:rsidR="003A2590" w:rsidRPr="003A2590">
        <w:rPr>
          <w:b/>
          <w:bCs/>
        </w:rPr>
        <w:noBreakHyphen/>
      </w:r>
      <w:r w:rsidR="00B631A3" w:rsidRPr="003A2590">
        <w:rPr>
          <w:b/>
          <w:bCs/>
        </w:rPr>
        <w:t>19)</w:t>
      </w:r>
      <w:r w:rsidR="00B631A3" w:rsidRPr="003A2590">
        <w:t xml:space="preserve"> to bring it in line with the proposal made</w:t>
      </w:r>
      <w:r w:rsidRPr="003A2590">
        <w:t>.</w:t>
      </w:r>
    </w:p>
    <w:p w14:paraId="077B74E7" w14:textId="77777777" w:rsidR="003A2590" w:rsidRDefault="003A2590" w:rsidP="003A2590"/>
    <w:p w14:paraId="68C77365" w14:textId="77777777" w:rsidR="003A2590" w:rsidRDefault="003A2590" w:rsidP="003A2590"/>
    <w:p w14:paraId="3DC32DCE" w14:textId="5CBDF987" w:rsidR="003A2590" w:rsidRPr="00B631A3" w:rsidRDefault="003A2590" w:rsidP="003A2590">
      <w:pPr>
        <w:jc w:val="center"/>
      </w:pPr>
      <w:r>
        <w:t>______________</w:t>
      </w:r>
    </w:p>
    <w:sectPr w:rsidR="003A2590" w:rsidRPr="00B631A3">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57F0" w14:textId="77777777" w:rsidR="00F85B31" w:rsidRDefault="00F85B31">
      <w:r>
        <w:separator/>
      </w:r>
    </w:p>
  </w:endnote>
  <w:endnote w:type="continuationSeparator" w:id="0">
    <w:p w14:paraId="71FFFE2A" w14:textId="77777777" w:rsidR="00F85B31" w:rsidRDefault="00F8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03E6" w14:textId="77777777" w:rsidR="00E45D05" w:rsidRDefault="00E45D05">
    <w:pPr>
      <w:framePr w:wrap="around" w:vAnchor="text" w:hAnchor="margin" w:xAlign="right" w:y="1"/>
    </w:pPr>
    <w:r>
      <w:fldChar w:fldCharType="begin"/>
    </w:r>
    <w:r>
      <w:instrText xml:space="preserve">PAGE  </w:instrText>
    </w:r>
    <w:r>
      <w:fldChar w:fldCharType="end"/>
    </w:r>
  </w:p>
  <w:p w14:paraId="4FC53E95" w14:textId="06BBD35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373A3">
      <w:rPr>
        <w:noProof/>
      </w:rPr>
      <w:t>01.09.23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4630" w14:textId="377AD592" w:rsidR="00E45D05" w:rsidRPr="00764999" w:rsidRDefault="00E45D05" w:rsidP="009B1EA1">
    <w:pPr>
      <w:pStyle w:val="Footer"/>
      <w:rPr>
        <w:lang w:val="pt-PT"/>
      </w:rPr>
    </w:pPr>
    <w:r>
      <w:fldChar w:fldCharType="begin"/>
    </w:r>
    <w:r w:rsidRPr="00764999">
      <w:rPr>
        <w:lang w:val="pt-PT"/>
      </w:rPr>
      <w:instrText xml:space="preserve"> FILENAME \p  \* MERGEFORMAT </w:instrText>
    </w:r>
    <w:r>
      <w:fldChar w:fldCharType="separate"/>
    </w:r>
    <w:r w:rsidR="00873C25" w:rsidRPr="00764999">
      <w:rPr>
        <w:lang w:val="pt-PT"/>
      </w:rPr>
      <w:t>P:\ENG\ITU-R\CONF-R\CMR23\000\059ADD01E.docx</w:t>
    </w:r>
    <w:r>
      <w:fldChar w:fldCharType="end"/>
    </w:r>
    <w:r w:rsidR="00A621EE" w:rsidRPr="00764999">
      <w:rPr>
        <w:lang w:val="pt-PT"/>
      </w:rPr>
      <w:t xml:space="preserve"> (527290)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C6B4" w14:textId="6B97401D" w:rsidR="00A621EE" w:rsidRPr="00764999" w:rsidRDefault="00A621EE" w:rsidP="00A621EE">
    <w:pPr>
      <w:pStyle w:val="Footer"/>
      <w:rPr>
        <w:lang w:val="pt-PT"/>
      </w:rPr>
    </w:pPr>
    <w:r>
      <w:fldChar w:fldCharType="begin"/>
    </w:r>
    <w:r w:rsidRPr="00764999">
      <w:rPr>
        <w:lang w:val="pt-PT"/>
      </w:rPr>
      <w:instrText xml:space="preserve"> FILENAME \p  \* MERGEFORMAT </w:instrText>
    </w:r>
    <w:r>
      <w:fldChar w:fldCharType="separate"/>
    </w:r>
    <w:r w:rsidR="00873C25" w:rsidRPr="00764999">
      <w:rPr>
        <w:lang w:val="pt-PT"/>
      </w:rPr>
      <w:t>P:\ENG\ITU-R\CONF-R\CMR23\000\059ADD01E.docx</w:t>
    </w:r>
    <w:r>
      <w:fldChar w:fldCharType="end"/>
    </w:r>
    <w:r w:rsidRPr="00764999">
      <w:rPr>
        <w:lang w:val="pt-PT"/>
      </w:rPr>
      <w:t xml:space="preserve"> (527290)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F76E" w14:textId="77777777" w:rsidR="00F85B31" w:rsidRDefault="00F85B31">
      <w:r>
        <w:rPr>
          <w:b/>
        </w:rPr>
        <w:t>_______________</w:t>
      </w:r>
    </w:p>
  </w:footnote>
  <w:footnote w:type="continuationSeparator" w:id="0">
    <w:p w14:paraId="2D80C2C1" w14:textId="77777777" w:rsidR="00F85B31" w:rsidRDefault="00F8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ECC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FCC8B3E" w14:textId="77777777" w:rsidR="00A066F1" w:rsidRPr="00A066F1" w:rsidRDefault="00BC75DE" w:rsidP="00241FA2">
    <w:pPr>
      <w:pStyle w:val="Header"/>
    </w:pPr>
    <w:r>
      <w:t>WRC</w:t>
    </w:r>
    <w:r w:rsidR="006D70B0">
      <w:t>23</w:t>
    </w:r>
    <w:r w:rsidR="00A066F1">
      <w:t>/</w:t>
    </w:r>
    <w:bookmarkStart w:id="64" w:name="OLE_LINK1"/>
    <w:bookmarkStart w:id="65" w:name="OLE_LINK2"/>
    <w:bookmarkStart w:id="66" w:name="OLE_LINK3"/>
    <w:r w:rsidR="00EB55C6">
      <w:t>59(Add.1)</w:t>
    </w:r>
    <w:bookmarkEnd w:id="64"/>
    <w:bookmarkEnd w:id="65"/>
    <w:bookmarkEnd w:id="6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7693091">
    <w:abstractNumId w:val="0"/>
  </w:num>
  <w:num w:numId="2" w16cid:durableId="15603655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uld, Carine">
    <w15:presenceInfo w15:providerId="AD" w15:userId="S::carine.arnould@itu.int::78f9a7fe-85d5-4eee-80c9-a015ea21faa7"/>
  </w15:person>
  <w15:person w15:author="I.T.U.">
    <w15:presenceInfo w15:providerId="None" w15:userId="I.T.U."/>
  </w15:person>
  <w15:person w15:author="Turnbull, Karen">
    <w15:presenceInfo w15:providerId="None" w15:userId="Turnbull, Karen"/>
  </w15:person>
  <w15:person w15:author="LING-E">
    <w15:presenceInfo w15:providerId="None" w15:userId="LING-E"/>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2D35"/>
    <w:rsid w:val="000355FD"/>
    <w:rsid w:val="000429BB"/>
    <w:rsid w:val="00051E39"/>
    <w:rsid w:val="000705F2"/>
    <w:rsid w:val="00077239"/>
    <w:rsid w:val="0007795D"/>
    <w:rsid w:val="00082559"/>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E7FB4"/>
    <w:rsid w:val="002F4747"/>
    <w:rsid w:val="00302605"/>
    <w:rsid w:val="003065B3"/>
    <w:rsid w:val="00344279"/>
    <w:rsid w:val="00361B37"/>
    <w:rsid w:val="00377BD3"/>
    <w:rsid w:val="00384088"/>
    <w:rsid w:val="0038479F"/>
    <w:rsid w:val="003852CE"/>
    <w:rsid w:val="0039169B"/>
    <w:rsid w:val="003A2590"/>
    <w:rsid w:val="003A7F8C"/>
    <w:rsid w:val="003B2284"/>
    <w:rsid w:val="003B532E"/>
    <w:rsid w:val="003D0F8B"/>
    <w:rsid w:val="003E0DB6"/>
    <w:rsid w:val="0041348E"/>
    <w:rsid w:val="00420873"/>
    <w:rsid w:val="00452FB1"/>
    <w:rsid w:val="00492075"/>
    <w:rsid w:val="004969AD"/>
    <w:rsid w:val="004A26C4"/>
    <w:rsid w:val="004B13CB"/>
    <w:rsid w:val="004D26EA"/>
    <w:rsid w:val="004D2BFB"/>
    <w:rsid w:val="004D5D5C"/>
    <w:rsid w:val="004E301B"/>
    <w:rsid w:val="004F3DC0"/>
    <w:rsid w:val="0050139F"/>
    <w:rsid w:val="0055140B"/>
    <w:rsid w:val="005861D7"/>
    <w:rsid w:val="005964AB"/>
    <w:rsid w:val="005A1D5E"/>
    <w:rsid w:val="005C099A"/>
    <w:rsid w:val="005C2AF1"/>
    <w:rsid w:val="005C31A5"/>
    <w:rsid w:val="005D3295"/>
    <w:rsid w:val="005E10C9"/>
    <w:rsid w:val="005E290B"/>
    <w:rsid w:val="005E61DD"/>
    <w:rsid w:val="005F04D8"/>
    <w:rsid w:val="00600F9C"/>
    <w:rsid w:val="006023DF"/>
    <w:rsid w:val="00615426"/>
    <w:rsid w:val="00616219"/>
    <w:rsid w:val="00640AA4"/>
    <w:rsid w:val="00645B7D"/>
    <w:rsid w:val="00657DE0"/>
    <w:rsid w:val="00685313"/>
    <w:rsid w:val="00692833"/>
    <w:rsid w:val="006A6E9B"/>
    <w:rsid w:val="006B7C2A"/>
    <w:rsid w:val="006C23DA"/>
    <w:rsid w:val="006D1FBA"/>
    <w:rsid w:val="006D70B0"/>
    <w:rsid w:val="006E3D45"/>
    <w:rsid w:val="006F6789"/>
    <w:rsid w:val="0070607A"/>
    <w:rsid w:val="007149F9"/>
    <w:rsid w:val="00733A30"/>
    <w:rsid w:val="007365C7"/>
    <w:rsid w:val="007373A3"/>
    <w:rsid w:val="00742DC2"/>
    <w:rsid w:val="00745AEE"/>
    <w:rsid w:val="007507D6"/>
    <w:rsid w:val="00750F10"/>
    <w:rsid w:val="00764999"/>
    <w:rsid w:val="00765331"/>
    <w:rsid w:val="007742CA"/>
    <w:rsid w:val="00790D70"/>
    <w:rsid w:val="007A6F1F"/>
    <w:rsid w:val="007D3413"/>
    <w:rsid w:val="007D5320"/>
    <w:rsid w:val="007E6EA6"/>
    <w:rsid w:val="00800972"/>
    <w:rsid w:val="00804475"/>
    <w:rsid w:val="00811633"/>
    <w:rsid w:val="00814037"/>
    <w:rsid w:val="008405DC"/>
    <w:rsid w:val="00841216"/>
    <w:rsid w:val="00842AF0"/>
    <w:rsid w:val="008527A4"/>
    <w:rsid w:val="00855BBC"/>
    <w:rsid w:val="0086171E"/>
    <w:rsid w:val="00872FC8"/>
    <w:rsid w:val="00873C25"/>
    <w:rsid w:val="008845D0"/>
    <w:rsid w:val="00884D60"/>
    <w:rsid w:val="00896E56"/>
    <w:rsid w:val="008A381B"/>
    <w:rsid w:val="008B43F2"/>
    <w:rsid w:val="008B626B"/>
    <w:rsid w:val="008B6CFF"/>
    <w:rsid w:val="008D1BB4"/>
    <w:rsid w:val="008E05DA"/>
    <w:rsid w:val="009274B4"/>
    <w:rsid w:val="00934EA2"/>
    <w:rsid w:val="009440AF"/>
    <w:rsid w:val="00944A5C"/>
    <w:rsid w:val="00952A66"/>
    <w:rsid w:val="009739F6"/>
    <w:rsid w:val="009B1EA1"/>
    <w:rsid w:val="009B3130"/>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21EE"/>
    <w:rsid w:val="00A710E7"/>
    <w:rsid w:val="00A7372E"/>
    <w:rsid w:val="00A800ED"/>
    <w:rsid w:val="00A8284C"/>
    <w:rsid w:val="00A93B85"/>
    <w:rsid w:val="00AA0B18"/>
    <w:rsid w:val="00AA12DF"/>
    <w:rsid w:val="00AA3C65"/>
    <w:rsid w:val="00AA666F"/>
    <w:rsid w:val="00AD7914"/>
    <w:rsid w:val="00AE4C7E"/>
    <w:rsid w:val="00AE514B"/>
    <w:rsid w:val="00B40888"/>
    <w:rsid w:val="00B631A3"/>
    <w:rsid w:val="00B639E9"/>
    <w:rsid w:val="00B817CD"/>
    <w:rsid w:val="00B81A7D"/>
    <w:rsid w:val="00B91EF7"/>
    <w:rsid w:val="00B93726"/>
    <w:rsid w:val="00B94AD0"/>
    <w:rsid w:val="00BB3A95"/>
    <w:rsid w:val="00BC75DE"/>
    <w:rsid w:val="00BD6CCE"/>
    <w:rsid w:val="00C0018F"/>
    <w:rsid w:val="00C16A5A"/>
    <w:rsid w:val="00C20466"/>
    <w:rsid w:val="00C214ED"/>
    <w:rsid w:val="00C234E6"/>
    <w:rsid w:val="00C324A8"/>
    <w:rsid w:val="00C54517"/>
    <w:rsid w:val="00C56F70"/>
    <w:rsid w:val="00C57179"/>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A58B5"/>
    <w:rsid w:val="00DC55EC"/>
    <w:rsid w:val="00DD44AF"/>
    <w:rsid w:val="00DE2AC3"/>
    <w:rsid w:val="00DE5692"/>
    <w:rsid w:val="00DE6300"/>
    <w:rsid w:val="00DF4BC6"/>
    <w:rsid w:val="00DF78E0"/>
    <w:rsid w:val="00DF7B98"/>
    <w:rsid w:val="00E03C94"/>
    <w:rsid w:val="00E205BC"/>
    <w:rsid w:val="00E26226"/>
    <w:rsid w:val="00E266DA"/>
    <w:rsid w:val="00E45D05"/>
    <w:rsid w:val="00E55816"/>
    <w:rsid w:val="00E55AEF"/>
    <w:rsid w:val="00E93CE3"/>
    <w:rsid w:val="00E976C1"/>
    <w:rsid w:val="00EA12E5"/>
    <w:rsid w:val="00EB0812"/>
    <w:rsid w:val="00EB54B2"/>
    <w:rsid w:val="00EB55C6"/>
    <w:rsid w:val="00EF1932"/>
    <w:rsid w:val="00EF71B6"/>
    <w:rsid w:val="00F02766"/>
    <w:rsid w:val="00F05BD4"/>
    <w:rsid w:val="00F06473"/>
    <w:rsid w:val="00F071F0"/>
    <w:rsid w:val="00F320AA"/>
    <w:rsid w:val="00F36E94"/>
    <w:rsid w:val="00F6155B"/>
    <w:rsid w:val="00F65C19"/>
    <w:rsid w:val="00F822B0"/>
    <w:rsid w:val="00F85B31"/>
    <w:rsid w:val="00FD03E8"/>
    <w:rsid w:val="00FD08E2"/>
    <w:rsid w:val="00FD18DA"/>
    <w:rsid w:val="00FD2546"/>
    <w:rsid w:val="00FD772E"/>
    <w:rsid w:val="00FE03DB"/>
    <w:rsid w:val="00FE4F9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A0A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locked/>
    <w:rsid w:val="00A621EE"/>
    <w:rPr>
      <w:rFonts w:ascii="Times New Roman" w:hAnsi="Times New Roman"/>
      <w:sz w:val="24"/>
      <w:lang w:val="en-GB" w:eastAsia="en-US"/>
    </w:rPr>
  </w:style>
  <w:style w:type="paragraph" w:styleId="Revision">
    <w:name w:val="Revision"/>
    <w:hidden/>
    <w:uiPriority w:val="99"/>
    <w:semiHidden/>
    <w:rsid w:val="00A621EE"/>
    <w:rPr>
      <w:rFonts w:ascii="Times New Roman" w:hAnsi="Times New Roman"/>
      <w:sz w:val="24"/>
      <w:lang w:val="en-GB" w:eastAsia="en-US"/>
    </w:rPr>
  </w:style>
  <w:style w:type="character" w:styleId="CommentReference">
    <w:name w:val="annotation reference"/>
    <w:basedOn w:val="DefaultParagraphFont"/>
    <w:semiHidden/>
    <w:unhideWhenUsed/>
    <w:rsid w:val="00A800ED"/>
    <w:rPr>
      <w:sz w:val="16"/>
      <w:szCs w:val="16"/>
    </w:rPr>
  </w:style>
  <w:style w:type="paragraph" w:styleId="CommentText">
    <w:name w:val="annotation text"/>
    <w:basedOn w:val="Normal"/>
    <w:link w:val="CommentTextChar"/>
    <w:unhideWhenUsed/>
    <w:rsid w:val="00A800ED"/>
    <w:rPr>
      <w:sz w:val="20"/>
    </w:rPr>
  </w:style>
  <w:style w:type="character" w:customStyle="1" w:styleId="CommentTextChar">
    <w:name w:val="Comment Text Char"/>
    <w:basedOn w:val="DefaultParagraphFont"/>
    <w:link w:val="CommentText"/>
    <w:rsid w:val="00A800E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800ED"/>
    <w:rPr>
      <w:b/>
      <w:bCs/>
    </w:rPr>
  </w:style>
  <w:style w:type="character" w:customStyle="1" w:styleId="CommentSubjectChar">
    <w:name w:val="Comment Subject Char"/>
    <w:basedOn w:val="CommentTextChar"/>
    <w:link w:val="CommentSubject"/>
    <w:semiHidden/>
    <w:rsid w:val="00A800E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26776">
      <w:bodyDiv w:val="1"/>
      <w:marLeft w:val="0"/>
      <w:marRight w:val="0"/>
      <w:marTop w:val="0"/>
      <w:marBottom w:val="0"/>
      <w:divBdr>
        <w:top w:val="none" w:sz="0" w:space="0" w:color="auto"/>
        <w:left w:val="none" w:sz="0" w:space="0" w:color="auto"/>
        <w:bottom w:val="none" w:sz="0" w:space="0" w:color="auto"/>
        <w:right w:val="none" w:sz="0" w:space="0" w:color="auto"/>
      </w:divBdr>
    </w:div>
    <w:div w:id="13713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R23-WRC23-C-0059!A1!MSW-E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0" ma:contentTypeDescription="Create a new document." ma:contentTypeScope="" ma:versionID="3bafcd703d95cb5938c6be79da38aa1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aff83018aea8554ec6ea0b273521345f"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8BEAA7-D706-4C6B-A66D-659F3DD0613F}">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BF398B86-87FB-4CAA-8CF9-066460D8D014}">
  <ds:schemaRefs>
    <ds:schemaRef ds:uri="http://schemas.openxmlformats.org/officeDocument/2006/bibliography"/>
  </ds:schemaRefs>
</ds:datastoreItem>
</file>

<file path=customXml/itemProps3.xml><?xml version="1.0" encoding="utf-8"?>
<ds:datastoreItem xmlns:ds="http://schemas.openxmlformats.org/officeDocument/2006/customXml" ds:itemID="{888A79DE-24D1-420A-AF40-0789B7574FB6}">
  <ds:schemaRefs>
    <ds:schemaRef ds:uri="http://schemas.microsoft.com/sharepoint/v3/contenttype/forms"/>
  </ds:schemaRefs>
</ds:datastoreItem>
</file>

<file path=customXml/itemProps4.xml><?xml version="1.0" encoding="utf-8"?>
<ds:datastoreItem xmlns:ds="http://schemas.openxmlformats.org/officeDocument/2006/customXml" ds:itemID="{C5850EC8-19F3-4BB3-A404-5A67BD5B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319E08-3D8C-411B-83A5-0F9C9E67C2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R23-WRC23-C-0059!A1!MSW-E</vt:lpstr>
    </vt:vector>
  </TitlesOfParts>
  <Manager>General Secretariat - Pool</Manager>
  <Company>International Telecommunication Union (ITU)</Company>
  <LinksUpToDate>false</LinksUpToDate>
  <CharactersWithSpaces>11526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R23-WRC23-C-0059!A1!MSW-E</dc:title>
  <dc:subject>World Radiocommunication Conference - 2023</dc:subject>
  <dc:creator>Documents Proposals Manager (DPM)</dc:creator>
  <cp:keywords>DPM_v2023.8.1.1_prod</cp:keywords>
  <dc:description>Uploaded on 2015.07.06</dc:description>
  <cp:lastModifiedBy>Arnould, Carine</cp:lastModifiedBy>
  <cp:revision>13</cp:revision>
  <cp:lastPrinted>2017-02-10T08:23:00Z</cp:lastPrinted>
  <dcterms:created xsi:type="dcterms:W3CDTF">2023-09-01T18:22:00Z</dcterms:created>
  <dcterms:modified xsi:type="dcterms:W3CDTF">2023-09-04T08:48:00Z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