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11092C5D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7ED22A26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D74FBA5" wp14:editId="7BE6A3AF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5FA7FA30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4A35E7C4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A2259FF" wp14:editId="72E37B5A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6AB4E52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7F79D5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15AE25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EBC8E35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4E88AA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81B69F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12653E" w:rsidRPr="000D1EE4" w14:paraId="0E43CD8F" w14:textId="77777777" w:rsidTr="0046227A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2A8558E" w14:textId="77777777" w:rsidR="0012653E" w:rsidRPr="00505B26" w:rsidRDefault="0012653E" w:rsidP="0012653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  <w:vAlign w:val="center"/>
          </w:tcPr>
          <w:p w14:paraId="4EE6FB4E" w14:textId="4E7B226D" w:rsidR="0012653E" w:rsidRPr="00C96850" w:rsidRDefault="0012653E" w:rsidP="0012653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96850">
              <w:rPr>
                <w:b/>
                <w:bCs/>
                <w:rtl/>
              </w:rPr>
              <w:t xml:space="preserve">الوثيقة </w:t>
            </w:r>
            <w:r w:rsidRPr="00C96850">
              <w:rPr>
                <w:b/>
                <w:bCs/>
              </w:rPr>
              <w:t>57-A</w:t>
            </w:r>
          </w:p>
        </w:tc>
      </w:tr>
      <w:tr w:rsidR="0012653E" w:rsidRPr="000D1EE4" w14:paraId="435738A2" w14:textId="77777777" w:rsidTr="0046227A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A31A1D7" w14:textId="77777777" w:rsidR="0012653E" w:rsidRPr="000D1EE4" w:rsidRDefault="0012653E" w:rsidP="0012653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D1AAC77" w14:textId="2F007948" w:rsidR="0012653E" w:rsidRPr="00C96850" w:rsidRDefault="0012653E" w:rsidP="0012653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96850">
              <w:rPr>
                <w:b/>
                <w:bCs/>
              </w:rPr>
              <w:t>21</w:t>
            </w:r>
            <w:r w:rsidRPr="00C96850">
              <w:rPr>
                <w:b/>
                <w:bCs/>
                <w:rtl/>
              </w:rPr>
              <w:t xml:space="preserve"> سبتمبر </w:t>
            </w:r>
            <w:r w:rsidRPr="00C96850">
              <w:rPr>
                <w:b/>
                <w:bCs/>
              </w:rPr>
              <w:t>23</w:t>
            </w:r>
          </w:p>
        </w:tc>
      </w:tr>
      <w:tr w:rsidR="0012653E" w:rsidRPr="000D1EE4" w14:paraId="6D51D7A6" w14:textId="77777777" w:rsidTr="0046227A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4246BCF" w14:textId="77777777" w:rsidR="0012653E" w:rsidRPr="000D1EE4" w:rsidRDefault="0012653E" w:rsidP="0012653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4488638" w14:textId="7C562450" w:rsidR="0012653E" w:rsidRPr="00C96850" w:rsidRDefault="0012653E" w:rsidP="0012653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96850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41395ABC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7CAFC2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37966D6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505AB909" w14:textId="6120EC6E" w:rsidR="000D1EE4" w:rsidRPr="000D1EE4" w:rsidRDefault="0012653E" w:rsidP="0012653E">
            <w:pPr>
              <w:pStyle w:val="Source"/>
              <w:rPr>
                <w:rtl/>
                <w:lang w:bidi="ar-SA"/>
              </w:rPr>
            </w:pPr>
            <w:r w:rsidRPr="0012653E">
              <w:rPr>
                <w:rtl/>
                <w:lang w:bidi="ar-SA"/>
              </w:rPr>
              <w:t>مذكرة من الأمين</w:t>
            </w:r>
            <w:r w:rsidRPr="0012653E">
              <w:rPr>
                <w:rFonts w:hint="cs"/>
                <w:rtl/>
                <w:lang w:bidi="ar-SA"/>
              </w:rPr>
              <w:t>ة</w:t>
            </w:r>
            <w:r w:rsidRPr="0012653E">
              <w:rPr>
                <w:rtl/>
                <w:lang w:bidi="ar-SA"/>
              </w:rPr>
              <w:t xml:space="preserve"> العام</w:t>
            </w:r>
            <w:r w:rsidRPr="0012653E">
              <w:rPr>
                <w:rFonts w:hint="cs"/>
                <w:rtl/>
                <w:lang w:bidi="ar-SA"/>
              </w:rPr>
              <w:t>ة</w:t>
            </w:r>
          </w:p>
        </w:tc>
      </w:tr>
      <w:tr w:rsidR="000D1EE4" w:rsidRPr="000D1EE4" w14:paraId="583AEEB7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36AEE0B" w14:textId="00D75339" w:rsidR="000D1EE4" w:rsidRPr="000D1EE4" w:rsidRDefault="0012653E" w:rsidP="0012653E">
            <w:pPr>
              <w:pStyle w:val="Title1"/>
              <w:rPr>
                <w:rtl/>
              </w:rPr>
            </w:pPr>
            <w:r w:rsidRPr="0012653E">
              <w:rPr>
                <w:rtl/>
                <w:lang w:bidi="ar-SA"/>
              </w:rPr>
              <w:t xml:space="preserve">القواعد العامة للمؤتمرات </w:t>
            </w:r>
            <w:r w:rsidRPr="0012653E">
              <w:br/>
            </w:r>
            <w:r w:rsidRPr="0012653E">
              <w:rPr>
                <w:rtl/>
                <w:lang w:bidi="ar-SA"/>
              </w:rPr>
              <w:t>واستعمال الوسائل</w:t>
            </w:r>
            <w:r w:rsidRPr="0012653E">
              <w:rPr>
                <w:rFonts w:hint="cs"/>
                <w:rtl/>
                <w:lang w:bidi="ar-SA"/>
              </w:rPr>
              <w:t xml:space="preserve"> السمعية</w:t>
            </w:r>
            <w:r w:rsidRPr="0012653E">
              <w:rPr>
                <w:rtl/>
                <w:lang w:bidi="ar-SA"/>
              </w:rPr>
              <w:t xml:space="preserve"> البصرية</w:t>
            </w:r>
          </w:p>
        </w:tc>
      </w:tr>
      <w:tr w:rsidR="000D1EE4" w:rsidRPr="000D1EE4" w14:paraId="50274449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7E4D0B3" w14:textId="7492F7F8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</w:tbl>
    <w:p w14:paraId="771D3E88" w14:textId="177EBEAE" w:rsidR="0012653E" w:rsidRPr="00621D14" w:rsidRDefault="0012653E" w:rsidP="0012653E">
      <w:pPr>
        <w:pStyle w:val="Normalaftertitle"/>
        <w:spacing w:before="0"/>
        <w:rPr>
          <w:lang w:bidi="ar-EG"/>
        </w:rPr>
      </w:pPr>
      <w:bookmarkStart w:id="0" w:name="dsource" w:colFirst="0" w:colLast="0"/>
      <w:r w:rsidRPr="00621D14">
        <w:rPr>
          <w:rtl/>
        </w:rPr>
        <w:t xml:space="preserve">يُسترعى الانتباه إلى القواعد العامة لمؤتمرات الاتحاد وجمعياته واجتماعاته (الواردة في منشور الاتحاد </w:t>
      </w:r>
      <w:r w:rsidRPr="00621D14">
        <w:rPr>
          <w:rtl/>
          <w:lang w:bidi="ar-EG"/>
        </w:rPr>
        <w:t>"</w:t>
      </w:r>
      <w:hyperlink r:id="rId14" w:history="1">
        <w:r w:rsidRPr="00621D14">
          <w:rPr>
            <w:rStyle w:val="Hyperlink"/>
            <w:rtl/>
          </w:rPr>
          <w:t>مجموع</w:t>
        </w:r>
      </w:hyperlink>
      <w:r w:rsidRPr="00621D14">
        <w:rPr>
          <w:rStyle w:val="Hyperlink"/>
          <w:rtl/>
        </w:rPr>
        <w:t>ة النصوص الأساسية للاتحاد الدولي للاتصالات (طبعة 2023)</w:t>
      </w:r>
      <w:r w:rsidRPr="00621D14">
        <w:rPr>
          <w:rtl/>
          <w:lang w:bidi="ar-EG"/>
        </w:rPr>
        <w:t xml:space="preserve">)"، فضلاً عن الوثيقة </w:t>
      </w:r>
      <w:hyperlink r:id="rId15" w:history="1">
        <w:r w:rsidRPr="00621D14">
          <w:rPr>
            <w:rStyle w:val="Hyperlink"/>
            <w:szCs w:val="24"/>
          </w:rPr>
          <w:t>WRC-23/56</w:t>
        </w:r>
      </w:hyperlink>
      <w:r w:rsidRPr="00621D14">
        <w:rPr>
          <w:rtl/>
          <w:lang w:bidi="ar-EG"/>
        </w:rPr>
        <w:t xml:space="preserve"> التي تتضمن تفاصيل بشأن مشاركة المراقبين وفقاً للقرار 145 (أنطاليا، 2006). ويرجى من المشاركين في المؤتمر تذكّر أن الأحكام المذكورة آنفاً ستطبَّق خلال جلسات المؤتمر.</w:t>
      </w:r>
    </w:p>
    <w:p w14:paraId="37F4DD32" w14:textId="77777777" w:rsidR="0012653E" w:rsidRPr="0016721C" w:rsidRDefault="0012653E" w:rsidP="001265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وعلاوة على ذلك، لتيسير تطبيق القواعد المذكورة، ستوفر أمانة المؤتمر للوفود والمراقبين، حسب الاقتضاء، ببعض الوسائل السمعية البصرية </w:t>
      </w:r>
      <w:r w:rsidRPr="0016721C">
        <w:rPr>
          <w:rtl/>
          <w:lang w:bidi="ar-EG"/>
        </w:rPr>
        <w:t>المخصصة للاستعمال على النحو التالي:</w:t>
      </w:r>
    </w:p>
    <w:p w14:paraId="47D68F52" w14:textId="77777777" w:rsidR="0012653E" w:rsidRPr="0016721C" w:rsidRDefault="0012653E" w:rsidP="0012653E">
      <w:pPr>
        <w:pStyle w:val="enumlev10"/>
        <w:rPr>
          <w:rFonts w:ascii="Dubai" w:hAnsi="Dubai" w:cs="Dubai"/>
          <w:szCs w:val="22"/>
          <w:rtl/>
        </w:rPr>
      </w:pPr>
      <w:r w:rsidRPr="0016721C">
        <w:rPr>
          <w:rFonts w:ascii="Dubai" w:hAnsi="Dubai" w:cs="Dubai"/>
          <w:szCs w:val="22"/>
          <w:rtl/>
        </w:rPr>
        <w:t>-</w:t>
      </w:r>
      <w:r w:rsidRPr="0016721C">
        <w:rPr>
          <w:rFonts w:ascii="Dubai" w:hAnsi="Dubai" w:cs="Dubai"/>
          <w:szCs w:val="22"/>
          <w:rtl/>
        </w:rPr>
        <w:tab/>
      </w:r>
      <w:r>
        <w:rPr>
          <w:rFonts w:ascii="Dubai" w:hAnsi="Dubai" w:cs="Dubai" w:hint="cs"/>
          <w:szCs w:val="22"/>
          <w:rtl/>
        </w:rPr>
        <w:t>ستتم</w:t>
      </w:r>
      <w:r w:rsidRPr="0016721C">
        <w:rPr>
          <w:rFonts w:ascii="Dubai" w:hAnsi="Dubai" w:cs="Dubai"/>
          <w:szCs w:val="22"/>
          <w:rtl/>
          <w:lang w:bidi="ar"/>
        </w:rPr>
        <w:t xml:space="preserve"> برمجة الميكروفونات الموجودة في القاعة وتخصيصها </w:t>
      </w:r>
      <w:r w:rsidRPr="0016721C">
        <w:rPr>
          <w:rFonts w:ascii="Dubai" w:hAnsi="Dubai" w:cs="Dubai"/>
          <w:szCs w:val="22"/>
          <w:rtl/>
        </w:rPr>
        <w:t xml:space="preserve">للوفود والمراقبين وفق الخطة المتعلقة </w:t>
      </w:r>
      <w:r>
        <w:rPr>
          <w:rFonts w:ascii="Dubai" w:hAnsi="Dubai" w:cs="Dubai" w:hint="cs"/>
          <w:szCs w:val="22"/>
          <w:rtl/>
        </w:rPr>
        <w:t>بالجلوس</w:t>
      </w:r>
      <w:r>
        <w:rPr>
          <w:rFonts w:ascii="Dubai" w:hAnsi="Dubai" w:cs="Dubai" w:hint="cs"/>
          <w:szCs w:val="22"/>
          <w:rtl/>
          <w:lang w:bidi="ar-SA"/>
        </w:rPr>
        <w:t>، وذلك بغرض ممارستهم لحقوقهم وفقاً لقواعد الاتحاد وإجراءاته</w:t>
      </w:r>
      <w:r w:rsidRPr="0016721C">
        <w:rPr>
          <w:rFonts w:ascii="Dubai" w:hAnsi="Dubai" w:cs="Dubai"/>
          <w:szCs w:val="22"/>
          <w:rtl/>
        </w:rPr>
        <w:t xml:space="preserve">. وفي حال عدم توفر </w:t>
      </w:r>
      <w:r>
        <w:rPr>
          <w:rFonts w:ascii="Dubai" w:hAnsi="Dubai" w:cs="Dubai" w:hint="cs"/>
          <w:szCs w:val="22"/>
          <w:rtl/>
        </w:rPr>
        <w:t>الميكروفونات</w:t>
      </w:r>
      <w:r w:rsidRPr="0016721C">
        <w:rPr>
          <w:rFonts w:ascii="Dubai" w:hAnsi="Dubai" w:cs="Dubai"/>
          <w:szCs w:val="22"/>
          <w:rtl/>
        </w:rPr>
        <w:t xml:space="preserve">، </w:t>
      </w:r>
      <w:r>
        <w:rPr>
          <w:rFonts w:ascii="Dubai" w:hAnsi="Dubai" w:cs="Dubai" w:hint="cs"/>
          <w:szCs w:val="22"/>
          <w:rtl/>
        </w:rPr>
        <w:t>س</w:t>
      </w:r>
      <w:r w:rsidRPr="0016721C">
        <w:rPr>
          <w:rFonts w:ascii="Dubai" w:hAnsi="Dubai" w:cs="Dubai"/>
          <w:szCs w:val="22"/>
          <w:rtl/>
        </w:rPr>
        <w:t>تتاح</w:t>
      </w:r>
      <w:r>
        <w:rPr>
          <w:rFonts w:ascii="Dubai" w:hAnsi="Dubai" w:cs="Dubai" w:hint="cs"/>
          <w:szCs w:val="22"/>
          <w:rtl/>
        </w:rPr>
        <w:t xml:space="preserve"> لنفس الغرض</w:t>
      </w:r>
      <w:r w:rsidRPr="0016721C">
        <w:rPr>
          <w:rFonts w:ascii="Dubai" w:hAnsi="Dubai" w:cs="Dubai"/>
          <w:szCs w:val="22"/>
          <w:rtl/>
        </w:rPr>
        <w:t xml:space="preserve"> لوحات صفراء</w:t>
      </w:r>
      <w:r>
        <w:rPr>
          <w:rFonts w:ascii="Dubai" w:hAnsi="Dubai" w:cs="Dubai" w:hint="cs"/>
          <w:szCs w:val="22"/>
          <w:rtl/>
        </w:rPr>
        <w:t xml:space="preserve"> عريضة</w:t>
      </w:r>
      <w:r w:rsidRPr="0016721C">
        <w:rPr>
          <w:rFonts w:ascii="Dubai" w:hAnsi="Dubai" w:cs="Dubai"/>
          <w:szCs w:val="22"/>
          <w:rtl/>
        </w:rPr>
        <w:t xml:space="preserve"> تحمل رمز البلد/المنظمة/الكيان مطبوعاً باللون الأسود؛</w:t>
      </w:r>
    </w:p>
    <w:p w14:paraId="0D45138F" w14:textId="77777777" w:rsidR="0012653E" w:rsidRPr="0016721C" w:rsidRDefault="0012653E" w:rsidP="0012653E">
      <w:pPr>
        <w:pStyle w:val="enumlev10"/>
        <w:rPr>
          <w:rFonts w:ascii="Dubai" w:hAnsi="Dubai" w:cs="Dubai"/>
          <w:szCs w:val="22"/>
          <w:rtl/>
          <w:lang w:bidi="ar-SA"/>
        </w:rPr>
      </w:pPr>
      <w:r w:rsidRPr="0016721C">
        <w:rPr>
          <w:rFonts w:ascii="Dubai" w:hAnsi="Dubai" w:cs="Dubai"/>
          <w:szCs w:val="22"/>
          <w:rtl/>
        </w:rPr>
        <w:t>-</w:t>
      </w:r>
      <w:r w:rsidRPr="0016721C">
        <w:rPr>
          <w:rFonts w:ascii="Dubai" w:hAnsi="Dubai" w:cs="Dubai"/>
          <w:szCs w:val="22"/>
          <w:rtl/>
        </w:rPr>
        <w:tab/>
        <w:t xml:space="preserve">سيتم </w:t>
      </w:r>
      <w:r>
        <w:rPr>
          <w:rFonts w:ascii="Dubai" w:hAnsi="Dubai" w:cs="Dubai" w:hint="cs"/>
          <w:szCs w:val="22"/>
          <w:rtl/>
        </w:rPr>
        <w:t>توفير</w:t>
      </w:r>
      <w:r w:rsidRPr="0016721C">
        <w:rPr>
          <w:rFonts w:ascii="Dubai" w:hAnsi="Dubai" w:cs="Dubai"/>
          <w:szCs w:val="22"/>
          <w:rtl/>
        </w:rPr>
        <w:t xml:space="preserve"> بطاقات صفراء</w:t>
      </w:r>
      <w:r>
        <w:rPr>
          <w:rFonts w:ascii="Dubai" w:hAnsi="Dubai" w:cs="Dubai" w:hint="cs"/>
          <w:szCs w:val="22"/>
          <w:rtl/>
        </w:rPr>
        <w:t xml:space="preserve"> صغيرة</w:t>
      </w:r>
      <w:r w:rsidRPr="0016721C">
        <w:rPr>
          <w:rFonts w:ascii="Dubai" w:hAnsi="Dubai" w:cs="Dubai"/>
          <w:szCs w:val="22"/>
          <w:rtl/>
        </w:rPr>
        <w:t xml:space="preserve"> تحمل مربعات</w:t>
      </w:r>
      <w:r>
        <w:rPr>
          <w:rFonts w:ascii="Dubai" w:hAnsi="Dubai" w:cs="Dubai" w:hint="cs"/>
          <w:szCs w:val="22"/>
          <w:rtl/>
        </w:rPr>
        <w:t xml:space="preserve"> مطبوعة</w:t>
      </w:r>
      <w:r w:rsidRPr="0016721C">
        <w:rPr>
          <w:rFonts w:ascii="Dubai" w:hAnsi="Dubai" w:cs="Dubai"/>
          <w:szCs w:val="22"/>
          <w:rtl/>
        </w:rPr>
        <w:t xml:space="preserve"> باللون الأسود</w:t>
      </w:r>
      <w:r>
        <w:rPr>
          <w:rFonts w:ascii="Dubai" w:hAnsi="Dubai" w:cs="Dubai" w:hint="cs"/>
          <w:szCs w:val="22"/>
          <w:rtl/>
        </w:rPr>
        <w:t>،</w:t>
      </w:r>
      <w:r w:rsidRPr="0016721C">
        <w:rPr>
          <w:rFonts w:ascii="Dubai" w:hAnsi="Dubai" w:cs="Dubai"/>
          <w:szCs w:val="22"/>
          <w:rtl/>
        </w:rPr>
        <w:t xml:space="preserve"> </w:t>
      </w:r>
      <w:r>
        <w:rPr>
          <w:rFonts w:ascii="Dubai" w:hAnsi="Dubai" w:cs="Dubai" w:hint="cs"/>
          <w:szCs w:val="22"/>
          <w:rtl/>
        </w:rPr>
        <w:t>للمشاركين في المؤتمر الذين يحق لهم</w:t>
      </w:r>
      <w:r w:rsidRPr="0016721C">
        <w:rPr>
          <w:rFonts w:ascii="Dubai" w:hAnsi="Dubai" w:cs="Dubai"/>
          <w:szCs w:val="22"/>
          <w:rtl/>
        </w:rPr>
        <w:t xml:space="preserve"> تقديم اقتراحات إجرائية وإثارة نقاط نظام</w:t>
      </w:r>
      <w:r>
        <w:rPr>
          <w:rFonts w:ascii="Dubai" w:hAnsi="Dubai" w:cs="Dubai" w:hint="cs"/>
          <w:szCs w:val="22"/>
          <w:rtl/>
        </w:rPr>
        <w:t>، حسب الاقتضاء،</w:t>
      </w:r>
      <w:r w:rsidRPr="0016721C">
        <w:rPr>
          <w:rFonts w:ascii="Dubai" w:hAnsi="Dubai" w:cs="Dubai"/>
          <w:szCs w:val="22"/>
          <w:rtl/>
        </w:rPr>
        <w:t xml:space="preserve"> </w:t>
      </w:r>
      <w:r>
        <w:rPr>
          <w:rFonts w:ascii="Dubai" w:hAnsi="Dubai" w:cs="Dubai" w:hint="cs"/>
          <w:szCs w:val="22"/>
          <w:rtl/>
          <w:lang w:bidi="ar-SA"/>
        </w:rPr>
        <w:t>وفقاً لقواعد الاتحاد وإجراءاته</w:t>
      </w:r>
      <w:r w:rsidRPr="0016721C">
        <w:rPr>
          <w:rFonts w:ascii="Dubai" w:hAnsi="Dubai" w:cs="Dubai"/>
          <w:szCs w:val="22"/>
          <w:rtl/>
        </w:rPr>
        <w:t>؛</w:t>
      </w:r>
    </w:p>
    <w:p w14:paraId="2E0C1577" w14:textId="77777777" w:rsidR="0012653E" w:rsidRPr="0016721C" w:rsidRDefault="0012653E" w:rsidP="0012653E">
      <w:pPr>
        <w:pStyle w:val="enumlev10"/>
        <w:rPr>
          <w:rFonts w:ascii="Dubai" w:hAnsi="Dubai" w:cs="Dubai"/>
          <w:szCs w:val="22"/>
          <w:rtl/>
        </w:rPr>
      </w:pPr>
      <w:r w:rsidRPr="0016721C">
        <w:rPr>
          <w:rFonts w:ascii="Dubai" w:hAnsi="Dubai" w:cs="Dubai"/>
          <w:szCs w:val="22"/>
          <w:rtl/>
        </w:rPr>
        <w:t>-</w:t>
      </w:r>
      <w:r w:rsidRPr="0016721C">
        <w:rPr>
          <w:rFonts w:ascii="Dubai" w:hAnsi="Dubai" w:cs="Dubai"/>
          <w:szCs w:val="22"/>
          <w:rtl/>
        </w:rPr>
        <w:tab/>
        <w:t xml:space="preserve">سيتم إصدار بطاقات بيضاء </w:t>
      </w:r>
      <w:r>
        <w:rPr>
          <w:rFonts w:ascii="Dubai" w:hAnsi="Dubai" w:cs="Dubai" w:hint="cs"/>
          <w:szCs w:val="22"/>
          <w:rtl/>
        </w:rPr>
        <w:t xml:space="preserve">صغيرة </w:t>
      </w:r>
      <w:r w:rsidRPr="0016721C">
        <w:rPr>
          <w:rFonts w:ascii="Dubai" w:hAnsi="Dubai" w:cs="Dubai"/>
          <w:szCs w:val="22"/>
          <w:rtl/>
        </w:rPr>
        <w:t>تحمل مربعات باللون الأحمر</w:t>
      </w:r>
      <w:r>
        <w:rPr>
          <w:rFonts w:ascii="Dubai" w:hAnsi="Dubai" w:cs="Dubai" w:hint="cs"/>
          <w:szCs w:val="22"/>
          <w:rtl/>
        </w:rPr>
        <w:t>، لوفود الدول الأعضاء</w:t>
      </w:r>
      <w:r w:rsidRPr="0016721C">
        <w:rPr>
          <w:rFonts w:ascii="Dubai" w:hAnsi="Dubai" w:cs="Dubai"/>
          <w:szCs w:val="22"/>
          <w:rtl/>
        </w:rPr>
        <w:t xml:space="preserve"> التي يحق لها التصويت في المؤتمر. </w:t>
      </w:r>
      <w:r>
        <w:rPr>
          <w:rFonts w:ascii="Dubai" w:hAnsi="Dubai" w:cs="Dubai" w:hint="cs"/>
          <w:szCs w:val="22"/>
          <w:rtl/>
        </w:rPr>
        <w:t>وتُستعمل</w:t>
      </w:r>
      <w:r w:rsidRPr="0016721C">
        <w:rPr>
          <w:rFonts w:ascii="Dubai" w:hAnsi="Dubai" w:cs="Dubai"/>
          <w:szCs w:val="22"/>
          <w:rtl/>
        </w:rPr>
        <w:t xml:space="preserve"> هذه البطاقات فقط في حالات التصويت برفع الأيدي.</w:t>
      </w:r>
    </w:p>
    <w:p w14:paraId="20A038C5" w14:textId="77777777" w:rsidR="0012653E" w:rsidRPr="0016721C" w:rsidRDefault="0012653E" w:rsidP="0012653E">
      <w:pPr>
        <w:rPr>
          <w:rtl/>
          <w:lang w:bidi="ar-EG"/>
        </w:rPr>
      </w:pPr>
      <w:r w:rsidRPr="0016721C">
        <w:rPr>
          <w:rtl/>
          <w:lang w:bidi="ar-EG"/>
        </w:rPr>
        <w:t>وتعاونكم في استعمال هذه الوسائل</w:t>
      </w:r>
      <w:r>
        <w:rPr>
          <w:rFonts w:hint="cs"/>
          <w:rtl/>
          <w:lang w:bidi="ar-EG"/>
        </w:rPr>
        <w:t xml:space="preserve"> السمعية</w:t>
      </w:r>
      <w:r w:rsidRPr="0016721C">
        <w:rPr>
          <w:rtl/>
          <w:lang w:bidi="ar-EG"/>
        </w:rPr>
        <w:t xml:space="preserve"> البصرية سيساعد</w:t>
      </w:r>
      <w:r>
        <w:rPr>
          <w:rFonts w:hint="cs"/>
          <w:rtl/>
          <w:lang w:bidi="ar-EG"/>
        </w:rPr>
        <w:t xml:space="preserve"> أمانة المؤتمر وسيضمن النظام في تسيير جلسات المؤتمر</w:t>
      </w:r>
      <w:r w:rsidRPr="0016721C">
        <w:rPr>
          <w:rtl/>
          <w:lang w:bidi="ar-EG"/>
        </w:rPr>
        <w:t>.</w:t>
      </w:r>
    </w:p>
    <w:bookmarkEnd w:id="0"/>
    <w:p w14:paraId="3DAE9C6F" w14:textId="77777777" w:rsidR="0012653E" w:rsidRPr="0016721C" w:rsidRDefault="0012653E" w:rsidP="00CF40E3">
      <w:pPr>
        <w:pStyle w:val="signe"/>
        <w:spacing w:before="600"/>
        <w:ind w:left="3969"/>
        <w:rPr>
          <w:rFonts w:ascii="Dubai" w:hAnsi="Dubai" w:cs="Dubai"/>
          <w:szCs w:val="22"/>
        </w:rPr>
      </w:pPr>
      <w:r>
        <w:rPr>
          <w:rFonts w:ascii="Dubai" w:hAnsi="Dubai" w:cs="Dubai" w:hint="cs"/>
          <w:szCs w:val="22"/>
          <w:rtl/>
        </w:rPr>
        <w:t xml:space="preserve">دورين </w:t>
      </w:r>
      <w:proofErr w:type="spellStart"/>
      <w:r>
        <w:rPr>
          <w:rFonts w:ascii="Dubai" w:hAnsi="Dubai" w:cs="Dubai" w:hint="cs"/>
          <w:szCs w:val="22"/>
          <w:rtl/>
        </w:rPr>
        <w:t>بوغدان</w:t>
      </w:r>
      <w:proofErr w:type="spellEnd"/>
      <w:r>
        <w:rPr>
          <w:rFonts w:ascii="Dubai" w:hAnsi="Dubai" w:cs="Dubai" w:hint="cs"/>
          <w:szCs w:val="22"/>
          <w:rtl/>
        </w:rPr>
        <w:t>-مارتن</w:t>
      </w:r>
      <w:r w:rsidRPr="0016721C">
        <w:rPr>
          <w:rFonts w:ascii="Dubai" w:hAnsi="Dubai" w:cs="Dubai"/>
          <w:szCs w:val="22"/>
          <w:rtl/>
        </w:rPr>
        <w:br/>
        <w:t>الأمين</w:t>
      </w:r>
      <w:r>
        <w:rPr>
          <w:rFonts w:ascii="Dubai" w:hAnsi="Dubai" w:cs="Dubai" w:hint="cs"/>
          <w:szCs w:val="22"/>
          <w:rtl/>
        </w:rPr>
        <w:t>ة</w:t>
      </w:r>
      <w:r w:rsidRPr="0016721C">
        <w:rPr>
          <w:rFonts w:ascii="Dubai" w:hAnsi="Dubai" w:cs="Dubai"/>
          <w:szCs w:val="22"/>
          <w:rtl/>
        </w:rPr>
        <w:t xml:space="preserve"> العام</w:t>
      </w:r>
      <w:r>
        <w:rPr>
          <w:rFonts w:ascii="Dubai" w:hAnsi="Dubai" w:cs="Dubai" w:hint="cs"/>
          <w:szCs w:val="22"/>
          <w:rtl/>
        </w:rPr>
        <w:t>ة</w:t>
      </w:r>
    </w:p>
    <w:p w14:paraId="3138DCDF" w14:textId="77777777" w:rsidR="0012653E" w:rsidRDefault="0012653E" w:rsidP="0012653E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2653E" w:rsidSect="009D02BD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5E9" w14:textId="77777777" w:rsidR="0012653E" w:rsidRDefault="0012653E" w:rsidP="002919E1">
      <w:r>
        <w:separator/>
      </w:r>
    </w:p>
    <w:p w14:paraId="32F60944" w14:textId="77777777" w:rsidR="0012653E" w:rsidRDefault="0012653E" w:rsidP="002919E1"/>
    <w:p w14:paraId="23CE4594" w14:textId="77777777" w:rsidR="0012653E" w:rsidRDefault="0012653E" w:rsidP="002919E1"/>
    <w:p w14:paraId="3B500A5E" w14:textId="77777777" w:rsidR="0012653E" w:rsidRDefault="0012653E"/>
    <w:p w14:paraId="08AA9C8E" w14:textId="77777777" w:rsidR="0012653E" w:rsidRDefault="0012653E"/>
  </w:endnote>
  <w:endnote w:type="continuationSeparator" w:id="0">
    <w:p w14:paraId="2B14481A" w14:textId="77777777" w:rsidR="0012653E" w:rsidRDefault="0012653E" w:rsidP="002919E1">
      <w:r>
        <w:continuationSeparator/>
      </w:r>
    </w:p>
    <w:p w14:paraId="441EEA22" w14:textId="77777777" w:rsidR="0012653E" w:rsidRDefault="0012653E" w:rsidP="002919E1"/>
    <w:p w14:paraId="7108E846" w14:textId="77777777" w:rsidR="0012653E" w:rsidRDefault="0012653E" w:rsidP="002919E1"/>
    <w:p w14:paraId="7DC3C208" w14:textId="77777777" w:rsidR="0012653E" w:rsidRDefault="0012653E"/>
    <w:p w14:paraId="59F7AFCE" w14:textId="77777777" w:rsidR="0012653E" w:rsidRDefault="00126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887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2653E">
      <w:rPr>
        <w:noProof/>
        <w:sz w:val="16"/>
        <w:szCs w:val="16"/>
        <w:lang w:val="fr-FR"/>
      </w:rPr>
      <w:t>Document286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AA92" w14:textId="77777777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2653E">
      <w:rPr>
        <w:noProof/>
        <w:sz w:val="16"/>
        <w:szCs w:val="16"/>
        <w:lang w:val="fr-FR"/>
      </w:rPr>
      <w:t>Document286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E7CF" w14:textId="17E2AD72" w:rsidR="00D63A6F" w:rsidRPr="00C96850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es-ES"/>
      </w:rPr>
    </w:pPr>
    <w:r w:rsidRPr="0026373E">
      <w:rPr>
        <w:sz w:val="16"/>
        <w:szCs w:val="16"/>
        <w:lang w:val="fr-FR"/>
      </w:rPr>
      <w:fldChar w:fldCharType="begin"/>
    </w:r>
    <w:r w:rsidRPr="00C96850">
      <w:rPr>
        <w:sz w:val="16"/>
        <w:szCs w:val="16"/>
        <w:lang w:val="es-ES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96850" w:rsidRPr="00C96850">
      <w:rPr>
        <w:noProof/>
        <w:sz w:val="16"/>
        <w:szCs w:val="16"/>
        <w:lang w:val="es-ES"/>
      </w:rPr>
      <w:t>P:\ARA\ITU-R\CONF-R\CMR23\000\057A.docx</w:t>
    </w:r>
    <w:r w:rsidRPr="0026373E">
      <w:rPr>
        <w:sz w:val="16"/>
        <w:szCs w:val="16"/>
      </w:rPr>
      <w:fldChar w:fldCharType="end"/>
    </w:r>
    <w:proofErr w:type="gramStart"/>
    <w:r w:rsidRPr="00C96850">
      <w:rPr>
        <w:sz w:val="16"/>
        <w:szCs w:val="16"/>
        <w:lang w:val="es-ES"/>
      </w:rPr>
      <w:t xml:space="preserve">   (</w:t>
    </w:r>
    <w:proofErr w:type="gramEnd"/>
    <w:r w:rsidR="00C96850" w:rsidRPr="00C96850">
      <w:rPr>
        <w:sz w:val="16"/>
        <w:szCs w:val="16"/>
        <w:lang w:val="es-ES"/>
      </w:rPr>
      <w:t>52</w:t>
    </w:r>
    <w:r w:rsidR="00C96850">
      <w:rPr>
        <w:sz w:val="16"/>
        <w:szCs w:val="16"/>
        <w:lang w:val="es-ES"/>
      </w:rPr>
      <w:t>6993</w:t>
    </w:r>
    <w:r w:rsidRPr="00C96850">
      <w:rPr>
        <w:sz w:val="16"/>
        <w:szCs w:val="16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253B" w14:textId="77777777" w:rsidR="0012653E" w:rsidRDefault="0012653E" w:rsidP="00C45930">
      <w:r>
        <w:separator/>
      </w:r>
    </w:p>
  </w:footnote>
  <w:footnote w:type="continuationSeparator" w:id="0">
    <w:p w14:paraId="5A84C1EE" w14:textId="77777777" w:rsidR="0012653E" w:rsidRDefault="0012653E" w:rsidP="002919E1">
      <w:r>
        <w:continuationSeparator/>
      </w:r>
    </w:p>
    <w:p w14:paraId="3210B8D4" w14:textId="77777777" w:rsidR="0012653E" w:rsidRDefault="0012653E" w:rsidP="002919E1"/>
    <w:p w14:paraId="468F7009" w14:textId="77777777" w:rsidR="0012653E" w:rsidRDefault="0012653E" w:rsidP="002919E1"/>
    <w:p w14:paraId="07C9ED01" w14:textId="77777777" w:rsidR="0012653E" w:rsidRDefault="0012653E"/>
    <w:p w14:paraId="6895E9C5" w14:textId="77777777" w:rsidR="0012653E" w:rsidRDefault="00126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E7CC" w14:textId="77777777" w:rsidR="00D63A6F" w:rsidRPr="00447F32" w:rsidRDefault="00CF40E3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800A" w14:textId="77777777" w:rsidR="009D02BD" w:rsidRPr="009D02BD" w:rsidRDefault="00CF40E3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9D02BD" w:rsidRPr="00B269D2">
      <w:rPr>
        <w:rFonts w:cs="Calibri"/>
        <w:noProof/>
      </w:rPr>
      <w:t>xx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64D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2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48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673293">
    <w:abstractNumId w:val="9"/>
  </w:num>
  <w:num w:numId="2" w16cid:durableId="2097744966">
    <w:abstractNumId w:val="13"/>
  </w:num>
  <w:num w:numId="3" w16cid:durableId="89401601">
    <w:abstractNumId w:val="11"/>
  </w:num>
  <w:num w:numId="4" w16cid:durableId="1049496667">
    <w:abstractNumId w:val="14"/>
  </w:num>
  <w:num w:numId="5" w16cid:durableId="478378422">
    <w:abstractNumId w:val="7"/>
  </w:num>
  <w:num w:numId="6" w16cid:durableId="749548860">
    <w:abstractNumId w:val="6"/>
  </w:num>
  <w:num w:numId="7" w16cid:durableId="734544225">
    <w:abstractNumId w:val="5"/>
  </w:num>
  <w:num w:numId="8" w16cid:durableId="1235700219">
    <w:abstractNumId w:val="4"/>
  </w:num>
  <w:num w:numId="9" w16cid:durableId="17632321">
    <w:abstractNumId w:val="8"/>
  </w:num>
  <w:num w:numId="10" w16cid:durableId="296953110">
    <w:abstractNumId w:val="3"/>
  </w:num>
  <w:num w:numId="11" w16cid:durableId="1914117638">
    <w:abstractNumId w:val="2"/>
  </w:num>
  <w:num w:numId="12" w16cid:durableId="1474835376">
    <w:abstractNumId w:val="1"/>
  </w:num>
  <w:num w:numId="13" w16cid:durableId="1366910093">
    <w:abstractNumId w:val="0"/>
  </w:num>
  <w:num w:numId="14" w16cid:durableId="442463279">
    <w:abstractNumId w:val="10"/>
  </w:num>
  <w:num w:numId="15" w16cid:durableId="397830126">
    <w:abstractNumId w:val="15"/>
  </w:num>
  <w:num w:numId="16" w16cid:durableId="335546319">
    <w:abstractNumId w:val="12"/>
  </w:num>
  <w:num w:numId="17" w16cid:durableId="196158943">
    <w:abstractNumId w:val="6"/>
  </w:num>
  <w:num w:numId="18" w16cid:durableId="740369641">
    <w:abstractNumId w:val="5"/>
  </w:num>
  <w:num w:numId="19" w16cid:durableId="2703957">
    <w:abstractNumId w:val="3"/>
  </w:num>
  <w:num w:numId="20" w16cid:durableId="1611738213">
    <w:abstractNumId w:val="2"/>
  </w:num>
  <w:num w:numId="21" w16cid:durableId="306592076">
    <w:abstractNumId w:val="6"/>
  </w:num>
  <w:num w:numId="22" w16cid:durableId="962153775">
    <w:abstractNumId w:val="5"/>
  </w:num>
  <w:num w:numId="23" w16cid:durableId="767652788">
    <w:abstractNumId w:val="3"/>
  </w:num>
  <w:num w:numId="24" w16cid:durableId="1424573619">
    <w:abstractNumId w:val="2"/>
  </w:num>
  <w:num w:numId="25" w16cid:durableId="1320111846">
    <w:abstractNumId w:val="6"/>
  </w:num>
  <w:num w:numId="26" w16cid:durableId="265045212">
    <w:abstractNumId w:val="5"/>
  </w:num>
  <w:num w:numId="27" w16cid:durableId="1827739602">
    <w:abstractNumId w:val="3"/>
  </w:num>
  <w:num w:numId="28" w16cid:durableId="461844438">
    <w:abstractNumId w:val="2"/>
  </w:num>
  <w:num w:numId="29" w16cid:durableId="906109641">
    <w:abstractNumId w:val="6"/>
  </w:num>
  <w:num w:numId="30" w16cid:durableId="138614531">
    <w:abstractNumId w:val="5"/>
  </w:num>
  <w:num w:numId="31" w16cid:durableId="1374698471">
    <w:abstractNumId w:val="3"/>
  </w:num>
  <w:num w:numId="32" w16cid:durableId="434134961">
    <w:abstractNumId w:val="2"/>
  </w:num>
  <w:num w:numId="33" w16cid:durableId="125659488">
    <w:abstractNumId w:val="6"/>
  </w:num>
  <w:num w:numId="34" w16cid:durableId="491220057">
    <w:abstractNumId w:val="5"/>
  </w:num>
  <w:num w:numId="35" w16cid:durableId="1783452964">
    <w:abstractNumId w:val="3"/>
  </w:num>
  <w:num w:numId="36" w16cid:durableId="134446265">
    <w:abstractNumId w:val="2"/>
  </w:num>
  <w:num w:numId="37" w16cid:durableId="116414350">
    <w:abstractNumId w:val="6"/>
  </w:num>
  <w:num w:numId="38" w16cid:durableId="858010510">
    <w:abstractNumId w:val="5"/>
  </w:num>
  <w:num w:numId="39" w16cid:durableId="1933931608">
    <w:abstractNumId w:val="3"/>
  </w:num>
  <w:num w:numId="40" w16cid:durableId="697318275">
    <w:abstractNumId w:val="2"/>
  </w:num>
  <w:num w:numId="41" w16cid:durableId="1084036906">
    <w:abstractNumId w:val="6"/>
  </w:num>
  <w:num w:numId="42" w16cid:durableId="1407652590">
    <w:abstractNumId w:val="5"/>
  </w:num>
  <w:num w:numId="43" w16cid:durableId="145558967">
    <w:abstractNumId w:val="3"/>
  </w:num>
  <w:num w:numId="44" w16cid:durableId="936330940">
    <w:abstractNumId w:val="2"/>
  </w:num>
  <w:num w:numId="45" w16cid:durableId="834422724">
    <w:abstractNumId w:val="6"/>
  </w:num>
  <w:num w:numId="46" w16cid:durableId="1671521569">
    <w:abstractNumId w:val="5"/>
  </w:num>
  <w:num w:numId="47" w16cid:durableId="359357387">
    <w:abstractNumId w:val="3"/>
  </w:num>
  <w:num w:numId="48" w16cid:durableId="111073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3E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53E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850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40E3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946D5"/>
  <w15:docId w15:val="{47039038-F7EA-4152-AC3D-AD8658F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numlev10">
    <w:name w:val="enumlev 1"/>
    <w:basedOn w:val="Normal"/>
    <w:qFormat/>
    <w:rsid w:val="0012653E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Times New Roman" w:eastAsiaTheme="minorEastAsia" w:hAnsi="Times New Roman" w:cs="Traditional Arabic"/>
      <w:szCs w:val="30"/>
      <w:lang w:eastAsia="zh-CN" w:bidi="ar-SY"/>
    </w:rPr>
  </w:style>
  <w:style w:type="paragraph" w:customStyle="1" w:styleId="signe">
    <w:name w:val="signe"/>
    <w:qFormat/>
    <w:rsid w:val="0012653E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3-WRC23-C-0056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S-CONF-PL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PA_WRC23.dotx</Template>
  <TotalTime>7</TotalTime>
  <Pages>1</Pages>
  <Words>221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Arabic_GE</dc:creator>
  <cp:keywords>DPM_v2020.5.14.1_prod</cp:keywords>
  <cp:lastModifiedBy>Arabic-IR</cp:lastModifiedBy>
  <cp:revision>3</cp:revision>
  <cp:lastPrinted>2020-08-11T14:28:00Z</cp:lastPrinted>
  <dcterms:created xsi:type="dcterms:W3CDTF">2023-10-03T12:05:00Z</dcterms:created>
  <dcterms:modified xsi:type="dcterms:W3CDTF">2023-10-03T12:45:00Z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