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27"/>
        <w:gridCol w:w="1093"/>
        <w:gridCol w:w="2093"/>
      </w:tblGrid>
      <w:tr w:rsidR="00762BBC" w14:paraId="5B9B317F" w14:textId="77777777" w:rsidTr="00762BBC">
        <w:trPr>
          <w:cantSplit/>
        </w:trPr>
        <w:tc>
          <w:tcPr>
            <w:tcW w:w="1418" w:type="dxa"/>
            <w:vAlign w:val="center"/>
          </w:tcPr>
          <w:p w14:paraId="231DE977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687F54" wp14:editId="50E99B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D924349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7F2C252D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CFD4DD7" wp14:editId="0C9FFA6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43249C9C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6BC6C29B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22CC29A1" w14:textId="77777777" w:rsidTr="00592851">
        <w:trPr>
          <w:cantSplit/>
        </w:trPr>
        <w:tc>
          <w:tcPr>
            <w:tcW w:w="6845" w:type="dxa"/>
            <w:gridSpan w:val="2"/>
            <w:tcBorders>
              <w:top w:val="single" w:sz="12" w:space="0" w:color="auto"/>
            </w:tcBorders>
          </w:tcPr>
          <w:p w14:paraId="6E98E084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86" w:type="dxa"/>
            <w:gridSpan w:val="2"/>
            <w:tcBorders>
              <w:top w:val="single" w:sz="12" w:space="0" w:color="auto"/>
            </w:tcBorders>
          </w:tcPr>
          <w:p w14:paraId="79EA0B9B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4F25B210" w14:textId="77777777" w:rsidTr="00592851">
        <w:trPr>
          <w:cantSplit/>
          <w:trHeight w:val="23"/>
        </w:trPr>
        <w:tc>
          <w:tcPr>
            <w:tcW w:w="6845" w:type="dxa"/>
            <w:gridSpan w:val="2"/>
            <w:vMerge w:val="restart"/>
          </w:tcPr>
          <w:p w14:paraId="0D65C3C2" w14:textId="2031118E" w:rsidR="00C8286D" w:rsidRPr="00592851" w:rsidRDefault="00592851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92851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86" w:type="dxa"/>
            <w:gridSpan w:val="2"/>
          </w:tcPr>
          <w:p w14:paraId="14139AC8" w14:textId="55475504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EE24A5">
              <w:rPr>
                <w:rFonts w:ascii="Verdana" w:hAnsi="Verdana"/>
                <w:b/>
                <w:sz w:val="20"/>
              </w:rPr>
              <w:t>56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20C53847" w14:textId="77777777" w:rsidTr="00592851">
        <w:trPr>
          <w:cantSplit/>
          <w:trHeight w:val="23"/>
        </w:trPr>
        <w:tc>
          <w:tcPr>
            <w:tcW w:w="6845" w:type="dxa"/>
            <w:gridSpan w:val="2"/>
            <w:vMerge/>
          </w:tcPr>
          <w:p w14:paraId="742CED9F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86" w:type="dxa"/>
            <w:gridSpan w:val="2"/>
          </w:tcPr>
          <w:p w14:paraId="7AA4D67B" w14:textId="66AFB4B5" w:rsidR="00C8286D" w:rsidRPr="00C8286D" w:rsidRDefault="00EE24A5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E24A5">
              <w:rPr>
                <w:rFonts w:ascii="Verdana" w:hAnsi="Verdana"/>
                <w:b/>
                <w:sz w:val="20"/>
              </w:rPr>
              <w:t>21 de septiembre de 2023</w:t>
            </w:r>
          </w:p>
        </w:tc>
      </w:tr>
      <w:tr w:rsidR="00C8286D" w:rsidRPr="00C324A8" w14:paraId="0BC77CC0" w14:textId="77777777" w:rsidTr="00592851">
        <w:trPr>
          <w:cantSplit/>
          <w:trHeight w:val="23"/>
        </w:trPr>
        <w:tc>
          <w:tcPr>
            <w:tcW w:w="6845" w:type="dxa"/>
            <w:gridSpan w:val="2"/>
            <w:vMerge/>
          </w:tcPr>
          <w:p w14:paraId="490CBE8E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86" w:type="dxa"/>
            <w:gridSpan w:val="2"/>
          </w:tcPr>
          <w:p w14:paraId="08F7215C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297FC84F" w14:textId="77777777" w:rsidTr="0050008E">
        <w:trPr>
          <w:cantSplit/>
        </w:trPr>
        <w:tc>
          <w:tcPr>
            <w:tcW w:w="10031" w:type="dxa"/>
            <w:gridSpan w:val="4"/>
          </w:tcPr>
          <w:p w14:paraId="7F09794F" w14:textId="51A5BA8E" w:rsidR="00C8286D" w:rsidRDefault="00EE24A5" w:rsidP="0050008E">
            <w:pPr>
              <w:pStyle w:val="Source"/>
            </w:pPr>
            <w:bookmarkStart w:id="6" w:name="dsource" w:colFirst="0" w:colLast="0"/>
            <w:bookmarkEnd w:id="5"/>
            <w:r w:rsidRPr="00EE24A5">
              <w:t>Nota de la Secretaria General</w:t>
            </w:r>
          </w:p>
        </w:tc>
      </w:tr>
      <w:tr w:rsidR="00C8286D" w14:paraId="3BDD355D" w14:textId="77777777" w:rsidTr="0050008E">
        <w:trPr>
          <w:cantSplit/>
        </w:trPr>
        <w:tc>
          <w:tcPr>
            <w:tcW w:w="10031" w:type="dxa"/>
            <w:gridSpan w:val="4"/>
          </w:tcPr>
          <w:p w14:paraId="263434E0" w14:textId="0FD8C30F" w:rsidR="00C8286D" w:rsidRDefault="00EE24A5" w:rsidP="00EE24A5">
            <w:pPr>
              <w:pStyle w:val="Title1"/>
            </w:pPr>
            <w:bookmarkStart w:id="7" w:name="dtitle1" w:colFirst="0" w:colLast="0"/>
            <w:bookmarkEnd w:id="6"/>
            <w:r w:rsidRPr="00EE24A5">
              <w:rPr>
                <w:lang w:val="es-ES"/>
              </w:rPr>
              <w:t>participaCIÓN DE LOS OBSERVADORES</w:t>
            </w:r>
            <w:r w:rsidR="00592851">
              <w:rPr>
                <w:rStyle w:val="FootnoteReference"/>
                <w:lang w:val="es-ES"/>
              </w:rPr>
              <w:footnoteReference w:id="1"/>
            </w:r>
          </w:p>
        </w:tc>
      </w:tr>
      <w:tr w:rsidR="00C8286D" w14:paraId="4A37A5C7" w14:textId="77777777" w:rsidTr="0050008E">
        <w:trPr>
          <w:cantSplit/>
        </w:trPr>
        <w:tc>
          <w:tcPr>
            <w:tcW w:w="10031" w:type="dxa"/>
            <w:gridSpan w:val="4"/>
          </w:tcPr>
          <w:p w14:paraId="30550F45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467EDD4C" w14:textId="77777777" w:rsidTr="0050008E">
        <w:trPr>
          <w:cantSplit/>
        </w:trPr>
        <w:tc>
          <w:tcPr>
            <w:tcW w:w="10031" w:type="dxa"/>
            <w:gridSpan w:val="4"/>
          </w:tcPr>
          <w:p w14:paraId="53DFA9B8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026AE3E2" w14:textId="6307C777" w:rsidR="00EE24A5" w:rsidRPr="00EE24A5" w:rsidRDefault="00EE24A5" w:rsidP="00EE24A5">
      <w:pPr>
        <w:pStyle w:val="Normalaftertitle"/>
        <w:rPr>
          <w:lang w:val="es-ES"/>
        </w:rPr>
      </w:pPr>
      <w:r w:rsidRPr="00EE24A5">
        <w:rPr>
          <w:lang w:val="es-ES"/>
        </w:rPr>
        <w:t>La participación de observadores en esta Conferencia está regida por los números 276 y 278 a 280 del Convenio (en lo que respecta a la admisión) y por los Anexos 2 y 3 a la Resolución </w:t>
      </w:r>
      <w:r w:rsidRPr="00EE24A5">
        <w:rPr>
          <w:b/>
          <w:bCs/>
          <w:lang w:val="es-ES"/>
        </w:rPr>
        <w:t>145</w:t>
      </w:r>
      <w:r w:rsidRPr="00EE24A5">
        <w:rPr>
          <w:lang w:val="es-ES"/>
        </w:rPr>
        <w:t xml:space="preserve"> (Antalya, 2006) (en lo que atañe a los derechos conferidos). Las disposiciones en cuestión pueden encontrarse en el </w:t>
      </w:r>
      <w:hyperlink r:id="rId10" w:history="1">
        <w:r w:rsidR="00592851">
          <w:rPr>
            <w:rStyle w:val="Hyperlink"/>
            <w:lang w:val="es-ES"/>
          </w:rPr>
          <w:t>«Conjunto de textos fundamentales de la Unión Internacional de Telecomunicaciones» (Edición de 2023)</w:t>
        </w:r>
      </w:hyperlink>
      <w:r w:rsidRPr="00EE24A5">
        <w:rPr>
          <w:lang w:val="es-ES"/>
        </w:rPr>
        <w:t xml:space="preserve"> y se reproducen en los Anexos siguientes para facilitar su consulta.</w:t>
      </w:r>
    </w:p>
    <w:p w14:paraId="739AE76B" w14:textId="085508E7" w:rsidR="00EE24A5" w:rsidRPr="00EE24A5" w:rsidRDefault="00EE24A5" w:rsidP="00592851">
      <w:pPr>
        <w:tabs>
          <w:tab w:val="clear" w:pos="1134"/>
          <w:tab w:val="clear" w:pos="1871"/>
          <w:tab w:val="clear" w:pos="2268"/>
          <w:tab w:val="center" w:pos="7230"/>
        </w:tabs>
        <w:spacing w:before="1080"/>
        <w:rPr>
          <w:lang w:val="es-ES"/>
        </w:rPr>
      </w:pPr>
      <w:r w:rsidRPr="00EE24A5">
        <w:rPr>
          <w:lang w:val="es-ES"/>
        </w:rPr>
        <w:tab/>
      </w:r>
      <w:proofErr w:type="spellStart"/>
      <w:r w:rsidRPr="00EE24A5">
        <w:rPr>
          <w:lang w:val="es-ES"/>
        </w:rPr>
        <w:t>Doreen</w:t>
      </w:r>
      <w:proofErr w:type="spellEnd"/>
      <w:r w:rsidRPr="00EE24A5">
        <w:rPr>
          <w:lang w:val="es-ES"/>
        </w:rPr>
        <w:t xml:space="preserve"> BOGDAN-MARTIN</w:t>
      </w:r>
      <w:r w:rsidRPr="00EE24A5">
        <w:rPr>
          <w:lang w:val="es-ES"/>
        </w:rPr>
        <w:br/>
      </w:r>
      <w:r w:rsidRPr="00EE24A5">
        <w:rPr>
          <w:lang w:val="es-ES"/>
        </w:rPr>
        <w:tab/>
        <w:t>Secretaria General</w:t>
      </w:r>
    </w:p>
    <w:p w14:paraId="0BFC8434" w14:textId="10B42749" w:rsidR="00EE24A5" w:rsidRDefault="00EE24A5" w:rsidP="00592851">
      <w:r>
        <w:br w:type="page"/>
      </w:r>
    </w:p>
    <w:p w14:paraId="7FEB9317" w14:textId="3DCC642E" w:rsidR="00EE24A5" w:rsidRDefault="00EE24A5" w:rsidP="00D2116A">
      <w:pPr>
        <w:pStyle w:val="AnnexNo"/>
        <w:rPr>
          <w:lang w:val="es-ES"/>
        </w:rPr>
      </w:pPr>
      <w:r w:rsidRPr="00EE24A5">
        <w:rPr>
          <w:lang w:val="es-ES"/>
        </w:rPr>
        <w:lastRenderedPageBreak/>
        <w:t>ANEXO 1</w:t>
      </w:r>
    </w:p>
    <w:p w14:paraId="6B709EA7" w14:textId="062FFE3D" w:rsidR="00EE24A5" w:rsidRPr="00EE24A5" w:rsidRDefault="00D2116A" w:rsidP="00D2116A">
      <w:pPr>
        <w:pStyle w:val="Annextitle"/>
        <w:rPr>
          <w:lang w:val="es-ES"/>
        </w:rPr>
      </w:pPr>
      <w:r w:rsidRPr="00EE24A5">
        <w:rPr>
          <w:lang w:val="es-ES"/>
        </w:rPr>
        <w:t>Convenio de la Unión Internacional de Telecomunicaciones</w:t>
      </w:r>
    </w:p>
    <w:p w14:paraId="7EDA99FE" w14:textId="77777777" w:rsidR="00EE24A5" w:rsidRPr="00992B2D" w:rsidRDefault="00EE24A5" w:rsidP="00D2116A">
      <w:pPr>
        <w:pStyle w:val="ChapNo"/>
      </w:pPr>
      <w:r w:rsidRPr="00992B2D">
        <w:t>CAPÍTULO II</w:t>
      </w:r>
    </w:p>
    <w:p w14:paraId="2352B1B1" w14:textId="6155DFFA" w:rsidR="00EE24A5" w:rsidRPr="00EE24A5" w:rsidRDefault="00EE24A5" w:rsidP="00D2116A">
      <w:pPr>
        <w:pStyle w:val="Chaptitle"/>
        <w:spacing w:after="240"/>
        <w:rPr>
          <w:lang w:val="es-ES"/>
        </w:rPr>
      </w:pPr>
      <w:r w:rsidRPr="00EE24A5">
        <w:rPr>
          <w:lang w:val="es-ES"/>
        </w:rPr>
        <w:t>Disposiciones específicas relativas a las conferencias y asambleas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25"/>
        <w:gridCol w:w="7514"/>
      </w:tblGrid>
      <w:tr w:rsidR="00EE24A5" w:rsidRPr="00EE24A5" w14:paraId="48ED0130" w14:textId="77777777" w:rsidTr="00D2116A">
        <w:trPr>
          <w:trHeight w:val="258"/>
          <w:jc w:val="center"/>
        </w:trPr>
        <w:tc>
          <w:tcPr>
            <w:tcW w:w="2125" w:type="dxa"/>
          </w:tcPr>
          <w:p w14:paraId="52A33EDA" w14:textId="77777777" w:rsidR="00EE24A5" w:rsidRPr="00EE24A5" w:rsidRDefault="00EE24A5" w:rsidP="00EE24A5">
            <w:pPr>
              <w:rPr>
                <w:b/>
                <w:bCs/>
                <w:lang w:val="es-ES"/>
              </w:rPr>
            </w:pPr>
          </w:p>
        </w:tc>
        <w:tc>
          <w:tcPr>
            <w:tcW w:w="7514" w:type="dxa"/>
          </w:tcPr>
          <w:p w14:paraId="64BD3026" w14:textId="5F358C8C" w:rsidR="00EE24A5" w:rsidRPr="00EE24A5" w:rsidRDefault="00EE24A5" w:rsidP="00D2116A">
            <w:pPr>
              <w:pStyle w:val="ArtNo"/>
              <w:rPr>
                <w:lang w:val="en-GB"/>
              </w:rPr>
            </w:pPr>
            <w:r w:rsidRPr="00EE24A5">
              <w:rPr>
                <w:lang w:val="en-GB"/>
              </w:rPr>
              <w:t>ARTÍCULO 24</w:t>
            </w:r>
          </w:p>
        </w:tc>
      </w:tr>
      <w:tr w:rsidR="00EE24A5" w:rsidRPr="00EE24A5" w14:paraId="00753CD5" w14:textId="77777777" w:rsidTr="00D2116A">
        <w:trPr>
          <w:trHeight w:val="258"/>
          <w:jc w:val="center"/>
        </w:trPr>
        <w:tc>
          <w:tcPr>
            <w:tcW w:w="2125" w:type="dxa"/>
          </w:tcPr>
          <w:p w14:paraId="4753710B" w14:textId="77777777" w:rsidR="00EE24A5" w:rsidRPr="00D2116A" w:rsidRDefault="00EE24A5" w:rsidP="00D2116A">
            <w:pPr>
              <w:spacing w:before="240"/>
              <w:rPr>
                <w:b/>
                <w:bCs/>
                <w:lang w:val="en-GB"/>
              </w:rPr>
            </w:pPr>
            <w:r w:rsidRPr="00D2116A">
              <w:rPr>
                <w:b/>
                <w:bCs/>
                <w:lang w:val="en-GB"/>
              </w:rPr>
              <w:t>PP-02</w:t>
            </w:r>
          </w:p>
        </w:tc>
        <w:tc>
          <w:tcPr>
            <w:tcW w:w="7514" w:type="dxa"/>
          </w:tcPr>
          <w:p w14:paraId="67248E55" w14:textId="77777777" w:rsidR="00EE24A5" w:rsidRPr="00EE24A5" w:rsidRDefault="00EE24A5" w:rsidP="00D2116A">
            <w:pPr>
              <w:pStyle w:val="Arttitle"/>
              <w:rPr>
                <w:lang w:val="es-ES"/>
              </w:rPr>
            </w:pPr>
            <w:r w:rsidRPr="00D2116A">
              <w:t>Admisión</w:t>
            </w:r>
            <w:r w:rsidRPr="00EE24A5">
              <w:rPr>
                <w:lang w:val="es-ES"/>
              </w:rPr>
              <w:t xml:space="preserve"> a las Conferencias de Radiocomunicaciones</w:t>
            </w:r>
          </w:p>
        </w:tc>
      </w:tr>
      <w:tr w:rsidR="00EE24A5" w:rsidRPr="00EE24A5" w14:paraId="2426424B" w14:textId="77777777" w:rsidTr="00D2116A">
        <w:trPr>
          <w:trHeight w:val="258"/>
          <w:jc w:val="center"/>
        </w:trPr>
        <w:tc>
          <w:tcPr>
            <w:tcW w:w="2125" w:type="dxa"/>
          </w:tcPr>
          <w:p w14:paraId="2CAB64B6" w14:textId="1A6FB387" w:rsidR="00EE24A5" w:rsidRPr="00D2116A" w:rsidRDefault="00EE24A5" w:rsidP="00D2116A">
            <w:pPr>
              <w:pStyle w:val="Normalaftertitle"/>
              <w:rPr>
                <w:b/>
                <w:bCs/>
                <w:lang w:val="en-GB"/>
              </w:rPr>
            </w:pPr>
            <w:r w:rsidRPr="00D2116A">
              <w:rPr>
                <w:b/>
                <w:bCs/>
                <w:lang w:val="en-GB"/>
              </w:rPr>
              <w:t xml:space="preserve">270 </w:t>
            </w:r>
            <w:r w:rsidR="00D2116A" w:rsidRPr="00D2116A">
              <w:rPr>
                <w:b/>
                <w:bCs/>
                <w:lang w:val="en-GB"/>
              </w:rPr>
              <w:t>a</w:t>
            </w:r>
            <w:r w:rsidRPr="00D2116A">
              <w:rPr>
                <w:b/>
                <w:bCs/>
                <w:lang w:val="en-GB"/>
              </w:rPr>
              <w:t xml:space="preserve"> 275</w:t>
            </w:r>
            <w:r w:rsidRPr="00D2116A">
              <w:rPr>
                <w:b/>
                <w:bCs/>
                <w:lang w:val="en-GB"/>
              </w:rPr>
              <w:br/>
              <w:t>PP-02</w:t>
            </w:r>
          </w:p>
        </w:tc>
        <w:tc>
          <w:tcPr>
            <w:tcW w:w="7514" w:type="dxa"/>
          </w:tcPr>
          <w:p w14:paraId="46436FD6" w14:textId="1E18E04C" w:rsidR="00EE24A5" w:rsidRPr="00EE24A5" w:rsidRDefault="00D2116A" w:rsidP="00D2116A">
            <w:pPr>
              <w:pStyle w:val="Normalaftertitle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EE24A5" w:rsidRPr="00EE24A5">
              <w:rPr>
                <w:lang w:val="en-GB"/>
              </w:rPr>
              <w:t>(SUP)</w:t>
            </w:r>
          </w:p>
        </w:tc>
      </w:tr>
      <w:tr w:rsidR="00EE24A5" w:rsidRPr="00EE24A5" w14:paraId="17049392" w14:textId="77777777" w:rsidTr="00D2116A">
        <w:trPr>
          <w:trHeight w:val="258"/>
          <w:jc w:val="center"/>
        </w:trPr>
        <w:tc>
          <w:tcPr>
            <w:tcW w:w="2125" w:type="dxa"/>
          </w:tcPr>
          <w:p w14:paraId="6AC9F56F" w14:textId="77777777" w:rsidR="00EE24A5" w:rsidRPr="00EE24A5" w:rsidRDefault="00EE24A5" w:rsidP="00EE24A5">
            <w:pPr>
              <w:rPr>
                <w:lang w:val="en-GB"/>
              </w:rPr>
            </w:pPr>
            <w:r w:rsidRPr="00EE24A5">
              <w:rPr>
                <w:b/>
                <w:bCs/>
                <w:lang w:val="en-GB"/>
              </w:rPr>
              <w:t>276</w:t>
            </w:r>
            <w:r w:rsidRPr="00EE24A5">
              <w:rPr>
                <w:b/>
                <w:bCs/>
                <w:lang w:val="en-GB"/>
              </w:rPr>
              <w:br/>
              <w:t>PP-02</w:t>
            </w:r>
          </w:p>
        </w:tc>
        <w:tc>
          <w:tcPr>
            <w:tcW w:w="7514" w:type="dxa"/>
          </w:tcPr>
          <w:p w14:paraId="60D99A62" w14:textId="18194FD8" w:rsidR="00EE24A5" w:rsidRPr="00EE24A5" w:rsidRDefault="00EE24A5" w:rsidP="00EE24A5">
            <w:pPr>
              <w:rPr>
                <w:lang w:val="es-ES"/>
              </w:rPr>
            </w:pPr>
            <w:r w:rsidRPr="00EE24A5">
              <w:rPr>
                <w:lang w:val="es-ES"/>
              </w:rPr>
              <w:t>1</w:t>
            </w:r>
            <w:r w:rsidR="00D2116A">
              <w:rPr>
                <w:lang w:val="es-ES"/>
              </w:rPr>
              <w:tab/>
            </w:r>
            <w:r w:rsidRPr="00EE24A5">
              <w:rPr>
                <w:lang w:val="es-ES"/>
              </w:rPr>
              <w:t>Se admitirá en las Conferencias de Radiocomunicaciones a:</w:t>
            </w:r>
          </w:p>
        </w:tc>
      </w:tr>
      <w:tr w:rsidR="00EE24A5" w:rsidRPr="00EE24A5" w14:paraId="79D3CE18" w14:textId="77777777" w:rsidTr="00D2116A">
        <w:trPr>
          <w:trHeight w:val="138"/>
          <w:jc w:val="center"/>
        </w:trPr>
        <w:tc>
          <w:tcPr>
            <w:tcW w:w="2125" w:type="dxa"/>
          </w:tcPr>
          <w:p w14:paraId="259E0615" w14:textId="77777777" w:rsidR="00EE24A5" w:rsidRPr="001229BF" w:rsidRDefault="00EE24A5" w:rsidP="001229BF">
            <w:pPr>
              <w:pStyle w:val="enumlev1"/>
              <w:rPr>
                <w:b/>
                <w:bCs/>
                <w:lang w:val="en-GB"/>
              </w:rPr>
            </w:pPr>
            <w:r w:rsidRPr="001229BF">
              <w:rPr>
                <w:b/>
                <w:bCs/>
                <w:lang w:val="en-GB"/>
              </w:rPr>
              <w:t>277</w:t>
            </w:r>
          </w:p>
        </w:tc>
        <w:tc>
          <w:tcPr>
            <w:tcW w:w="7514" w:type="dxa"/>
          </w:tcPr>
          <w:p w14:paraId="3A5C1664" w14:textId="72486114" w:rsidR="00EE24A5" w:rsidRPr="00EE24A5" w:rsidRDefault="00EE24A5" w:rsidP="00D2116A">
            <w:pPr>
              <w:pStyle w:val="enumlev1"/>
              <w:rPr>
                <w:lang w:val="en-GB"/>
              </w:rPr>
            </w:pPr>
            <w:r w:rsidRPr="00EE24A5">
              <w:rPr>
                <w:i/>
                <w:iCs/>
                <w:lang w:val="en-GB"/>
              </w:rPr>
              <w:t>a)</w:t>
            </w:r>
            <w:r w:rsidR="00D2116A">
              <w:rPr>
                <w:i/>
                <w:iCs/>
                <w:lang w:val="en-GB"/>
              </w:rPr>
              <w:tab/>
            </w:r>
            <w:r w:rsidRPr="00EE24A5">
              <w:rPr>
                <w:lang w:val="en-GB"/>
              </w:rPr>
              <w:t xml:space="preserve">las </w:t>
            </w:r>
            <w:proofErr w:type="spellStart"/>
            <w:r w:rsidRPr="00EE24A5">
              <w:rPr>
                <w:lang w:val="en-GB"/>
              </w:rPr>
              <w:t>delegaciones</w:t>
            </w:r>
            <w:proofErr w:type="spellEnd"/>
            <w:r w:rsidRPr="00EE24A5">
              <w:rPr>
                <w:lang w:val="en-GB"/>
              </w:rPr>
              <w:t>;</w:t>
            </w:r>
          </w:p>
        </w:tc>
      </w:tr>
      <w:tr w:rsidR="00EE24A5" w:rsidRPr="00EE24A5" w14:paraId="0D6077E4" w14:textId="77777777" w:rsidTr="00D2116A">
        <w:trPr>
          <w:trHeight w:val="378"/>
          <w:jc w:val="center"/>
        </w:trPr>
        <w:tc>
          <w:tcPr>
            <w:tcW w:w="2125" w:type="dxa"/>
          </w:tcPr>
          <w:p w14:paraId="4D9671C5" w14:textId="77777777" w:rsidR="00EE24A5" w:rsidRPr="00EE24A5" w:rsidRDefault="00EE24A5" w:rsidP="001229BF">
            <w:pPr>
              <w:pStyle w:val="enumlev1"/>
              <w:ind w:left="0" w:firstLine="0"/>
              <w:rPr>
                <w:b/>
                <w:bCs/>
                <w:lang w:val="en-GB"/>
              </w:rPr>
            </w:pPr>
            <w:r w:rsidRPr="00EE24A5">
              <w:rPr>
                <w:b/>
                <w:bCs/>
                <w:lang w:val="en-GB"/>
              </w:rPr>
              <w:t>278</w:t>
            </w:r>
            <w:r w:rsidRPr="00EE24A5">
              <w:rPr>
                <w:b/>
                <w:bCs/>
                <w:lang w:val="en-GB"/>
              </w:rPr>
              <w:br/>
              <w:t xml:space="preserve">PP-02 </w:t>
            </w:r>
            <w:r w:rsidRPr="00EE24A5">
              <w:rPr>
                <w:b/>
                <w:bCs/>
                <w:lang w:val="en-GB"/>
              </w:rPr>
              <w:br/>
              <w:t>PP-06</w:t>
            </w:r>
          </w:p>
        </w:tc>
        <w:tc>
          <w:tcPr>
            <w:tcW w:w="7514" w:type="dxa"/>
          </w:tcPr>
          <w:p w14:paraId="1F976092" w14:textId="5A1CAF33" w:rsidR="00EE24A5" w:rsidRPr="00EE24A5" w:rsidRDefault="00EE24A5" w:rsidP="00D2116A">
            <w:pPr>
              <w:pStyle w:val="enumlev1"/>
              <w:rPr>
                <w:lang w:val="es-ES"/>
              </w:rPr>
            </w:pPr>
            <w:r w:rsidRPr="00EE24A5">
              <w:rPr>
                <w:i/>
                <w:iCs/>
                <w:lang w:val="es-ES"/>
              </w:rPr>
              <w:t>b)</w:t>
            </w:r>
            <w:r w:rsidR="00D2116A">
              <w:rPr>
                <w:i/>
                <w:iCs/>
                <w:lang w:val="es-ES"/>
              </w:rPr>
              <w:tab/>
            </w:r>
            <w:r w:rsidRPr="00EE24A5">
              <w:rPr>
                <w:lang w:val="es-ES"/>
              </w:rPr>
              <w:t>los observadores de los organismos y organizaciones mencionados en los números 269A a 269D del presente Convenio, que podrán participar con carácter consultivo;</w:t>
            </w:r>
          </w:p>
        </w:tc>
      </w:tr>
      <w:tr w:rsidR="00EE24A5" w:rsidRPr="00EE24A5" w14:paraId="04ED65DF" w14:textId="77777777" w:rsidTr="00D2116A">
        <w:trPr>
          <w:trHeight w:val="378"/>
          <w:jc w:val="center"/>
        </w:trPr>
        <w:tc>
          <w:tcPr>
            <w:tcW w:w="2125" w:type="dxa"/>
          </w:tcPr>
          <w:p w14:paraId="71721997" w14:textId="287B4723" w:rsidR="00EE24A5" w:rsidRPr="00EE24A5" w:rsidRDefault="00EE24A5" w:rsidP="001229BF">
            <w:pPr>
              <w:pStyle w:val="enumlev1"/>
              <w:ind w:left="0" w:firstLine="0"/>
              <w:rPr>
                <w:b/>
                <w:bCs/>
                <w:lang w:val="en-GB"/>
              </w:rPr>
            </w:pPr>
            <w:r w:rsidRPr="00EE24A5">
              <w:rPr>
                <w:b/>
                <w:bCs/>
                <w:lang w:val="en-GB"/>
              </w:rPr>
              <w:t>279</w:t>
            </w:r>
            <w:r w:rsidRPr="00EE24A5">
              <w:rPr>
                <w:b/>
                <w:bCs/>
                <w:lang w:val="en-GB"/>
              </w:rPr>
              <w:br/>
              <w:t xml:space="preserve">PP-02 </w:t>
            </w:r>
            <w:r w:rsidRPr="00EE24A5">
              <w:rPr>
                <w:b/>
                <w:bCs/>
                <w:lang w:val="en-GB"/>
              </w:rPr>
              <w:br/>
              <w:t>PP-06</w:t>
            </w:r>
          </w:p>
        </w:tc>
        <w:tc>
          <w:tcPr>
            <w:tcW w:w="7514" w:type="dxa"/>
          </w:tcPr>
          <w:p w14:paraId="37BA6625" w14:textId="6B5F41FA" w:rsidR="00EE24A5" w:rsidRPr="00EE24A5" w:rsidRDefault="00EE24A5" w:rsidP="00D2116A">
            <w:pPr>
              <w:pStyle w:val="enumlev1"/>
              <w:rPr>
                <w:lang w:val="es-ES"/>
              </w:rPr>
            </w:pPr>
            <w:r w:rsidRPr="00EE24A5">
              <w:rPr>
                <w:i/>
                <w:iCs/>
                <w:lang w:val="es-ES"/>
              </w:rPr>
              <w:t>c)</w:t>
            </w:r>
            <w:r w:rsidR="00D2116A">
              <w:rPr>
                <w:lang w:val="es-ES"/>
              </w:rPr>
              <w:tab/>
            </w:r>
            <w:r w:rsidRPr="00EE24A5">
              <w:rPr>
                <w:lang w:val="es-ES"/>
              </w:rPr>
              <w:t>los observadores de otras organizaciones internacionales que hayan sido invitadas de conformidad con las disposiciones pertinentes del Capítulo I del Reglamento General de las conferencias, asambleas y reuniones de la Unión, que podrán participar con carácter consultivo;</w:t>
            </w:r>
          </w:p>
        </w:tc>
      </w:tr>
      <w:tr w:rsidR="00EE24A5" w:rsidRPr="00EE24A5" w14:paraId="5A1ACD6D" w14:textId="77777777" w:rsidTr="00D2116A">
        <w:trPr>
          <w:trHeight w:val="378"/>
          <w:jc w:val="center"/>
        </w:trPr>
        <w:tc>
          <w:tcPr>
            <w:tcW w:w="2125" w:type="dxa"/>
          </w:tcPr>
          <w:p w14:paraId="51DC2DFA" w14:textId="1C64C7E8" w:rsidR="00EE24A5" w:rsidRPr="001229BF" w:rsidRDefault="00EE24A5" w:rsidP="001229BF">
            <w:pPr>
              <w:pStyle w:val="enumlev1"/>
              <w:ind w:left="0" w:firstLine="0"/>
              <w:rPr>
                <w:b/>
                <w:bCs/>
                <w:lang w:val="en-GB"/>
              </w:rPr>
            </w:pPr>
            <w:r w:rsidRPr="001229BF">
              <w:rPr>
                <w:b/>
                <w:bCs/>
                <w:lang w:val="en-GB"/>
              </w:rPr>
              <w:t>280</w:t>
            </w:r>
            <w:r w:rsidRPr="001229BF">
              <w:rPr>
                <w:b/>
                <w:bCs/>
                <w:lang w:val="en-GB"/>
              </w:rPr>
              <w:br/>
              <w:t>PP-98</w:t>
            </w:r>
            <w:r w:rsidRPr="001229BF">
              <w:rPr>
                <w:b/>
                <w:bCs/>
                <w:lang w:val="en-GB"/>
              </w:rPr>
              <w:br/>
              <w:t>PP-06</w:t>
            </w:r>
          </w:p>
        </w:tc>
        <w:tc>
          <w:tcPr>
            <w:tcW w:w="7514" w:type="dxa"/>
          </w:tcPr>
          <w:p w14:paraId="06DCA7B7" w14:textId="08096473" w:rsidR="00EE24A5" w:rsidRPr="00EE24A5" w:rsidRDefault="00EE24A5" w:rsidP="00D2116A">
            <w:pPr>
              <w:pStyle w:val="enumlev1"/>
              <w:rPr>
                <w:i/>
                <w:iCs/>
                <w:lang w:val="es-ES"/>
              </w:rPr>
            </w:pPr>
            <w:r w:rsidRPr="00EE24A5">
              <w:rPr>
                <w:i/>
                <w:iCs/>
                <w:lang w:val="es-ES"/>
              </w:rPr>
              <w:t>d)</w:t>
            </w:r>
            <w:r w:rsidR="00D2116A">
              <w:rPr>
                <w:i/>
                <w:iCs/>
                <w:lang w:val="es-ES"/>
              </w:rPr>
              <w:tab/>
            </w:r>
            <w:r w:rsidRPr="00EE24A5">
              <w:rPr>
                <w:lang w:val="es-ES"/>
              </w:rPr>
              <w:t>los observadores de Miembros del Sector de Radiocomunicaciones;</w:t>
            </w:r>
          </w:p>
        </w:tc>
      </w:tr>
      <w:tr w:rsidR="00EE24A5" w:rsidRPr="00EE24A5" w14:paraId="3807F114" w14:textId="77777777" w:rsidTr="00D2116A">
        <w:trPr>
          <w:trHeight w:val="378"/>
          <w:jc w:val="center"/>
        </w:trPr>
        <w:tc>
          <w:tcPr>
            <w:tcW w:w="2125" w:type="dxa"/>
          </w:tcPr>
          <w:p w14:paraId="5147C668" w14:textId="77777777" w:rsidR="00EE24A5" w:rsidRPr="00EE24A5" w:rsidRDefault="00EE24A5" w:rsidP="00EE24A5">
            <w:pPr>
              <w:rPr>
                <w:b/>
                <w:bCs/>
                <w:lang w:val="es-ES"/>
              </w:rPr>
            </w:pPr>
          </w:p>
        </w:tc>
        <w:tc>
          <w:tcPr>
            <w:tcW w:w="7514" w:type="dxa"/>
          </w:tcPr>
          <w:p w14:paraId="49936EA1" w14:textId="77777777" w:rsidR="00EE24A5" w:rsidRPr="00EE24A5" w:rsidRDefault="00EE24A5" w:rsidP="00EE24A5">
            <w:pPr>
              <w:rPr>
                <w:i/>
                <w:iCs/>
                <w:lang w:val="en-US"/>
              </w:rPr>
            </w:pPr>
            <w:r w:rsidRPr="00EE24A5">
              <w:rPr>
                <w:i/>
                <w:iCs/>
                <w:lang w:val="en-GB"/>
              </w:rPr>
              <w:t>[…</w:t>
            </w:r>
            <w:r w:rsidRPr="00EE24A5">
              <w:rPr>
                <w:i/>
                <w:iCs/>
                <w:lang w:val="en-US"/>
              </w:rPr>
              <w:t>]</w:t>
            </w:r>
          </w:p>
        </w:tc>
      </w:tr>
    </w:tbl>
    <w:p w14:paraId="71EA65BB" w14:textId="77777777" w:rsidR="00EE24A5" w:rsidRPr="00EE24A5" w:rsidRDefault="00EE24A5" w:rsidP="00EE24A5">
      <w:pPr>
        <w:rPr>
          <w:lang w:val="en-GB"/>
        </w:rPr>
      </w:pPr>
      <w:r w:rsidRPr="00EE24A5">
        <w:rPr>
          <w:lang w:val="en-GB"/>
        </w:rPr>
        <w:br w:type="page"/>
      </w:r>
    </w:p>
    <w:p w14:paraId="484DAF45" w14:textId="7CAECF35" w:rsidR="00EE24A5" w:rsidRPr="00EE24A5" w:rsidRDefault="00EE24A5" w:rsidP="00D2116A">
      <w:pPr>
        <w:pStyle w:val="AnnexNo"/>
        <w:rPr>
          <w:lang w:val="en-GB"/>
        </w:rPr>
      </w:pPr>
      <w:r w:rsidRPr="00EE24A5">
        <w:rPr>
          <w:lang w:val="en-GB"/>
        </w:rPr>
        <w:lastRenderedPageBreak/>
        <w:t>ANEX</w:t>
      </w:r>
      <w:r w:rsidR="00D2116A">
        <w:rPr>
          <w:lang w:val="en-GB"/>
        </w:rPr>
        <w:t>O</w:t>
      </w:r>
      <w:r w:rsidRPr="00EE24A5">
        <w:rPr>
          <w:lang w:val="en-GB"/>
        </w:rPr>
        <w:t xml:space="preserve"> 2</w:t>
      </w:r>
    </w:p>
    <w:p w14:paraId="6749B91D" w14:textId="77777777" w:rsidR="00EE24A5" w:rsidRPr="00EE24A5" w:rsidRDefault="00EE24A5" w:rsidP="00D2116A">
      <w:pPr>
        <w:pStyle w:val="ResNo"/>
        <w:rPr>
          <w:lang w:val="en-GB"/>
        </w:rPr>
      </w:pPr>
      <w:r w:rsidRPr="00EE24A5">
        <w:rPr>
          <w:lang w:val="en-GB"/>
        </w:rPr>
        <w:t>RESOLUCIÓN 145 (ANTALYA, 2006)</w:t>
      </w:r>
    </w:p>
    <w:p w14:paraId="124F7F94" w14:textId="1072B329" w:rsidR="00EE24A5" w:rsidRPr="00EE24A5" w:rsidRDefault="00EE24A5" w:rsidP="00D2116A">
      <w:pPr>
        <w:pStyle w:val="Restitle"/>
        <w:rPr>
          <w:lang w:val="es-ES"/>
        </w:rPr>
      </w:pPr>
      <w:r w:rsidRPr="00EE24A5">
        <w:rPr>
          <w:lang w:val="es-ES"/>
        </w:rPr>
        <w:t xml:space="preserve">Participación de observadores en las conferencias, asambleas </w:t>
      </w:r>
      <w:r w:rsidR="00D2116A">
        <w:rPr>
          <w:lang w:val="es-ES"/>
        </w:rPr>
        <w:br/>
      </w:r>
      <w:r w:rsidRPr="00EE24A5">
        <w:rPr>
          <w:lang w:val="es-ES"/>
        </w:rPr>
        <w:t>y reuniones de la Unión</w:t>
      </w:r>
    </w:p>
    <w:p w14:paraId="78F631EE" w14:textId="77777777" w:rsidR="00EE24A5" w:rsidRPr="00EE24A5" w:rsidRDefault="00EE24A5" w:rsidP="00D2116A">
      <w:pPr>
        <w:rPr>
          <w:lang w:val="es-ES"/>
        </w:rPr>
      </w:pPr>
      <w:r w:rsidRPr="00EE24A5">
        <w:rPr>
          <w:lang w:val="es-ES"/>
        </w:rPr>
        <w:t>[…]</w:t>
      </w:r>
    </w:p>
    <w:p w14:paraId="17E671F9" w14:textId="77777777" w:rsidR="00EE24A5" w:rsidRPr="00EE24A5" w:rsidRDefault="00EE24A5" w:rsidP="00D2116A">
      <w:pPr>
        <w:pStyle w:val="AnnexNo"/>
      </w:pPr>
      <w:r w:rsidRPr="00EE24A5">
        <w:t>ANEXO 2 A LA RESOLUCIÓN 145 (ANTALYA, 2006)</w:t>
      </w:r>
    </w:p>
    <w:p w14:paraId="7EAF1054" w14:textId="77777777" w:rsidR="00EE24A5" w:rsidRPr="00EE24A5" w:rsidRDefault="00EE24A5" w:rsidP="00D2116A">
      <w:pPr>
        <w:pStyle w:val="Annextitle"/>
      </w:pPr>
      <w:r w:rsidRPr="00EE24A5">
        <w:t>Observadores que participan con carácter consultivo</w:t>
      </w:r>
    </w:p>
    <w:p w14:paraId="1D127388" w14:textId="77777777" w:rsidR="00EE24A5" w:rsidRPr="00EE24A5" w:rsidRDefault="00EE24A5" w:rsidP="00D2116A">
      <w:pPr>
        <w:pStyle w:val="Normalaftertitle"/>
      </w:pPr>
      <w:r w:rsidRPr="00EE24A5">
        <w:t>Los organismos, organizaciones y entidades autorizados a participar como observadores con carácter consultivo en conferencias, asambleas y reuniones de la Unión tendrán los derechos siguientes de conformidad con las disposiciones pertinentes del Convenio de la UIT:</w:t>
      </w:r>
    </w:p>
    <w:p w14:paraId="67E6FC8C" w14:textId="77777777" w:rsidR="00EE24A5" w:rsidRPr="00EE24A5" w:rsidRDefault="00EE24A5" w:rsidP="00D2116A">
      <w:pPr>
        <w:pStyle w:val="Heading1"/>
      </w:pPr>
      <w:r w:rsidRPr="00EE24A5">
        <w:t>I</w:t>
      </w:r>
      <w:r w:rsidRPr="00EE24A5">
        <w:tab/>
        <w:t>Conferencias de plenipotenciarios (números 269A a 269D del Artículo 23), conferencias de radiocomunicaciones (números 278 y 279 del Artículo 24) y conferencias mundiales de telecomunicaciones internacionales (número 49 del Artículo 3 y números 278 y 279 del Artículo 24)</w:t>
      </w:r>
    </w:p>
    <w:p w14:paraId="23738664" w14:textId="77777777" w:rsidR="00EE24A5" w:rsidRPr="00EE24A5" w:rsidRDefault="00EE24A5" w:rsidP="00EE24A5">
      <w:r w:rsidRPr="00EE24A5">
        <w:t>Estos observadores:</w:t>
      </w:r>
    </w:p>
    <w:p w14:paraId="21F763A7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1)</w:t>
      </w:r>
      <w:r w:rsidRPr="00EE24A5">
        <w:rPr>
          <w:lang w:val="es-ES"/>
        </w:rPr>
        <w:tab/>
        <w:t>Pueden participar en las Sesiones Plenarias.</w:t>
      </w:r>
    </w:p>
    <w:p w14:paraId="2AB6AF6C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2)</w:t>
      </w:r>
      <w:r w:rsidRPr="00EE24A5">
        <w:rPr>
          <w:lang w:val="es-ES"/>
        </w:rPr>
        <w:tab/>
        <w:t>A menos que la Sesión Plenaria decida otra cosa, pueden participar en las comisiones y en sus grupos subsidiarios, pero no en las Comisiones de Dirección, de Control del presupuesto, de Credenciales y de Redacción.</w:t>
      </w:r>
    </w:p>
    <w:p w14:paraId="3D748D17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3)</w:t>
      </w:r>
      <w:r w:rsidRPr="00EE24A5">
        <w:rPr>
          <w:lang w:val="es-ES"/>
        </w:rPr>
        <w:tab/>
        <w:t>Tienen derecho a recibir toda la documentación de la conferencia dentro de los límites establecidos en cuanto al número de ejemplares distribuidos.</w:t>
      </w:r>
    </w:p>
    <w:p w14:paraId="3B557071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4)</w:t>
      </w:r>
      <w:r w:rsidRPr="00EE24A5">
        <w:rPr>
          <w:lang w:val="es-ES"/>
        </w:rPr>
        <w:tab/>
        <w:t>Pueden presentar documentos informativos por conducto del Secretario General, que serán puestos a disposición de la conferencia en el idioma o los idiomas oficiales de la UIT en que hayan sido presentados. En el orden del día de las sesiones pertinentes se indicará claramente que dichos documentos son informativos.</w:t>
      </w:r>
    </w:p>
    <w:p w14:paraId="57C764A8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5)</w:t>
      </w:r>
      <w:r w:rsidRPr="00EE24A5">
        <w:rPr>
          <w:lang w:val="es-ES"/>
        </w:rPr>
        <w:tab/>
        <w:t>Pueden pedir la palabra para proporcionar asesoramiento o información sobre puntos que correspondan a sus mandatos. Dicho asesoramiento no podrá contener propuestas ni considerarse como tal.</w:t>
      </w:r>
    </w:p>
    <w:p w14:paraId="176D776C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6)</w:t>
      </w:r>
      <w:r w:rsidRPr="00EE24A5">
        <w:rPr>
          <w:lang w:val="es-ES"/>
        </w:rPr>
        <w:tab/>
        <w:t>Serán autorizados por el presidente a tomar la palabra después de la intervención del último Estado Miembro que figure en la lista de oradores.</w:t>
      </w:r>
    </w:p>
    <w:p w14:paraId="5D8B1D69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7)</w:t>
      </w:r>
      <w:r w:rsidRPr="00EE24A5">
        <w:rPr>
          <w:lang w:val="es-ES"/>
        </w:rPr>
        <w:tab/>
        <w:t>El presidente podrá pedirles que, en el transcurso de una reunión, hagan una declaración o proporcionen información pertinente para facilitar los trabajos.</w:t>
      </w:r>
    </w:p>
    <w:p w14:paraId="3CF4214F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8)</w:t>
      </w:r>
      <w:r w:rsidRPr="00EE24A5">
        <w:rPr>
          <w:lang w:val="es-ES"/>
        </w:rPr>
        <w:tab/>
        <w:t>Se inscribirán de tal forma que los participantes en la conferencia puedan identificarlos como observadores.</w:t>
      </w:r>
    </w:p>
    <w:p w14:paraId="7CAE9735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9)</w:t>
      </w:r>
      <w:r w:rsidRPr="00EE24A5">
        <w:rPr>
          <w:lang w:val="es-ES"/>
        </w:rPr>
        <w:tab/>
        <w:t>Se colocarán por orden alfabético francés, después de los Estados Miembros y del observador mencionado en la Resolución 99 (Rev. Antalya, 2006).</w:t>
      </w:r>
    </w:p>
    <w:p w14:paraId="50EBBF58" w14:textId="77777777" w:rsidR="00EE24A5" w:rsidRPr="00EE24A5" w:rsidRDefault="00EE24A5" w:rsidP="00EE24A5">
      <w:r w:rsidRPr="00EE24A5">
        <w:lastRenderedPageBreak/>
        <w:t>En las conferencias de radiocomunicaciones y las conferencias mundiales de telecomunicaciones internacionales, los participantes de las organizaciones que tengan la categoría de Miembro de Sector y la de observador con carácter consultivo se inscribirán y participarán en la misma categoría.</w:t>
      </w:r>
    </w:p>
    <w:p w14:paraId="671312DE" w14:textId="77777777" w:rsidR="00EE24A5" w:rsidRPr="00EE24A5" w:rsidRDefault="00EE24A5" w:rsidP="00D2116A">
      <w:pPr>
        <w:rPr>
          <w:lang w:val="es-ES"/>
        </w:rPr>
      </w:pPr>
      <w:r w:rsidRPr="00EE24A5">
        <w:rPr>
          <w:lang w:val="es-ES"/>
        </w:rPr>
        <w:t>[…]</w:t>
      </w:r>
    </w:p>
    <w:p w14:paraId="494BD362" w14:textId="77777777" w:rsidR="00EE24A5" w:rsidRPr="00EE24A5" w:rsidRDefault="00EE24A5" w:rsidP="00D2116A">
      <w:pPr>
        <w:pStyle w:val="AnnexNo"/>
      </w:pPr>
      <w:r w:rsidRPr="00EE24A5">
        <w:t>ANEXO 3 A LA RESOLUCIÓN 145 (ANTALYA, 2006)</w:t>
      </w:r>
    </w:p>
    <w:p w14:paraId="7CF94079" w14:textId="77777777" w:rsidR="00EE24A5" w:rsidRPr="00EE24A5" w:rsidRDefault="00EE24A5" w:rsidP="00D2116A">
      <w:pPr>
        <w:pStyle w:val="Annextitle"/>
      </w:pPr>
      <w:r w:rsidRPr="00EE24A5">
        <w:t>Observadores que no participan con carácter consultivo</w:t>
      </w:r>
    </w:p>
    <w:p w14:paraId="012B550D" w14:textId="77777777" w:rsidR="00EE24A5" w:rsidRPr="00EE24A5" w:rsidRDefault="00EE24A5" w:rsidP="00D2116A">
      <w:pPr>
        <w:pStyle w:val="Normalaftertitle"/>
      </w:pPr>
      <w:r w:rsidRPr="00EE24A5">
        <w:t>Las organizaciones y entidades autorizadas a participar como observadores en conferencias, asambleas y reuniones de la Unión, tendrán los derechos siguientes de conformidad con las disposiciones pertinentes del Convenio:</w:t>
      </w:r>
    </w:p>
    <w:p w14:paraId="766A8732" w14:textId="77777777" w:rsidR="00EE24A5" w:rsidRPr="00EE24A5" w:rsidRDefault="00EE24A5" w:rsidP="00D2116A">
      <w:pPr>
        <w:rPr>
          <w:lang w:val="es-ES"/>
        </w:rPr>
      </w:pPr>
      <w:r w:rsidRPr="00EE24A5">
        <w:rPr>
          <w:lang w:val="es-ES"/>
        </w:rPr>
        <w:t>[…]</w:t>
      </w:r>
    </w:p>
    <w:p w14:paraId="6FD18133" w14:textId="1EED978E" w:rsidR="00EE24A5" w:rsidRPr="00EE24A5" w:rsidRDefault="00EE24A5" w:rsidP="00D2116A">
      <w:pPr>
        <w:pStyle w:val="Heading1"/>
      </w:pPr>
      <w:r w:rsidRPr="00EE24A5">
        <w:t>II</w:t>
      </w:r>
      <w:r w:rsidRPr="00EE24A5">
        <w:tab/>
        <w:t>Conferencias de radiocomunicaciones (número 280 del Artículo 24) y conferencias mundiales de telecomunicaciones internacionales (número</w:t>
      </w:r>
      <w:r w:rsidR="001229BF">
        <w:t> </w:t>
      </w:r>
      <w:r w:rsidRPr="00EE24A5">
        <w:t>49 del Artículo 3, número</w:t>
      </w:r>
      <w:r w:rsidR="001229BF">
        <w:t> </w:t>
      </w:r>
      <w:r w:rsidRPr="00EE24A5">
        <w:t>280 del Artículo 24 y número</w:t>
      </w:r>
      <w:r w:rsidR="001229BF">
        <w:t> </w:t>
      </w:r>
      <w:r w:rsidRPr="00EE24A5">
        <w:t>476 del Artículo 33)</w:t>
      </w:r>
    </w:p>
    <w:p w14:paraId="53566674" w14:textId="77777777" w:rsidR="00EE24A5" w:rsidRPr="00EE24A5" w:rsidRDefault="00EE24A5" w:rsidP="00EE24A5">
      <w:r w:rsidRPr="00EE24A5">
        <w:t>Estos observadores:</w:t>
      </w:r>
    </w:p>
    <w:p w14:paraId="34A563C2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1)</w:t>
      </w:r>
      <w:r w:rsidRPr="00EE24A5">
        <w:rPr>
          <w:lang w:val="es-ES"/>
        </w:rPr>
        <w:tab/>
        <w:t>Pueden asistir a las Sesiones Plenarias.</w:t>
      </w:r>
    </w:p>
    <w:p w14:paraId="47F0C75E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2)</w:t>
      </w:r>
      <w:r w:rsidRPr="00EE24A5">
        <w:rPr>
          <w:lang w:val="es-ES"/>
        </w:rPr>
        <w:tab/>
        <w:t>A menos que la Sesión Plenaria decida otra cosa, pueden asistir a las comisiones y a sus grupos subsidiarios, pero no a las Comisiones de Dirección, de Control del presupuesto, de Credenciales y de Redacción.</w:t>
      </w:r>
    </w:p>
    <w:p w14:paraId="7B1D3C55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3)</w:t>
      </w:r>
      <w:r w:rsidRPr="00EE24A5">
        <w:rPr>
          <w:lang w:val="es-ES"/>
        </w:rPr>
        <w:tab/>
        <w:t>Tienen derecho a recibir toda la documentación de la conferencia dentro de los límites establecidos en cuanto al número de ejemplares distribuidos.</w:t>
      </w:r>
    </w:p>
    <w:p w14:paraId="2BA08B41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4)</w:t>
      </w:r>
      <w:r w:rsidRPr="00EE24A5">
        <w:rPr>
          <w:lang w:val="es-ES"/>
        </w:rPr>
        <w:tab/>
        <w:t>El presidente podrá pedirles que, en el transcurso de una reunión, proporcionen información pertinente para facilitar los trabajos, o hagan declaraciones, pero no serán autorizados a participar en los debates.</w:t>
      </w:r>
    </w:p>
    <w:p w14:paraId="490B188D" w14:textId="77777777" w:rsidR="00EE24A5" w:rsidRPr="00EE24A5" w:rsidRDefault="00EE24A5" w:rsidP="00D2116A">
      <w:pPr>
        <w:pStyle w:val="enumlev1"/>
        <w:rPr>
          <w:lang w:val="es-ES"/>
        </w:rPr>
      </w:pPr>
      <w:r w:rsidRPr="00EE24A5">
        <w:rPr>
          <w:lang w:val="es-ES"/>
        </w:rPr>
        <w:t>5)</w:t>
      </w:r>
      <w:r w:rsidRPr="00EE24A5">
        <w:rPr>
          <w:lang w:val="es-ES"/>
        </w:rPr>
        <w:tab/>
        <w:t>Se colocarán por orden alfabético francés, después de los demás participantes.</w:t>
      </w:r>
    </w:p>
    <w:p w14:paraId="504A8226" w14:textId="77777777" w:rsidR="00D2116A" w:rsidRDefault="00D2116A" w:rsidP="00411C49">
      <w:pPr>
        <w:pStyle w:val="Reasons"/>
      </w:pPr>
    </w:p>
    <w:p w14:paraId="556FDBBF" w14:textId="77777777" w:rsidR="00D2116A" w:rsidRDefault="00D2116A">
      <w:pPr>
        <w:jc w:val="center"/>
      </w:pPr>
      <w:r>
        <w:t>______________</w:t>
      </w:r>
    </w:p>
    <w:sectPr w:rsidR="00D2116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754C" w14:textId="77777777" w:rsidR="00EE24A5" w:rsidRDefault="00EE24A5">
      <w:r>
        <w:separator/>
      </w:r>
    </w:p>
  </w:endnote>
  <w:endnote w:type="continuationSeparator" w:id="0">
    <w:p w14:paraId="1B07A7D1" w14:textId="77777777" w:rsidR="00EE24A5" w:rsidRDefault="00E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BFD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606CC" w14:textId="25D6AED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24A5">
      <w:rPr>
        <w:noProof/>
        <w:lang w:val="en-US"/>
      </w:rPr>
      <w:t>Document69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B2D">
      <w:rPr>
        <w:noProof/>
      </w:rPr>
      <w:t>21.09.23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24A5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FD9B" w14:textId="58C9AA38" w:rsidR="0077084A" w:rsidRPr="00592851" w:rsidRDefault="00592851" w:rsidP="00592851">
    <w:pPr>
      <w:pStyle w:val="Footer"/>
      <w:rPr>
        <w:lang w:val="en-US"/>
      </w:rPr>
    </w:pPr>
    <w:fldSimple w:instr=" FILENAME \p  \* MERGEFORMAT ">
      <w:r>
        <w:t>P:\ESP\ITU-R\CONF-R\CMR23\000\056S.docx</w:t>
      </w:r>
    </w:fldSimple>
    <w:r>
      <w:t xml:space="preserve"> (</w:t>
    </w:r>
    <w:r w:rsidRPr="00592851">
      <w:t>526992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75D7" w14:textId="53A58098" w:rsidR="0077084A" w:rsidRDefault="00992B2D" w:rsidP="0059285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92851">
      <w:t>P:\ESP\ITU-R\CONF-R\CMR23\000\056S.docx</w:t>
    </w:r>
    <w:r>
      <w:fldChar w:fldCharType="end"/>
    </w:r>
    <w:r w:rsidR="00592851">
      <w:t xml:space="preserve"> (</w:t>
    </w:r>
    <w:r w:rsidR="00592851" w:rsidRPr="00592851">
      <w:t>526992</w:t>
    </w:r>
    <w:r w:rsidR="0059285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AFB9" w14:textId="77777777" w:rsidR="00EE24A5" w:rsidRDefault="00EE24A5">
      <w:r>
        <w:rPr>
          <w:b/>
        </w:rPr>
        <w:t>_______________</w:t>
      </w:r>
    </w:p>
  </w:footnote>
  <w:footnote w:type="continuationSeparator" w:id="0">
    <w:p w14:paraId="3728D7BF" w14:textId="77777777" w:rsidR="00EE24A5" w:rsidRDefault="00EE24A5">
      <w:r>
        <w:continuationSeparator/>
      </w:r>
    </w:p>
  </w:footnote>
  <w:footnote w:id="1">
    <w:p w14:paraId="595FA8EA" w14:textId="7D7E881F" w:rsidR="00592851" w:rsidRPr="00592851" w:rsidRDefault="00592851" w:rsidP="00592851">
      <w:pPr>
        <w:pStyle w:val="FootnoteText"/>
      </w:pPr>
      <w:r>
        <w:rPr>
          <w:rStyle w:val="FootnoteReference"/>
        </w:rPr>
        <w:footnoteRef/>
      </w:r>
      <w:r>
        <w:tab/>
      </w:r>
      <w:r w:rsidRPr="00592851">
        <w:rPr>
          <w:lang w:val="es-ES"/>
        </w:rPr>
        <w:t>Distintos del Estado de Palestina, cuya condición (y los derechos que conlleva) se define en la Resolución 99 (Rev. Dubái,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A2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982466" w14:textId="18F19241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</w:t>
    </w:r>
    <w:r w:rsidR="00592851">
      <w:rPr>
        <w:lang w:val="en-US"/>
      </w:rPr>
      <w:t>56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D4A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A2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82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CE2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A7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AF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AE5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2D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C3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B8B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  <w:num w:numId="12" w16cid:durableId="2140031890">
    <w:abstractNumId w:val="9"/>
  </w:num>
  <w:num w:numId="13" w16cid:durableId="2124033996">
    <w:abstractNumId w:val="7"/>
  </w:num>
  <w:num w:numId="14" w16cid:durableId="1352535541">
    <w:abstractNumId w:val="6"/>
  </w:num>
  <w:num w:numId="15" w16cid:durableId="2146775358">
    <w:abstractNumId w:val="5"/>
  </w:num>
  <w:num w:numId="16" w16cid:durableId="1273703125">
    <w:abstractNumId w:val="4"/>
  </w:num>
  <w:num w:numId="17" w16cid:durableId="51002281">
    <w:abstractNumId w:val="8"/>
  </w:num>
  <w:num w:numId="18" w16cid:durableId="1137256805">
    <w:abstractNumId w:val="3"/>
  </w:num>
  <w:num w:numId="19" w16cid:durableId="2006087480">
    <w:abstractNumId w:val="2"/>
  </w:num>
  <w:num w:numId="20" w16cid:durableId="2052226793">
    <w:abstractNumId w:val="1"/>
  </w:num>
  <w:num w:numId="21" w16cid:durableId="1567297778">
    <w:abstractNumId w:val="0"/>
  </w:num>
  <w:num w:numId="22" w16cid:durableId="448089552">
    <w:abstractNumId w:val="9"/>
  </w:num>
  <w:num w:numId="23" w16cid:durableId="1901859720">
    <w:abstractNumId w:val="7"/>
  </w:num>
  <w:num w:numId="24" w16cid:durableId="487719805">
    <w:abstractNumId w:val="6"/>
  </w:num>
  <w:num w:numId="25" w16cid:durableId="394471215">
    <w:abstractNumId w:val="5"/>
  </w:num>
  <w:num w:numId="26" w16cid:durableId="811170920">
    <w:abstractNumId w:val="4"/>
  </w:num>
  <w:num w:numId="27" w16cid:durableId="443379177">
    <w:abstractNumId w:val="8"/>
  </w:num>
  <w:num w:numId="28" w16cid:durableId="1047267300">
    <w:abstractNumId w:val="3"/>
  </w:num>
  <w:num w:numId="29" w16cid:durableId="38210765">
    <w:abstractNumId w:val="2"/>
  </w:num>
  <w:num w:numId="30" w16cid:durableId="1221284392">
    <w:abstractNumId w:val="1"/>
  </w:num>
  <w:num w:numId="31" w16cid:durableId="2133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A5"/>
    <w:rsid w:val="00087AE8"/>
    <w:rsid w:val="000D1059"/>
    <w:rsid w:val="000E45E1"/>
    <w:rsid w:val="000E5BF9"/>
    <w:rsid w:val="000F0E6D"/>
    <w:rsid w:val="00121170"/>
    <w:rsid w:val="001229BF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92851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3395E"/>
    <w:rsid w:val="00866AE6"/>
    <w:rsid w:val="0094091F"/>
    <w:rsid w:val="009538D2"/>
    <w:rsid w:val="00973754"/>
    <w:rsid w:val="00992B2D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2116A"/>
    <w:rsid w:val="00D405F7"/>
    <w:rsid w:val="00D72A5D"/>
    <w:rsid w:val="00DC629B"/>
    <w:rsid w:val="00E167B8"/>
    <w:rsid w:val="00E262F1"/>
    <w:rsid w:val="00E71D14"/>
    <w:rsid w:val="00EE24A5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8F5CF"/>
  <w15:docId w15:val="{0EB31A19-0EB3-497C-BAF1-7F45688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styleId="Hyperlink">
    <w:name w:val="Hyperlink"/>
    <w:basedOn w:val="DefaultParagraphFont"/>
    <w:unhideWhenUsed/>
    <w:rsid w:val="00EE2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4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92851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2116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S-CONF-P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30</TotalTime>
  <Pages>4</Pages>
  <Words>817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Spanish83</dc:creator>
  <cp:keywords>WRC-23</cp:keywords>
  <cp:lastModifiedBy>Spanish83</cp:lastModifiedBy>
  <cp:revision>3</cp:revision>
  <cp:lastPrinted>2003-02-19T20:20:00Z</cp:lastPrinted>
  <dcterms:created xsi:type="dcterms:W3CDTF">2023-09-21T14:50:00Z</dcterms:created>
  <dcterms:modified xsi:type="dcterms:W3CDTF">2023-09-22T07:01:00Z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