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7C306B" w14:paraId="38D887DA" w14:textId="77777777" w:rsidTr="004C6D0B">
        <w:trPr>
          <w:cantSplit/>
        </w:trPr>
        <w:tc>
          <w:tcPr>
            <w:tcW w:w="1418" w:type="dxa"/>
            <w:vAlign w:val="center"/>
          </w:tcPr>
          <w:p w14:paraId="204B0EEE" w14:textId="77777777" w:rsidR="004C6D0B" w:rsidRPr="007C306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C306B">
              <w:drawing>
                <wp:inline distT="0" distB="0" distL="0" distR="0" wp14:anchorId="658FE739" wp14:editId="5CA657C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A889281" w14:textId="77777777" w:rsidR="004C6D0B" w:rsidRPr="007C306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C306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7C306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4695B18" w14:textId="77777777" w:rsidR="004C6D0B" w:rsidRPr="007C306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7C306B">
              <w:drawing>
                <wp:inline distT="0" distB="0" distL="0" distR="0" wp14:anchorId="7482B14D" wp14:editId="54D8DDC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C306B" w14:paraId="2986CC6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5E091C1" w14:textId="77777777" w:rsidR="005651C9" w:rsidRPr="007C306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34497F7" w14:textId="77777777" w:rsidR="005651C9" w:rsidRPr="007C306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C306B" w14:paraId="4855EC2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35D4871" w14:textId="77777777" w:rsidR="005651C9" w:rsidRPr="007C306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CB0DE89" w14:textId="77777777" w:rsidR="005651C9" w:rsidRPr="007C306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C306B" w14:paraId="5446976F" w14:textId="77777777" w:rsidTr="001226EC">
        <w:trPr>
          <w:cantSplit/>
        </w:trPr>
        <w:tc>
          <w:tcPr>
            <w:tcW w:w="6771" w:type="dxa"/>
            <w:gridSpan w:val="2"/>
          </w:tcPr>
          <w:p w14:paraId="2352ACAE" w14:textId="77777777" w:rsidR="005651C9" w:rsidRPr="007C306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C306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5B74E60" w14:textId="134ECC34" w:rsidR="005651C9" w:rsidRPr="007C306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C306B">
              <w:rPr>
                <w:rFonts w:ascii="Verdana" w:hAnsi="Verdana"/>
                <w:b/>
                <w:bCs/>
                <w:sz w:val="18"/>
                <w:szCs w:val="18"/>
              </w:rPr>
              <w:t>Документ 5</w:t>
            </w:r>
            <w:r w:rsidR="00B86C7A" w:rsidRPr="007C306B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5651C9" w:rsidRPr="007C306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C306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C306B" w14:paraId="6EC9CDF2" w14:textId="77777777" w:rsidTr="001226EC">
        <w:trPr>
          <w:cantSplit/>
        </w:trPr>
        <w:tc>
          <w:tcPr>
            <w:tcW w:w="6771" w:type="dxa"/>
            <w:gridSpan w:val="2"/>
          </w:tcPr>
          <w:p w14:paraId="332C6002" w14:textId="77777777" w:rsidR="000F33D8" w:rsidRPr="007C306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86BE8AB" w14:textId="5BEBB263" w:rsidR="000F33D8" w:rsidRPr="007C306B" w:rsidRDefault="00B86C7A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C306B">
              <w:rPr>
                <w:rFonts w:ascii="Verdana" w:hAnsi="Verdana"/>
                <w:b/>
                <w:bCs/>
                <w:sz w:val="18"/>
                <w:szCs w:val="18"/>
              </w:rPr>
              <w:t>21 сентября</w:t>
            </w:r>
            <w:r w:rsidR="000F33D8" w:rsidRPr="007C306B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7C306B" w14:paraId="15201597" w14:textId="77777777" w:rsidTr="001226EC">
        <w:trPr>
          <w:cantSplit/>
        </w:trPr>
        <w:tc>
          <w:tcPr>
            <w:tcW w:w="6771" w:type="dxa"/>
            <w:gridSpan w:val="2"/>
          </w:tcPr>
          <w:p w14:paraId="4EEEB759" w14:textId="77777777" w:rsidR="000F33D8" w:rsidRPr="007C306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6FCA3AE" w14:textId="77777777" w:rsidR="000F33D8" w:rsidRPr="007C306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C306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C306B" w14:paraId="2A4B9F2F" w14:textId="77777777" w:rsidTr="009546EA">
        <w:trPr>
          <w:cantSplit/>
        </w:trPr>
        <w:tc>
          <w:tcPr>
            <w:tcW w:w="10031" w:type="dxa"/>
            <w:gridSpan w:val="4"/>
          </w:tcPr>
          <w:p w14:paraId="0AE9115C" w14:textId="77777777" w:rsidR="000F33D8" w:rsidRPr="007C306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B86C7A" w:rsidRPr="007C306B" w14:paraId="0EF09A19" w14:textId="77777777">
        <w:trPr>
          <w:cantSplit/>
        </w:trPr>
        <w:tc>
          <w:tcPr>
            <w:tcW w:w="10031" w:type="dxa"/>
            <w:gridSpan w:val="4"/>
          </w:tcPr>
          <w:p w14:paraId="3226A0B9" w14:textId="7A6E6E62" w:rsidR="00B86C7A" w:rsidRPr="007C306B" w:rsidRDefault="00B86C7A" w:rsidP="00B86C7A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C306B">
              <w:rPr>
                <w:szCs w:val="26"/>
              </w:rPr>
              <w:t>Записка Генерального секретаря</w:t>
            </w:r>
          </w:p>
        </w:tc>
      </w:tr>
      <w:tr w:rsidR="00B86C7A" w:rsidRPr="007C306B" w14:paraId="255D3FB5" w14:textId="77777777">
        <w:trPr>
          <w:cantSplit/>
        </w:trPr>
        <w:tc>
          <w:tcPr>
            <w:tcW w:w="10031" w:type="dxa"/>
            <w:gridSpan w:val="4"/>
          </w:tcPr>
          <w:p w14:paraId="3F547019" w14:textId="572F68FC" w:rsidR="00B86C7A" w:rsidRPr="007C306B" w:rsidRDefault="00B86C7A" w:rsidP="00B86C7A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C306B">
              <w:rPr>
                <w:szCs w:val="26"/>
              </w:rPr>
              <w:t>Участие наблюдателей</w:t>
            </w:r>
            <w:r w:rsidRPr="007C306B">
              <w:rPr>
                <w:rStyle w:val="FootnoteReference"/>
                <w:szCs w:val="26"/>
              </w:rPr>
              <w:footnoteReference w:customMarkFollows="1" w:id="1"/>
              <w:t>1</w:t>
            </w:r>
          </w:p>
        </w:tc>
      </w:tr>
      <w:tr w:rsidR="000F33D8" w:rsidRPr="007C306B" w14:paraId="1328299F" w14:textId="77777777">
        <w:trPr>
          <w:cantSplit/>
        </w:trPr>
        <w:tc>
          <w:tcPr>
            <w:tcW w:w="10031" w:type="dxa"/>
            <w:gridSpan w:val="4"/>
          </w:tcPr>
          <w:p w14:paraId="0561C751" w14:textId="77777777" w:rsidR="000F33D8" w:rsidRPr="007C306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C306B" w14:paraId="2E0C50FC" w14:textId="77777777">
        <w:trPr>
          <w:cantSplit/>
        </w:trPr>
        <w:tc>
          <w:tcPr>
            <w:tcW w:w="10031" w:type="dxa"/>
            <w:gridSpan w:val="4"/>
          </w:tcPr>
          <w:p w14:paraId="06D17F46" w14:textId="2BE6178F" w:rsidR="000F33D8" w:rsidRPr="007C306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5AFAC997" w14:textId="0CB04104" w:rsidR="008A73BC" w:rsidRPr="007C306B" w:rsidRDefault="00B86C7A" w:rsidP="008A73BC">
      <w:pPr>
        <w:pStyle w:val="Normalaftertitle"/>
      </w:pPr>
      <w:r w:rsidRPr="007C306B">
        <w:t xml:space="preserve">Участие наблюдателей в </w:t>
      </w:r>
      <w:r w:rsidR="002C54A1" w:rsidRPr="007C306B">
        <w:t xml:space="preserve">настоящей </w:t>
      </w:r>
      <w:r w:rsidRPr="007C306B">
        <w:t xml:space="preserve">Конференции </w:t>
      </w:r>
      <w:r w:rsidR="002C54A1" w:rsidRPr="007C306B">
        <w:t>определяется пунктами</w:t>
      </w:r>
      <w:r w:rsidRPr="007C306B">
        <w:t> 276 и 278−280 Конвенции (в том что касается допуска) и в Приложения</w:t>
      </w:r>
      <w:r w:rsidR="002C54A1" w:rsidRPr="007C306B">
        <w:t>ми</w:t>
      </w:r>
      <w:r w:rsidRPr="007C306B">
        <w:t xml:space="preserve"> 2 и 3 </w:t>
      </w:r>
      <w:r w:rsidR="002C54A1" w:rsidRPr="007C306B">
        <w:t xml:space="preserve">к </w:t>
      </w:r>
      <w:r w:rsidRPr="007C306B">
        <w:t>Резолюции </w:t>
      </w:r>
      <w:r w:rsidRPr="007C306B">
        <w:rPr>
          <w:b/>
          <w:bCs/>
        </w:rPr>
        <w:t>145</w:t>
      </w:r>
      <w:r w:rsidRPr="007C306B">
        <w:t xml:space="preserve"> (Анталия, 2006 г.) (в том что касается предоставленных прав). </w:t>
      </w:r>
      <w:r w:rsidR="008A73BC" w:rsidRPr="007C306B">
        <w:t>Соответствующие положения включены в публикацию МСЭ "</w:t>
      </w:r>
      <w:hyperlink r:id="rId14" w:history="1">
        <w:r w:rsidR="008A73BC" w:rsidRPr="007C306B">
          <w:rPr>
            <w:rStyle w:val="Hyperlink"/>
          </w:rPr>
          <w:t>Сборник текстов основных документов Международного союза электросвязи</w:t>
        </w:r>
      </w:hyperlink>
      <w:r w:rsidR="008A73BC" w:rsidRPr="007C306B">
        <w:t xml:space="preserve">", принятых Полномочной конференцией (издание 2023 г.), и представлены для удобства в Приложениях </w:t>
      </w:r>
      <w:r w:rsidR="002C54A1" w:rsidRPr="007C306B">
        <w:t>к</w:t>
      </w:r>
      <w:r w:rsidR="008A73BC" w:rsidRPr="007C306B">
        <w:t xml:space="preserve"> настоящему документу.</w:t>
      </w:r>
    </w:p>
    <w:p w14:paraId="3D196ABF" w14:textId="27F3945C" w:rsidR="00B86C7A" w:rsidRPr="007C306B" w:rsidRDefault="00B86C7A" w:rsidP="007C306B">
      <w:pPr>
        <w:tabs>
          <w:tab w:val="clear" w:pos="1134"/>
          <w:tab w:val="clear" w:pos="1871"/>
          <w:tab w:val="clear" w:pos="2268"/>
          <w:tab w:val="center" w:pos="6804"/>
        </w:tabs>
        <w:spacing w:before="1080"/>
      </w:pPr>
      <w:r w:rsidRPr="007C306B">
        <w:tab/>
        <w:t>Дорин Богдан-Мартин</w:t>
      </w:r>
      <w:r w:rsidRPr="007C306B">
        <w:br/>
      </w:r>
      <w:r w:rsidRPr="007C306B">
        <w:tab/>
        <w:t>Генеральный секретарь</w:t>
      </w:r>
    </w:p>
    <w:p w14:paraId="2924D93D" w14:textId="0DAC4E05" w:rsidR="00BF103E" w:rsidRPr="007C306B" w:rsidRDefault="009B5CC2" w:rsidP="00B86C7A">
      <w:pPr>
        <w:pStyle w:val="AnnexNo"/>
      </w:pPr>
      <w:r w:rsidRPr="007C306B">
        <w:br w:type="page"/>
      </w:r>
      <w:r w:rsidR="00B86C7A" w:rsidRPr="007C306B">
        <w:lastRenderedPageBreak/>
        <w:t>ПРИЛОЖЕНИЕ</w:t>
      </w:r>
      <w:r w:rsidR="006A4D29" w:rsidRPr="007C306B">
        <w:t xml:space="preserve"> 1</w:t>
      </w:r>
    </w:p>
    <w:p w14:paraId="1AEAF821" w14:textId="77777777" w:rsidR="00FE3316" w:rsidRPr="007C306B" w:rsidRDefault="00FE3316" w:rsidP="00FE3316">
      <w:pPr>
        <w:pStyle w:val="Volumetitle"/>
        <w:rPr>
          <w:lang w:val="ru-RU"/>
        </w:rPr>
      </w:pPr>
      <w:r w:rsidRPr="007C306B">
        <w:rPr>
          <w:lang w:val="ru-RU"/>
        </w:rPr>
        <w:t>КОНВЕНЦИЯ МЕЖДУНАРОДНОГО СОЮЗА ЭЛЕКТРОСВЯЗИ</w:t>
      </w:r>
    </w:p>
    <w:p w14:paraId="739B7DA8" w14:textId="26B578E0" w:rsidR="00B86C7A" w:rsidRPr="007C306B" w:rsidRDefault="00660E9E" w:rsidP="00FE3316">
      <w:pPr>
        <w:pStyle w:val="ChapNo"/>
        <w:rPr>
          <w:b w:val="0"/>
          <w:bCs/>
        </w:rPr>
      </w:pPr>
      <w:r w:rsidRPr="007C306B">
        <w:rPr>
          <w:b w:val="0"/>
          <w:bCs/>
        </w:rPr>
        <w:t>ГЛАВА</w:t>
      </w:r>
      <w:r w:rsidR="00B86C7A" w:rsidRPr="007C306B">
        <w:rPr>
          <w:b w:val="0"/>
          <w:bCs/>
        </w:rPr>
        <w:t xml:space="preserve"> II</w:t>
      </w:r>
    </w:p>
    <w:p w14:paraId="2F309A6E" w14:textId="6D01B424" w:rsidR="00B86C7A" w:rsidRPr="007C306B" w:rsidRDefault="00660E9E" w:rsidP="006A4D29">
      <w:pPr>
        <w:pStyle w:val="Chaptitle"/>
        <w:spacing w:after="240"/>
        <w:rPr>
          <w:sz w:val="25"/>
          <w:szCs w:val="25"/>
        </w:rPr>
      </w:pPr>
      <w:r w:rsidRPr="007C306B">
        <w:t>Конкретные положения, касающиеся конференций и ассамблей</w:t>
      </w: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235"/>
        <w:gridCol w:w="7410"/>
      </w:tblGrid>
      <w:tr w:rsidR="00B86C7A" w:rsidRPr="007C306B" w14:paraId="687FBF35" w14:textId="77777777" w:rsidTr="00B86C7A">
        <w:trPr>
          <w:trHeight w:val="258"/>
        </w:trPr>
        <w:tc>
          <w:tcPr>
            <w:tcW w:w="2235" w:type="dxa"/>
          </w:tcPr>
          <w:p w14:paraId="2F72464B" w14:textId="77777777" w:rsidR="00B86C7A" w:rsidRPr="007C306B" w:rsidRDefault="00B86C7A" w:rsidP="00FE3316">
            <w:pPr>
              <w:rPr>
                <w:b/>
                <w:bCs/>
                <w:sz w:val="20"/>
              </w:rPr>
            </w:pPr>
          </w:p>
        </w:tc>
        <w:tc>
          <w:tcPr>
            <w:tcW w:w="7410" w:type="dxa"/>
          </w:tcPr>
          <w:p w14:paraId="5A577711" w14:textId="7A9EE84F" w:rsidR="00B86C7A" w:rsidRPr="007C306B" w:rsidRDefault="00660E9E" w:rsidP="00FE3316">
            <w:pPr>
              <w:pStyle w:val="ArtNo"/>
              <w:spacing w:before="120"/>
            </w:pPr>
            <w:r w:rsidRPr="007C306B">
              <w:t>СТАТЬЯ</w:t>
            </w:r>
            <w:r w:rsidR="00B86C7A" w:rsidRPr="007C306B">
              <w:t xml:space="preserve"> 24</w:t>
            </w:r>
          </w:p>
        </w:tc>
      </w:tr>
      <w:tr w:rsidR="00B86C7A" w:rsidRPr="007C306B" w14:paraId="2DE4C265" w14:textId="77777777" w:rsidTr="00B86C7A">
        <w:trPr>
          <w:trHeight w:val="258"/>
        </w:trPr>
        <w:tc>
          <w:tcPr>
            <w:tcW w:w="2235" w:type="dxa"/>
          </w:tcPr>
          <w:p w14:paraId="07D75403" w14:textId="55B3903A" w:rsidR="00B86C7A" w:rsidRPr="007C306B" w:rsidRDefault="00660E9E" w:rsidP="00FE3316">
            <w:pPr>
              <w:rPr>
                <w:b/>
                <w:bCs/>
                <w:sz w:val="18"/>
                <w:szCs w:val="18"/>
              </w:rPr>
            </w:pP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ПК</w:t>
            </w:r>
            <w:r w:rsidR="00B86C7A" w:rsidRPr="007C306B">
              <w:rPr>
                <w:b/>
                <w:bCs/>
                <w:color w:val="000000" w:themeColor="text1"/>
                <w:sz w:val="18"/>
                <w:szCs w:val="18"/>
              </w:rPr>
              <w:t>-02</w:t>
            </w:r>
          </w:p>
        </w:tc>
        <w:tc>
          <w:tcPr>
            <w:tcW w:w="7410" w:type="dxa"/>
          </w:tcPr>
          <w:p w14:paraId="6ABE9EF3" w14:textId="4D75CF26" w:rsidR="00B86C7A" w:rsidRPr="007C306B" w:rsidRDefault="00660E9E" w:rsidP="00FE3316">
            <w:pPr>
              <w:pStyle w:val="Arttitle"/>
              <w:spacing w:before="120"/>
              <w:rPr>
                <w:color w:val="403F41"/>
                <w:sz w:val="20"/>
              </w:rPr>
            </w:pPr>
            <w:r w:rsidRPr="007C306B">
              <w:t>Допуск на конференции радиосвязи</w:t>
            </w:r>
          </w:p>
        </w:tc>
      </w:tr>
      <w:tr w:rsidR="00B86C7A" w:rsidRPr="007C306B" w14:paraId="2BDB7FE2" w14:textId="77777777" w:rsidTr="00B86C7A">
        <w:trPr>
          <w:trHeight w:val="258"/>
        </w:trPr>
        <w:tc>
          <w:tcPr>
            <w:tcW w:w="2235" w:type="dxa"/>
          </w:tcPr>
          <w:p w14:paraId="3C0268AB" w14:textId="09D893C9" w:rsidR="00B86C7A" w:rsidRPr="007C306B" w:rsidRDefault="00B86C7A" w:rsidP="00FE331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270</w:t>
            </w:r>
            <w:r w:rsidR="00660E9E" w:rsidRPr="007C306B">
              <w:rPr>
                <w:b/>
                <w:bCs/>
                <w:color w:val="000000" w:themeColor="text1"/>
                <w:sz w:val="18"/>
                <w:szCs w:val="18"/>
              </w:rPr>
              <w:t>−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275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="00660E9E" w:rsidRPr="007C306B">
              <w:rPr>
                <w:b/>
                <w:bCs/>
                <w:color w:val="000000" w:themeColor="text1"/>
                <w:sz w:val="18"/>
                <w:szCs w:val="18"/>
              </w:rPr>
              <w:t>ПК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-02</w:t>
            </w:r>
          </w:p>
        </w:tc>
        <w:tc>
          <w:tcPr>
            <w:tcW w:w="7410" w:type="dxa"/>
          </w:tcPr>
          <w:p w14:paraId="43764901" w14:textId="1F1AA719" w:rsidR="00B86C7A" w:rsidRPr="007C306B" w:rsidRDefault="00B86C7A" w:rsidP="00FE3316">
            <w:pPr>
              <w:pStyle w:val="enumlev1"/>
              <w:tabs>
                <w:tab w:val="clear" w:pos="1134"/>
                <w:tab w:val="clear" w:pos="1871"/>
                <w:tab w:val="clear" w:pos="2608"/>
                <w:tab w:val="clear" w:pos="3345"/>
                <w:tab w:val="left" w:pos="567"/>
              </w:tabs>
              <w:spacing w:before="120"/>
              <w:ind w:left="567" w:hanging="567"/>
            </w:pPr>
            <w:r w:rsidRPr="007C306B">
              <w:t>(</w:t>
            </w:r>
            <w:proofErr w:type="spellStart"/>
            <w:r w:rsidR="00660E9E" w:rsidRPr="007C306B">
              <w:t>ИСКЛ</w:t>
            </w:r>
            <w:proofErr w:type="spellEnd"/>
            <w:r w:rsidRPr="007C306B">
              <w:t>)</w:t>
            </w:r>
          </w:p>
        </w:tc>
      </w:tr>
      <w:tr w:rsidR="00B86C7A" w:rsidRPr="007C306B" w14:paraId="01393739" w14:textId="77777777" w:rsidTr="00B86C7A">
        <w:trPr>
          <w:trHeight w:val="258"/>
        </w:trPr>
        <w:tc>
          <w:tcPr>
            <w:tcW w:w="2235" w:type="dxa"/>
          </w:tcPr>
          <w:p w14:paraId="1EC5D6BF" w14:textId="38FAC4D9" w:rsidR="00B86C7A" w:rsidRPr="007C306B" w:rsidRDefault="00B86C7A" w:rsidP="00FE331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276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="00660E9E" w:rsidRPr="007C306B">
              <w:rPr>
                <w:b/>
                <w:bCs/>
                <w:color w:val="000000" w:themeColor="text1"/>
                <w:sz w:val="18"/>
                <w:szCs w:val="18"/>
              </w:rPr>
              <w:t>ПК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-02</w:t>
            </w:r>
          </w:p>
        </w:tc>
        <w:tc>
          <w:tcPr>
            <w:tcW w:w="7410" w:type="dxa"/>
          </w:tcPr>
          <w:p w14:paraId="26CC2877" w14:textId="094CD850" w:rsidR="00B86C7A" w:rsidRPr="007C306B" w:rsidRDefault="00B86C7A" w:rsidP="00FE3316">
            <w:pPr>
              <w:pStyle w:val="enumlev1"/>
              <w:tabs>
                <w:tab w:val="clear" w:pos="1134"/>
                <w:tab w:val="clear" w:pos="1871"/>
                <w:tab w:val="clear" w:pos="2608"/>
                <w:tab w:val="clear" w:pos="3345"/>
                <w:tab w:val="left" w:pos="567"/>
              </w:tabs>
              <w:spacing w:before="120"/>
              <w:ind w:left="567" w:hanging="567"/>
            </w:pPr>
            <w:r w:rsidRPr="007C306B">
              <w:t>1</w:t>
            </w:r>
            <w:r w:rsidR="00FE3316" w:rsidRPr="007C306B">
              <w:tab/>
              <w:t>На конференции радиосвязи допускаются</w:t>
            </w:r>
            <w:r w:rsidRPr="007C306B">
              <w:t>:</w:t>
            </w:r>
          </w:p>
        </w:tc>
      </w:tr>
      <w:tr w:rsidR="00B86C7A" w:rsidRPr="007C306B" w14:paraId="51C00ADC" w14:textId="77777777" w:rsidTr="00B86C7A">
        <w:trPr>
          <w:trHeight w:val="138"/>
        </w:trPr>
        <w:tc>
          <w:tcPr>
            <w:tcW w:w="2235" w:type="dxa"/>
          </w:tcPr>
          <w:p w14:paraId="0B083EF5" w14:textId="77777777" w:rsidR="00B86C7A" w:rsidRPr="007C306B" w:rsidRDefault="00B86C7A" w:rsidP="00FE3316">
            <w:pPr>
              <w:spacing w:before="8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277</w:t>
            </w:r>
          </w:p>
        </w:tc>
        <w:tc>
          <w:tcPr>
            <w:tcW w:w="7410" w:type="dxa"/>
          </w:tcPr>
          <w:p w14:paraId="5663E7CA" w14:textId="1B62C937" w:rsidR="00B86C7A" w:rsidRPr="007C306B" w:rsidRDefault="00B86C7A" w:rsidP="00FE3316">
            <w:pPr>
              <w:pStyle w:val="enumlev1"/>
              <w:tabs>
                <w:tab w:val="clear" w:pos="1134"/>
                <w:tab w:val="clear" w:pos="1871"/>
                <w:tab w:val="clear" w:pos="2608"/>
                <w:tab w:val="clear" w:pos="3345"/>
                <w:tab w:val="left" w:pos="567"/>
              </w:tabs>
              <w:ind w:left="567" w:hanging="567"/>
            </w:pPr>
            <w:r w:rsidRPr="007C306B">
              <w:rPr>
                <w:i/>
                <w:iCs/>
              </w:rPr>
              <w:t>a)</w:t>
            </w:r>
            <w:r w:rsidR="00FE3316" w:rsidRPr="007C306B">
              <w:rPr>
                <w:i/>
                <w:iCs/>
              </w:rPr>
              <w:tab/>
            </w:r>
            <w:r w:rsidR="00FE3316" w:rsidRPr="007C306B">
              <w:t>делегации</w:t>
            </w:r>
            <w:r w:rsidRPr="007C306B">
              <w:t>;</w:t>
            </w:r>
          </w:p>
        </w:tc>
      </w:tr>
      <w:tr w:rsidR="00B86C7A" w:rsidRPr="007C306B" w14:paraId="34CA6B7E" w14:textId="77777777" w:rsidTr="00B86C7A">
        <w:trPr>
          <w:trHeight w:val="378"/>
        </w:trPr>
        <w:tc>
          <w:tcPr>
            <w:tcW w:w="2235" w:type="dxa"/>
          </w:tcPr>
          <w:p w14:paraId="4F6D6D3E" w14:textId="5A6D5CD5" w:rsidR="00B86C7A" w:rsidRPr="007C306B" w:rsidRDefault="00B86C7A" w:rsidP="00FE3316">
            <w:pPr>
              <w:spacing w:before="8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278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="00660E9E" w:rsidRPr="007C306B">
              <w:rPr>
                <w:b/>
                <w:bCs/>
                <w:color w:val="000000" w:themeColor="text1"/>
                <w:sz w:val="18"/>
                <w:szCs w:val="18"/>
              </w:rPr>
              <w:t>ПК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 xml:space="preserve">-02 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="00660E9E" w:rsidRPr="007C306B">
              <w:rPr>
                <w:b/>
                <w:bCs/>
                <w:color w:val="000000" w:themeColor="text1"/>
                <w:sz w:val="18"/>
                <w:szCs w:val="18"/>
              </w:rPr>
              <w:t>ПК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-06</w:t>
            </w:r>
          </w:p>
        </w:tc>
        <w:tc>
          <w:tcPr>
            <w:tcW w:w="7410" w:type="dxa"/>
          </w:tcPr>
          <w:p w14:paraId="3404BCC4" w14:textId="1D76A562" w:rsidR="00B86C7A" w:rsidRPr="007C306B" w:rsidRDefault="00B86C7A" w:rsidP="00FE3316">
            <w:pPr>
              <w:pStyle w:val="enumlev1"/>
              <w:tabs>
                <w:tab w:val="clear" w:pos="1134"/>
                <w:tab w:val="clear" w:pos="1871"/>
                <w:tab w:val="clear" w:pos="2608"/>
                <w:tab w:val="clear" w:pos="3345"/>
                <w:tab w:val="left" w:pos="567"/>
              </w:tabs>
              <w:ind w:left="567" w:hanging="567"/>
            </w:pPr>
            <w:r w:rsidRPr="007C306B">
              <w:rPr>
                <w:i/>
                <w:iCs/>
              </w:rPr>
              <w:t>b)</w:t>
            </w:r>
            <w:r w:rsidR="00FE3316" w:rsidRPr="007C306B">
              <w:rPr>
                <w:i/>
                <w:iCs/>
              </w:rPr>
              <w:tab/>
            </w:r>
            <w:r w:rsidR="00FE3316" w:rsidRPr="007C306B">
              <w:t xml:space="preserve">наблюдатели от организаций и учреждений, упомянутых в пп. </w:t>
            </w:r>
            <w:proofErr w:type="spellStart"/>
            <w:r w:rsidR="00FE3316" w:rsidRPr="007C306B">
              <w:t>269А</w:t>
            </w:r>
            <w:proofErr w:type="spellEnd"/>
            <w:r w:rsidR="00FE3316" w:rsidRPr="007C306B">
              <w:t>–</w:t>
            </w:r>
            <w:proofErr w:type="spellStart"/>
            <w:r w:rsidR="00FE3316" w:rsidRPr="007C306B">
              <w:t>269D</w:t>
            </w:r>
            <w:proofErr w:type="spellEnd"/>
            <w:r w:rsidR="00FE3316" w:rsidRPr="007C306B">
              <w:t xml:space="preserve"> настоящей Конвенции, которые могут участвовать с правом совещательного голоса</w:t>
            </w:r>
            <w:r w:rsidRPr="007C306B">
              <w:t>;</w:t>
            </w:r>
          </w:p>
        </w:tc>
      </w:tr>
      <w:tr w:rsidR="00B86C7A" w:rsidRPr="007C306B" w14:paraId="3ED01518" w14:textId="77777777" w:rsidTr="00B86C7A">
        <w:trPr>
          <w:trHeight w:val="378"/>
        </w:trPr>
        <w:tc>
          <w:tcPr>
            <w:tcW w:w="2235" w:type="dxa"/>
          </w:tcPr>
          <w:p w14:paraId="637A14CB" w14:textId="1B88852D" w:rsidR="00B86C7A" w:rsidRPr="007C306B" w:rsidRDefault="00B86C7A" w:rsidP="00FE3316">
            <w:pPr>
              <w:spacing w:before="8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279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="00660E9E" w:rsidRPr="007C306B">
              <w:rPr>
                <w:b/>
                <w:bCs/>
                <w:color w:val="000000" w:themeColor="text1"/>
                <w:sz w:val="18"/>
                <w:szCs w:val="18"/>
              </w:rPr>
              <w:t>ПК</w:t>
            </w:r>
            <w:r w:rsidR="00E178FD" w:rsidRPr="007C306B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 xml:space="preserve">02 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="00660E9E" w:rsidRPr="007C306B">
              <w:rPr>
                <w:b/>
                <w:bCs/>
                <w:color w:val="000000" w:themeColor="text1"/>
                <w:sz w:val="18"/>
                <w:szCs w:val="18"/>
              </w:rPr>
              <w:t>ПК-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410" w:type="dxa"/>
          </w:tcPr>
          <w:p w14:paraId="0FD378DB" w14:textId="59938D1A" w:rsidR="00B86C7A" w:rsidRPr="007C306B" w:rsidRDefault="00B86C7A" w:rsidP="00FE3316">
            <w:pPr>
              <w:pStyle w:val="enumlev1"/>
              <w:tabs>
                <w:tab w:val="clear" w:pos="1134"/>
                <w:tab w:val="clear" w:pos="1871"/>
                <w:tab w:val="clear" w:pos="2608"/>
                <w:tab w:val="clear" w:pos="3345"/>
                <w:tab w:val="left" w:pos="567"/>
              </w:tabs>
              <w:ind w:left="567" w:hanging="567"/>
            </w:pPr>
            <w:r w:rsidRPr="007C306B">
              <w:rPr>
                <w:i/>
                <w:iCs/>
              </w:rPr>
              <w:t>c)</w:t>
            </w:r>
            <w:r w:rsidR="00FE3316" w:rsidRPr="007C306B">
              <w:tab/>
              <w:t>наблюдатели от других международных организаций, приглашаемых в соответствии с надлежащими положениями Главы I Общего регламента конференций, ассамблей и собраний Союза, которые могут участвовать с правом совещательного голоса</w:t>
            </w:r>
            <w:r w:rsidRPr="007C306B">
              <w:t>;</w:t>
            </w:r>
          </w:p>
        </w:tc>
      </w:tr>
      <w:tr w:rsidR="00B86C7A" w:rsidRPr="007C306B" w14:paraId="62F17514" w14:textId="77777777" w:rsidTr="00B86C7A">
        <w:trPr>
          <w:trHeight w:val="378"/>
        </w:trPr>
        <w:tc>
          <w:tcPr>
            <w:tcW w:w="2235" w:type="dxa"/>
          </w:tcPr>
          <w:p w14:paraId="7A3A2587" w14:textId="2B0BE5A7" w:rsidR="00B86C7A" w:rsidRPr="007C306B" w:rsidRDefault="00B86C7A" w:rsidP="00FE3316">
            <w:pPr>
              <w:spacing w:before="8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280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="00660E9E" w:rsidRPr="007C306B">
              <w:rPr>
                <w:b/>
                <w:bCs/>
                <w:color w:val="000000" w:themeColor="text1"/>
                <w:sz w:val="18"/>
                <w:szCs w:val="18"/>
              </w:rPr>
              <w:t>ПК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-98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="00660E9E" w:rsidRPr="007C306B">
              <w:rPr>
                <w:b/>
                <w:bCs/>
                <w:color w:val="000000" w:themeColor="text1"/>
                <w:sz w:val="18"/>
                <w:szCs w:val="18"/>
              </w:rPr>
              <w:t>ПК</w:t>
            </w:r>
            <w:r w:rsidRPr="007C306B">
              <w:rPr>
                <w:b/>
                <w:bCs/>
                <w:color w:val="000000" w:themeColor="text1"/>
                <w:sz w:val="18"/>
                <w:szCs w:val="18"/>
              </w:rPr>
              <w:t>-06</w:t>
            </w:r>
          </w:p>
        </w:tc>
        <w:tc>
          <w:tcPr>
            <w:tcW w:w="7410" w:type="dxa"/>
          </w:tcPr>
          <w:p w14:paraId="23BE9F49" w14:textId="679BAA99" w:rsidR="00B86C7A" w:rsidRPr="007C306B" w:rsidRDefault="00B86C7A" w:rsidP="00FE3316">
            <w:pPr>
              <w:pStyle w:val="enumlev1"/>
              <w:tabs>
                <w:tab w:val="clear" w:pos="1134"/>
                <w:tab w:val="clear" w:pos="1871"/>
                <w:tab w:val="clear" w:pos="2608"/>
                <w:tab w:val="clear" w:pos="3345"/>
                <w:tab w:val="left" w:pos="567"/>
              </w:tabs>
              <w:ind w:left="567" w:hanging="567"/>
              <w:rPr>
                <w:i/>
                <w:iCs/>
              </w:rPr>
            </w:pPr>
            <w:r w:rsidRPr="007C306B">
              <w:rPr>
                <w:i/>
                <w:iCs/>
              </w:rPr>
              <w:t>d)</w:t>
            </w:r>
            <w:r w:rsidR="00FE3316" w:rsidRPr="007C306B">
              <w:rPr>
                <w:i/>
                <w:iCs/>
              </w:rPr>
              <w:tab/>
            </w:r>
            <w:r w:rsidR="00FE3316" w:rsidRPr="007C306B">
              <w:t>наблюдатели от Членов Сектора радиосвязи</w:t>
            </w:r>
            <w:r w:rsidRPr="007C306B">
              <w:t>;</w:t>
            </w:r>
          </w:p>
        </w:tc>
      </w:tr>
      <w:tr w:rsidR="00B86C7A" w:rsidRPr="007C306B" w14:paraId="21935CB4" w14:textId="77777777" w:rsidTr="00B86C7A">
        <w:trPr>
          <w:trHeight w:val="378"/>
        </w:trPr>
        <w:tc>
          <w:tcPr>
            <w:tcW w:w="2235" w:type="dxa"/>
          </w:tcPr>
          <w:p w14:paraId="64257DFE" w14:textId="77777777" w:rsidR="00B86C7A" w:rsidRPr="007C306B" w:rsidRDefault="00B86C7A" w:rsidP="00FE3316">
            <w:pPr>
              <w:pStyle w:val="Pa22"/>
              <w:spacing w:before="12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7410" w:type="dxa"/>
          </w:tcPr>
          <w:p w14:paraId="0D5F7189" w14:textId="77777777" w:rsidR="00B86C7A" w:rsidRPr="007C306B" w:rsidRDefault="00B86C7A" w:rsidP="00FE3316">
            <w:pPr>
              <w:pStyle w:val="Pa6"/>
              <w:spacing w:before="12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7C306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[…]</w:t>
            </w:r>
          </w:p>
        </w:tc>
      </w:tr>
    </w:tbl>
    <w:p w14:paraId="366A624C" w14:textId="2A49BE0D" w:rsidR="00B86C7A" w:rsidRPr="007C306B" w:rsidRDefault="00B86C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C306B">
        <w:br w:type="page"/>
      </w:r>
    </w:p>
    <w:p w14:paraId="66598501" w14:textId="128A2CCF" w:rsidR="006A4D29" w:rsidRPr="007C306B" w:rsidRDefault="006A4D29" w:rsidP="006A4D29">
      <w:pPr>
        <w:pStyle w:val="AnnexNo"/>
      </w:pPr>
      <w:r w:rsidRPr="007C306B">
        <w:lastRenderedPageBreak/>
        <w:t>ПРИЛОЖЕНИЕ 2</w:t>
      </w:r>
    </w:p>
    <w:p w14:paraId="6589064B" w14:textId="77777777" w:rsidR="006A4D29" w:rsidRPr="007C306B" w:rsidRDefault="006A4D29" w:rsidP="006A4D29">
      <w:pPr>
        <w:pStyle w:val="ResNo"/>
      </w:pPr>
      <w:r w:rsidRPr="007C306B">
        <w:t xml:space="preserve">РЕЗОЛЮЦИЯ </w:t>
      </w:r>
      <w:r w:rsidRPr="007C306B">
        <w:rPr>
          <w:rStyle w:val="href"/>
        </w:rPr>
        <w:t>145</w:t>
      </w:r>
      <w:r w:rsidRPr="007C306B">
        <w:t xml:space="preserve"> (</w:t>
      </w:r>
      <w:r w:rsidRPr="007C306B">
        <w:rPr>
          <w:caps w:val="0"/>
        </w:rPr>
        <w:t>АНТАЛИЯ</w:t>
      </w:r>
      <w:r w:rsidRPr="007C306B">
        <w:t>, 2006 </w:t>
      </w:r>
      <w:r w:rsidRPr="007C306B">
        <w:rPr>
          <w:caps w:val="0"/>
        </w:rPr>
        <w:t>Г</w:t>
      </w:r>
      <w:r w:rsidRPr="007C306B">
        <w:t>.)</w:t>
      </w:r>
    </w:p>
    <w:p w14:paraId="54C35C63" w14:textId="41076412" w:rsidR="006A4D29" w:rsidRPr="007C306B" w:rsidRDefault="006A4D29" w:rsidP="006A4D29">
      <w:pPr>
        <w:pStyle w:val="Restitle"/>
      </w:pPr>
      <w:r w:rsidRPr="007C306B">
        <w:t>Участие наблюдателей в конференциях, ассамблеях и собраниях Союза</w:t>
      </w:r>
    </w:p>
    <w:p w14:paraId="29458431" w14:textId="77777777" w:rsidR="006A4D29" w:rsidRPr="007C306B" w:rsidRDefault="006A4D29" w:rsidP="006A4D29">
      <w:r w:rsidRPr="007C306B">
        <w:t>[…]</w:t>
      </w:r>
    </w:p>
    <w:p w14:paraId="6BE88280" w14:textId="77777777" w:rsidR="006A4D29" w:rsidRPr="007C306B" w:rsidRDefault="006A4D29" w:rsidP="006A4D29">
      <w:pPr>
        <w:pStyle w:val="AnnexNo"/>
      </w:pPr>
      <w:r w:rsidRPr="007C306B">
        <w:t xml:space="preserve">ПРИЛОЖЕНИЕ 2 </w:t>
      </w:r>
      <w:r w:rsidRPr="007C306B">
        <w:rPr>
          <w:caps w:val="0"/>
        </w:rPr>
        <w:t>К</w:t>
      </w:r>
      <w:r w:rsidRPr="007C306B">
        <w:t xml:space="preserve"> РЕЗОЛЮЦИИ 145 (</w:t>
      </w:r>
      <w:r w:rsidRPr="007C306B">
        <w:rPr>
          <w:caps w:val="0"/>
        </w:rPr>
        <w:t>АНТАЛИЯ</w:t>
      </w:r>
      <w:r w:rsidRPr="007C306B">
        <w:t>, 2006 </w:t>
      </w:r>
      <w:r w:rsidRPr="007C306B">
        <w:rPr>
          <w:caps w:val="0"/>
        </w:rPr>
        <w:t>Г</w:t>
      </w:r>
      <w:r w:rsidRPr="007C306B">
        <w:t>.)</w:t>
      </w:r>
    </w:p>
    <w:p w14:paraId="51E35C0A" w14:textId="3DC2CFF0" w:rsidR="006A4D29" w:rsidRPr="007C306B" w:rsidRDefault="006A4D29" w:rsidP="006A4D29">
      <w:pPr>
        <w:pStyle w:val="Annextitle"/>
      </w:pPr>
      <w:r w:rsidRPr="007C306B">
        <w:t>Наблюдатели, которые участвуют с правом совещательного голоса</w:t>
      </w:r>
    </w:p>
    <w:p w14:paraId="1A4EC912" w14:textId="77777777" w:rsidR="006A4D29" w:rsidRPr="007C306B" w:rsidRDefault="006A4D29" w:rsidP="006A4D29">
      <w:pPr>
        <w:pStyle w:val="Normalaftertitle"/>
      </w:pPr>
      <w:r w:rsidRPr="007C306B">
        <w:t>Организациям, учреждениям и объединениям, которые допускаются к участию в качестве наблюдателей с правом совещательного голоса в конференциях, ассамблеях и собраниях Союза согласно соответствующим положениям Конвенции МСЭ, предоставляются следующие права:</w:t>
      </w:r>
    </w:p>
    <w:p w14:paraId="5B847E6B" w14:textId="77777777" w:rsidR="006A4D29" w:rsidRPr="007C306B" w:rsidRDefault="006A4D29" w:rsidP="006A4D29">
      <w:pPr>
        <w:pStyle w:val="Heading1"/>
        <w:tabs>
          <w:tab w:val="clear" w:pos="1134"/>
        </w:tabs>
        <w:ind w:left="567" w:hanging="567"/>
      </w:pPr>
      <w:r w:rsidRPr="007C306B">
        <w:t>I</w:t>
      </w:r>
      <w:r w:rsidRPr="007C306B">
        <w:tab/>
        <w:t>Полномочные конференции (Статья 23, пп. </w:t>
      </w:r>
      <w:proofErr w:type="spellStart"/>
      <w:r w:rsidRPr="007C306B">
        <w:t>269A</w:t>
      </w:r>
      <w:proofErr w:type="spellEnd"/>
      <w:r w:rsidRPr="007C306B">
        <w:t>–</w:t>
      </w:r>
      <w:proofErr w:type="spellStart"/>
      <w:r w:rsidRPr="007C306B">
        <w:t>269D</w:t>
      </w:r>
      <w:proofErr w:type="spellEnd"/>
      <w:r w:rsidRPr="007C306B">
        <w:t>), конференции радиосвязи (Статья 24, пп. 278 и 279) и всемирные конференции по международной электросвязи (Статья 3, п. 49; Статья 24, пп. 278 и 279)</w:t>
      </w:r>
    </w:p>
    <w:p w14:paraId="04F2C8A2" w14:textId="77777777" w:rsidR="006A4D29" w:rsidRPr="007C306B" w:rsidRDefault="006A4D29" w:rsidP="006A4D29">
      <w:r w:rsidRPr="007C306B">
        <w:t>Такие наблюдатели:</w:t>
      </w:r>
    </w:p>
    <w:p w14:paraId="7107A8B2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</w:pPr>
      <w:r w:rsidRPr="007C306B">
        <w:t>1)</w:t>
      </w:r>
      <w:r w:rsidRPr="007C306B">
        <w:tab/>
        <w:t>допускаются к участию в пленарных заседаниях;</w:t>
      </w:r>
    </w:p>
    <w:p w14:paraId="4DDF9732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</w:pPr>
      <w:r w:rsidRPr="007C306B">
        <w:t>2)</w:t>
      </w:r>
      <w:r w:rsidRPr="007C306B">
        <w:tab/>
        <w:t>если пленарное заседание не приняло иного решения, могут быть допущены к участию в комитетах, за исключением Руководящего комитета, Комитета по бюджетному контролю, Комитета по проверке полномочий и Редакционного комитета, и в подчиненных им группах;</w:t>
      </w:r>
    </w:p>
    <w:p w14:paraId="15B82D9C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</w:pPr>
      <w:r w:rsidRPr="007C306B">
        <w:t>3)</w:t>
      </w:r>
      <w:r w:rsidRPr="007C306B">
        <w:tab/>
        <w:t>имеют право на получение любой документации конференции в пределах ограничений, установленных в отношении количества распространяемых экземпляров;</w:t>
      </w:r>
    </w:p>
    <w:p w14:paraId="55BA8858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</w:pPr>
      <w:r w:rsidRPr="007C306B">
        <w:t>4)</w:t>
      </w:r>
      <w:r w:rsidRPr="007C306B">
        <w:tab/>
        <w:t>могут представлять через Генерального секретаря информационные документы, которые будут распространяться на конференции на официальном(ых) языке(ах) МСЭ, на котором(ых) они представлены; в повестках дня соответствующих собраний эти документы должны четко указываться как информационные документы;</w:t>
      </w:r>
    </w:p>
    <w:p w14:paraId="700D8D87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</w:pPr>
      <w:r w:rsidRPr="007C306B">
        <w:t>5)</w:t>
      </w:r>
      <w:r w:rsidRPr="007C306B">
        <w:tab/>
        <w:t>могут просить слово для внесения рекомендаций или предоставления информации по вопросам, относящимся к их компетенции; такие рекомендации не должны включать предложения и не должны рассматриваться как таковые;</w:t>
      </w:r>
    </w:p>
    <w:p w14:paraId="52FB7405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</w:pPr>
      <w:r w:rsidRPr="007C306B">
        <w:t>6)</w:t>
      </w:r>
      <w:r w:rsidRPr="007C306B">
        <w:tab/>
        <w:t>получают от председателя право выступить после Государства-Члена, являющегося последним в списке выступающих;</w:t>
      </w:r>
    </w:p>
    <w:p w14:paraId="4D4317AB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</w:pPr>
      <w:r w:rsidRPr="007C306B">
        <w:t>7)</w:t>
      </w:r>
      <w:r w:rsidRPr="007C306B">
        <w:tab/>
        <w:t>могут по просьбе председателя в ходе собрания сделать заявление или представить соответствующую информацию в помощь ведению собрания;</w:t>
      </w:r>
    </w:p>
    <w:p w14:paraId="21EFC839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</w:pPr>
      <w:r w:rsidRPr="007C306B">
        <w:t>8)</w:t>
      </w:r>
      <w:r w:rsidRPr="007C306B">
        <w:tab/>
        <w:t>должны регистрироваться таким образом, чтобы участники конференции могли определить, что они являются наблюдателями;</w:t>
      </w:r>
    </w:p>
    <w:p w14:paraId="06E10907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</w:pPr>
      <w:r w:rsidRPr="007C306B">
        <w:t>9)</w:t>
      </w:r>
      <w:r w:rsidRPr="007C306B">
        <w:tab/>
        <w:t>размещаются в порядке французского алфавита после Государств-Членов и наблюдателя согласно Резолюции 99 (Пересм. Анталия, 2006 г.) Полномочной конференции.</w:t>
      </w:r>
    </w:p>
    <w:p w14:paraId="02240E9D" w14:textId="77777777" w:rsidR="006A4D29" w:rsidRPr="007C306B" w:rsidRDefault="006A4D29" w:rsidP="006A4D29">
      <w:r w:rsidRPr="007C306B">
        <w:t>В случае конференции радиосвязи или всемирной конференции по международной электросвязи участники из организаций, обладающих статусом Члена Сектора и статусом наблюдателя с правом совещательного голоса, должны регистрироваться и участвовать в рамках какой-либо одной из этих категорий.</w:t>
      </w:r>
    </w:p>
    <w:p w14:paraId="7EFAC2DA" w14:textId="77777777" w:rsidR="006A4D29" w:rsidRPr="007C306B" w:rsidRDefault="006A4D29" w:rsidP="006A4D29">
      <w:r w:rsidRPr="007C306B">
        <w:t>[…]</w:t>
      </w:r>
    </w:p>
    <w:p w14:paraId="4858E880" w14:textId="77777777" w:rsidR="006A4D29" w:rsidRPr="007C306B" w:rsidRDefault="006A4D29" w:rsidP="006A4D29">
      <w:pPr>
        <w:pStyle w:val="AnnexNo"/>
      </w:pPr>
      <w:r w:rsidRPr="007C306B">
        <w:lastRenderedPageBreak/>
        <w:t xml:space="preserve">ПРИЛОЖЕНИЕ 3 </w:t>
      </w:r>
      <w:r w:rsidRPr="007C306B">
        <w:rPr>
          <w:caps w:val="0"/>
        </w:rPr>
        <w:t>К</w:t>
      </w:r>
      <w:r w:rsidRPr="007C306B">
        <w:t xml:space="preserve"> РЕЗОЛЮЦИИ 145 (</w:t>
      </w:r>
      <w:r w:rsidRPr="007C306B">
        <w:rPr>
          <w:caps w:val="0"/>
        </w:rPr>
        <w:t>АНТАЛИЯ</w:t>
      </w:r>
      <w:r w:rsidRPr="007C306B">
        <w:t>, 2006 </w:t>
      </w:r>
      <w:r w:rsidRPr="007C306B">
        <w:rPr>
          <w:caps w:val="0"/>
        </w:rPr>
        <w:t>Г</w:t>
      </w:r>
      <w:r w:rsidRPr="007C306B">
        <w:t>.)</w:t>
      </w:r>
    </w:p>
    <w:p w14:paraId="15DC4900" w14:textId="75B00A05" w:rsidR="006A4D29" w:rsidRPr="007C306B" w:rsidRDefault="006A4D29" w:rsidP="006A4D29">
      <w:pPr>
        <w:pStyle w:val="Annextitle"/>
      </w:pPr>
      <w:r w:rsidRPr="007C306B">
        <w:t>Наблюдатели, которые не участвуют с правом совещательного голоса</w:t>
      </w:r>
    </w:p>
    <w:p w14:paraId="3EE937F4" w14:textId="77777777" w:rsidR="006A4D29" w:rsidRPr="007C306B" w:rsidRDefault="006A4D29" w:rsidP="006A4D29">
      <w:pPr>
        <w:pStyle w:val="Normalaftertitle"/>
      </w:pPr>
      <w:r w:rsidRPr="007C306B">
        <w:t>Организациям и объединениям, которые допускаются к участию в качестве наблюдателей в конференциях, ассамблеях и собраниях Союза согласно соответствующим положениям Конвенции МСЭ, предоставляются следующие права:</w:t>
      </w:r>
    </w:p>
    <w:p w14:paraId="21D96A96" w14:textId="77777777" w:rsidR="00E178FD" w:rsidRPr="007C306B" w:rsidRDefault="00E178FD" w:rsidP="00E178FD">
      <w:r w:rsidRPr="007C306B">
        <w:t>[…]</w:t>
      </w:r>
    </w:p>
    <w:p w14:paraId="043DF092" w14:textId="264B9D76" w:rsidR="006A4D29" w:rsidRPr="007C306B" w:rsidRDefault="006A4D29" w:rsidP="006A4D29">
      <w:pPr>
        <w:pStyle w:val="Heading1"/>
        <w:tabs>
          <w:tab w:val="clear" w:pos="1134"/>
        </w:tabs>
        <w:ind w:left="567" w:hanging="567"/>
      </w:pPr>
      <w:r w:rsidRPr="007C306B">
        <w:t>II</w:t>
      </w:r>
      <w:r w:rsidRPr="007C306B">
        <w:tab/>
        <w:t>Конференции радиосвязи (Статья 24, п. 280) и всемирные конференции по международной электросвязи (Статья 3, п. 49; Статья 24, п. 280; Статья</w:t>
      </w:r>
      <w:r w:rsidR="00AB6C13" w:rsidRPr="007C306B">
        <w:t> </w:t>
      </w:r>
      <w:r w:rsidRPr="007C306B">
        <w:t>33, п. 476)</w:t>
      </w:r>
    </w:p>
    <w:p w14:paraId="5742CF4E" w14:textId="77777777" w:rsidR="006A4D29" w:rsidRPr="007C306B" w:rsidRDefault="006A4D29" w:rsidP="006A4D29">
      <w:r w:rsidRPr="007C306B">
        <w:t>Такие наблюдатели:</w:t>
      </w:r>
    </w:p>
    <w:p w14:paraId="3917BB01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</w:pPr>
      <w:r w:rsidRPr="007C306B">
        <w:t>1)</w:t>
      </w:r>
      <w:r w:rsidRPr="007C306B">
        <w:tab/>
        <w:t>допускаются присутствовать на пленарных заседаниях;</w:t>
      </w:r>
    </w:p>
    <w:p w14:paraId="37BB4F61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</w:pPr>
      <w:r w:rsidRPr="007C306B">
        <w:t>2)</w:t>
      </w:r>
      <w:r w:rsidRPr="007C306B">
        <w:tab/>
        <w:t>если пленарное заседание не приняло иного решения, могут допускаться присутствовать в комитетах, за исключением Руководящего комитета, Комитета по бюджетному контролю, Комитета по проверке полномочий и Редакционного комитета, и в подчиненных им группах;</w:t>
      </w:r>
    </w:p>
    <w:p w14:paraId="27E0FF9A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</w:pPr>
      <w:r w:rsidRPr="007C306B">
        <w:t>3)</w:t>
      </w:r>
      <w:r w:rsidRPr="007C306B">
        <w:tab/>
        <w:t>имеют право на получение любой документации конференции в пределах ограничений, установленных в отношении количества распространяемых экземпляров;</w:t>
      </w:r>
    </w:p>
    <w:p w14:paraId="7DBA75BB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</w:pPr>
      <w:r w:rsidRPr="007C306B">
        <w:t>4)</w:t>
      </w:r>
      <w:r w:rsidRPr="007C306B">
        <w:tab/>
        <w:t>могут по просьбе председателя в ходе собрания предоставить соответствующую информацию в помощь ведению собрания или сделать заявление, но не имеют права участвовать в прениях;</w:t>
      </w:r>
    </w:p>
    <w:p w14:paraId="75438F60" w14:textId="77777777" w:rsidR="006A4D29" w:rsidRPr="007C306B" w:rsidRDefault="006A4D29" w:rsidP="006A4D29">
      <w:pPr>
        <w:pStyle w:val="enumlev1"/>
        <w:tabs>
          <w:tab w:val="clear" w:pos="1134"/>
          <w:tab w:val="left" w:pos="567"/>
        </w:tabs>
        <w:ind w:left="567" w:hanging="567"/>
        <w:rPr>
          <w:szCs w:val="22"/>
        </w:rPr>
      </w:pPr>
      <w:r w:rsidRPr="007C306B">
        <w:t>5)</w:t>
      </w:r>
      <w:r w:rsidRPr="007C306B">
        <w:tab/>
        <w:t>размещаются в порядке французского алфавита после других участников.</w:t>
      </w:r>
    </w:p>
    <w:p w14:paraId="3326D56E" w14:textId="77777777" w:rsidR="005A5220" w:rsidRPr="007C306B" w:rsidRDefault="005A5220" w:rsidP="005A5220">
      <w:pPr>
        <w:spacing w:before="720"/>
        <w:jc w:val="center"/>
      </w:pPr>
      <w:r w:rsidRPr="007C306B">
        <w:t>______________</w:t>
      </w:r>
    </w:p>
    <w:sectPr w:rsidR="005A5220" w:rsidRPr="007C306B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D190" w14:textId="77777777" w:rsidR="00464705" w:rsidRDefault="00464705">
      <w:r>
        <w:separator/>
      </w:r>
    </w:p>
  </w:endnote>
  <w:endnote w:type="continuationSeparator" w:id="0">
    <w:p w14:paraId="7CD7AF6A" w14:textId="77777777" w:rsidR="00464705" w:rsidRDefault="0046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495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D5A721" w14:textId="1C8BDAE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306B">
      <w:rPr>
        <w:noProof/>
      </w:rPr>
      <w:t>25.09.23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8A78" w14:textId="059FFE1D" w:rsidR="00567276" w:rsidRPr="00BC27F0" w:rsidRDefault="00BC27F0" w:rsidP="00BC27F0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P:\RUS\ITU-R\CONF-R\CMR23\000\056R.docx</w:t>
    </w:r>
    <w:r>
      <w:fldChar w:fldCharType="end"/>
    </w:r>
    <w:r>
      <w:t xml:space="preserve"> (</w:t>
    </w:r>
    <w:r w:rsidRPr="00B86C7A">
      <w:t>526992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CDA1" w14:textId="3596FB78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86C7A">
      <w:rPr>
        <w:lang w:val="fr-FR"/>
      </w:rPr>
      <w:t>P:\RUS\ITU-R\CONF-R\CMR23\000\056R.docx</w:t>
    </w:r>
    <w:r>
      <w:fldChar w:fldCharType="end"/>
    </w:r>
    <w:r w:rsidR="00162F38">
      <w:t xml:space="preserve"> (</w:t>
    </w:r>
    <w:r w:rsidR="00B86C7A" w:rsidRPr="00B86C7A">
      <w:t>526992</w:t>
    </w:r>
    <w:r w:rsidR="00162F3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F038" w14:textId="77777777" w:rsidR="00464705" w:rsidRDefault="00464705">
      <w:r>
        <w:rPr>
          <w:b/>
        </w:rPr>
        <w:t>_______________</w:t>
      </w:r>
    </w:p>
  </w:footnote>
  <w:footnote w:type="continuationSeparator" w:id="0">
    <w:p w14:paraId="0B152CE0" w14:textId="77777777" w:rsidR="00464705" w:rsidRDefault="00464705">
      <w:r>
        <w:continuationSeparator/>
      </w:r>
    </w:p>
  </w:footnote>
  <w:footnote w:id="1">
    <w:p w14:paraId="006AC382" w14:textId="03224DB8" w:rsidR="00B86C7A" w:rsidRPr="008731FF" w:rsidRDefault="00B86C7A" w:rsidP="009F4C3B">
      <w:pPr>
        <w:pStyle w:val="FootnoteText"/>
        <w:rPr>
          <w:lang w:val="ru-RU"/>
        </w:rPr>
      </w:pPr>
      <w:r w:rsidRPr="007C306B">
        <w:rPr>
          <w:rStyle w:val="FootnoteReference"/>
          <w:lang w:val="ru-RU"/>
        </w:rPr>
        <w:t>1</w:t>
      </w:r>
      <w:r w:rsidRPr="007C306B">
        <w:rPr>
          <w:lang w:val="ru-RU"/>
        </w:rPr>
        <w:t xml:space="preserve"> </w:t>
      </w:r>
      <w:r w:rsidRPr="00452719">
        <w:rPr>
          <w:lang w:val="ru-RU"/>
        </w:rPr>
        <w:tab/>
        <w:t xml:space="preserve">За исключением </w:t>
      </w:r>
      <w:r>
        <w:rPr>
          <w:lang w:val="ru-RU"/>
        </w:rPr>
        <w:t xml:space="preserve">Государства </w:t>
      </w:r>
      <w:r w:rsidRPr="00452719">
        <w:rPr>
          <w:lang w:val="ru-RU"/>
        </w:rPr>
        <w:t>Палестин</w:t>
      </w:r>
      <w:r>
        <w:rPr>
          <w:lang w:val="ru-RU"/>
        </w:rPr>
        <w:t>а</w:t>
      </w:r>
      <w:r w:rsidRPr="00452719">
        <w:rPr>
          <w:lang w:val="ru-RU"/>
        </w:rPr>
        <w:t>, статус которо</w:t>
      </w:r>
      <w:r>
        <w:rPr>
          <w:lang w:val="ru-RU"/>
        </w:rPr>
        <w:t>го</w:t>
      </w:r>
      <w:r w:rsidRPr="00452719">
        <w:rPr>
          <w:lang w:val="ru-RU"/>
        </w:rPr>
        <w:t xml:space="preserve"> (</w:t>
      </w:r>
      <w:r>
        <w:rPr>
          <w:lang w:val="ru-RU"/>
        </w:rPr>
        <w:t>а</w:t>
      </w:r>
      <w:r w:rsidRPr="00452719">
        <w:rPr>
          <w:lang w:val="ru-RU"/>
        </w:rPr>
        <w:t xml:space="preserve"> также права в свете настоящего документа) определен в Резолюции</w:t>
      </w:r>
      <w:r w:rsidRPr="00100D32">
        <w:t> </w:t>
      </w:r>
      <w:r w:rsidRPr="00452719">
        <w:rPr>
          <w:lang w:val="ru-RU"/>
        </w:rPr>
        <w:t>99 (Пересм.</w:t>
      </w:r>
      <w:r w:rsidRPr="00100D32">
        <w:t> </w:t>
      </w:r>
      <w:r>
        <w:rPr>
          <w:lang w:val="ru-RU"/>
        </w:rPr>
        <w:t>Дубай</w:t>
      </w:r>
      <w:r w:rsidRPr="008731FF">
        <w:rPr>
          <w:lang w:val="ru-RU"/>
        </w:rPr>
        <w:t>, 201</w:t>
      </w:r>
      <w:r>
        <w:rPr>
          <w:lang w:val="ru-RU"/>
        </w:rPr>
        <w:t>8</w:t>
      </w:r>
      <w:r w:rsidRPr="00100D32">
        <w:t> </w:t>
      </w:r>
      <w:r w:rsidRPr="008731FF">
        <w:rPr>
          <w:lang w:val="ru-RU"/>
        </w:rPr>
        <w:t>г.).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4D4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90DA850" w14:textId="0E4F62E0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5</w:t>
    </w:r>
    <w:r w:rsidR="00B86C7A">
      <w:t>6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09217615">
    <w:abstractNumId w:val="0"/>
  </w:num>
  <w:num w:numId="2" w16cid:durableId="75320599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297B"/>
    <w:rsid w:val="00146961"/>
    <w:rsid w:val="001521AE"/>
    <w:rsid w:val="00162F38"/>
    <w:rsid w:val="001A5585"/>
    <w:rsid w:val="001D46DF"/>
    <w:rsid w:val="001E5FB4"/>
    <w:rsid w:val="002017FD"/>
    <w:rsid w:val="00202CA0"/>
    <w:rsid w:val="00230582"/>
    <w:rsid w:val="002449AA"/>
    <w:rsid w:val="00245A1F"/>
    <w:rsid w:val="00290C74"/>
    <w:rsid w:val="002A2D3F"/>
    <w:rsid w:val="002C0AAB"/>
    <w:rsid w:val="002C54A1"/>
    <w:rsid w:val="00300F84"/>
    <w:rsid w:val="00314B32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54555"/>
    <w:rsid w:val="00464705"/>
    <w:rsid w:val="004A58F4"/>
    <w:rsid w:val="004B716F"/>
    <w:rsid w:val="004C1369"/>
    <w:rsid w:val="004C47ED"/>
    <w:rsid w:val="004C6D0B"/>
    <w:rsid w:val="004D603A"/>
    <w:rsid w:val="004F3B0D"/>
    <w:rsid w:val="0051315E"/>
    <w:rsid w:val="005144A9"/>
    <w:rsid w:val="00514E1F"/>
    <w:rsid w:val="00521B1D"/>
    <w:rsid w:val="005305D5"/>
    <w:rsid w:val="00540D1E"/>
    <w:rsid w:val="00545302"/>
    <w:rsid w:val="005651C9"/>
    <w:rsid w:val="00567276"/>
    <w:rsid w:val="005755E2"/>
    <w:rsid w:val="00597005"/>
    <w:rsid w:val="005A295E"/>
    <w:rsid w:val="005A5220"/>
    <w:rsid w:val="005D1879"/>
    <w:rsid w:val="005D79A3"/>
    <w:rsid w:val="005E61DD"/>
    <w:rsid w:val="005E7F0F"/>
    <w:rsid w:val="006023DF"/>
    <w:rsid w:val="006115BE"/>
    <w:rsid w:val="00614771"/>
    <w:rsid w:val="00620DD7"/>
    <w:rsid w:val="00657DE0"/>
    <w:rsid w:val="00660E9E"/>
    <w:rsid w:val="00692C06"/>
    <w:rsid w:val="006A4D29"/>
    <w:rsid w:val="006A6E9B"/>
    <w:rsid w:val="00763F4F"/>
    <w:rsid w:val="00775720"/>
    <w:rsid w:val="007917AE"/>
    <w:rsid w:val="007A08B5"/>
    <w:rsid w:val="007C306B"/>
    <w:rsid w:val="00811633"/>
    <w:rsid w:val="00812452"/>
    <w:rsid w:val="00815749"/>
    <w:rsid w:val="00856E69"/>
    <w:rsid w:val="00872FC8"/>
    <w:rsid w:val="008A73BC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2CBD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6C13"/>
    <w:rsid w:val="00AC66E6"/>
    <w:rsid w:val="00B24E60"/>
    <w:rsid w:val="00B468A6"/>
    <w:rsid w:val="00B75113"/>
    <w:rsid w:val="00B86C7A"/>
    <w:rsid w:val="00B958BD"/>
    <w:rsid w:val="00BA13A4"/>
    <w:rsid w:val="00BA1AA1"/>
    <w:rsid w:val="00BA35DC"/>
    <w:rsid w:val="00BC27F0"/>
    <w:rsid w:val="00BC5313"/>
    <w:rsid w:val="00BD0D2F"/>
    <w:rsid w:val="00BD1129"/>
    <w:rsid w:val="00BD6C94"/>
    <w:rsid w:val="00BF103E"/>
    <w:rsid w:val="00BF3F95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77EE3"/>
    <w:rsid w:val="00D96E4A"/>
    <w:rsid w:val="00DE2EBA"/>
    <w:rsid w:val="00E178FD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316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5628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31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FE3316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A5220"/>
    <w:rPr>
      <w:rFonts w:ascii="Times New Roman" w:hAnsi="Times New Roman"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856E69"/>
    <w:pPr>
      <w:ind w:left="720"/>
      <w:contextualSpacing/>
    </w:pPr>
  </w:style>
  <w:style w:type="paragraph" w:customStyle="1" w:styleId="Pa21">
    <w:name w:val="Pa21"/>
    <w:basedOn w:val="Normal"/>
    <w:next w:val="Normal"/>
    <w:uiPriority w:val="99"/>
    <w:rsid w:val="00B86C7A"/>
    <w:pPr>
      <w:tabs>
        <w:tab w:val="clear" w:pos="1134"/>
        <w:tab w:val="clear" w:pos="1871"/>
        <w:tab w:val="clear" w:pos="2268"/>
      </w:tabs>
      <w:overflowPunct/>
      <w:spacing w:before="0" w:line="231" w:lineRule="atLeast"/>
      <w:textAlignment w:val="auto"/>
    </w:pPr>
    <w:rPr>
      <w:rFonts w:ascii="Calibri" w:hAnsi="Calibri" w:cs="Calibri"/>
      <w:sz w:val="24"/>
      <w:szCs w:val="24"/>
      <w:lang w:val="en-GB" w:eastAsia="zh-CN"/>
    </w:rPr>
  </w:style>
  <w:style w:type="paragraph" w:customStyle="1" w:styleId="Pa18">
    <w:name w:val="Pa18"/>
    <w:basedOn w:val="Normal"/>
    <w:next w:val="Normal"/>
    <w:uiPriority w:val="99"/>
    <w:rsid w:val="00B86C7A"/>
    <w:pPr>
      <w:tabs>
        <w:tab w:val="clear" w:pos="1134"/>
        <w:tab w:val="clear" w:pos="1871"/>
        <w:tab w:val="clear" w:pos="2268"/>
      </w:tabs>
      <w:overflowPunct/>
      <w:spacing w:before="0" w:line="201" w:lineRule="atLeast"/>
      <w:textAlignment w:val="auto"/>
    </w:pPr>
    <w:rPr>
      <w:rFonts w:ascii="Calibri" w:hAnsi="Calibri" w:cs="Calibri"/>
      <w:sz w:val="24"/>
      <w:szCs w:val="24"/>
      <w:lang w:val="en-GB" w:eastAsia="zh-CN"/>
    </w:rPr>
  </w:style>
  <w:style w:type="paragraph" w:customStyle="1" w:styleId="Pa19">
    <w:name w:val="Pa19"/>
    <w:basedOn w:val="Normal"/>
    <w:next w:val="Normal"/>
    <w:uiPriority w:val="99"/>
    <w:rsid w:val="00B86C7A"/>
    <w:pPr>
      <w:tabs>
        <w:tab w:val="clear" w:pos="1134"/>
        <w:tab w:val="clear" w:pos="1871"/>
        <w:tab w:val="clear" w:pos="2268"/>
      </w:tabs>
      <w:overflowPunct/>
      <w:spacing w:before="0" w:line="201" w:lineRule="atLeast"/>
      <w:textAlignment w:val="auto"/>
    </w:pPr>
    <w:rPr>
      <w:rFonts w:ascii="Calibri" w:hAnsi="Calibri" w:cs="Calibri"/>
      <w:sz w:val="24"/>
      <w:szCs w:val="24"/>
      <w:lang w:val="en-GB" w:eastAsia="zh-CN"/>
    </w:rPr>
  </w:style>
  <w:style w:type="paragraph" w:customStyle="1" w:styleId="Pa2">
    <w:name w:val="Pa2"/>
    <w:basedOn w:val="Normal"/>
    <w:next w:val="Normal"/>
    <w:uiPriority w:val="99"/>
    <w:rsid w:val="00B86C7A"/>
    <w:pPr>
      <w:tabs>
        <w:tab w:val="clear" w:pos="1134"/>
        <w:tab w:val="clear" w:pos="1871"/>
        <w:tab w:val="clear" w:pos="2268"/>
      </w:tabs>
      <w:overflowPunct/>
      <w:spacing w:before="0" w:line="201" w:lineRule="atLeast"/>
      <w:textAlignment w:val="auto"/>
    </w:pPr>
    <w:rPr>
      <w:rFonts w:ascii="Calibri" w:hAnsi="Calibri" w:cs="Calibri"/>
      <w:sz w:val="24"/>
      <w:szCs w:val="24"/>
      <w:lang w:val="en-GB" w:eastAsia="zh-CN"/>
    </w:rPr>
  </w:style>
  <w:style w:type="paragraph" w:customStyle="1" w:styleId="Pa22">
    <w:name w:val="Pa22"/>
    <w:basedOn w:val="Normal"/>
    <w:next w:val="Normal"/>
    <w:uiPriority w:val="99"/>
    <w:rsid w:val="00B86C7A"/>
    <w:pPr>
      <w:tabs>
        <w:tab w:val="clear" w:pos="1134"/>
        <w:tab w:val="clear" w:pos="1871"/>
        <w:tab w:val="clear" w:pos="2268"/>
      </w:tabs>
      <w:overflowPunct/>
      <w:spacing w:before="0" w:line="201" w:lineRule="atLeast"/>
      <w:textAlignment w:val="auto"/>
    </w:pPr>
    <w:rPr>
      <w:rFonts w:ascii="Calibri" w:hAnsi="Calibri" w:cs="Calibri"/>
      <w:sz w:val="24"/>
      <w:szCs w:val="24"/>
      <w:lang w:val="en-GB" w:eastAsia="zh-CN"/>
    </w:rPr>
  </w:style>
  <w:style w:type="paragraph" w:customStyle="1" w:styleId="Pa6">
    <w:name w:val="Pa6"/>
    <w:basedOn w:val="Normal"/>
    <w:next w:val="Normal"/>
    <w:uiPriority w:val="99"/>
    <w:rsid w:val="00B86C7A"/>
    <w:pPr>
      <w:tabs>
        <w:tab w:val="clear" w:pos="1134"/>
        <w:tab w:val="clear" w:pos="1871"/>
        <w:tab w:val="clear" w:pos="2268"/>
      </w:tabs>
      <w:overflowPunct/>
      <w:spacing w:before="0" w:line="201" w:lineRule="atLeast"/>
      <w:textAlignment w:val="auto"/>
    </w:pPr>
    <w:rPr>
      <w:rFonts w:ascii="Calibri" w:hAnsi="Calibri" w:cs="Calibri"/>
      <w:sz w:val="24"/>
      <w:szCs w:val="24"/>
      <w:lang w:val="en-GB" w:eastAsia="zh-CN"/>
    </w:rPr>
  </w:style>
  <w:style w:type="paragraph" w:customStyle="1" w:styleId="Pa20">
    <w:name w:val="Pa20"/>
    <w:basedOn w:val="Normal"/>
    <w:next w:val="Normal"/>
    <w:uiPriority w:val="99"/>
    <w:rsid w:val="00B86C7A"/>
    <w:pPr>
      <w:tabs>
        <w:tab w:val="clear" w:pos="1134"/>
        <w:tab w:val="clear" w:pos="1871"/>
        <w:tab w:val="clear" w:pos="2268"/>
      </w:tabs>
      <w:overflowPunct/>
      <w:spacing w:before="0" w:line="251" w:lineRule="atLeast"/>
      <w:textAlignment w:val="auto"/>
    </w:pPr>
    <w:rPr>
      <w:rFonts w:ascii="Calibri" w:hAnsi="Calibri" w:cs="Calibri"/>
      <w:sz w:val="24"/>
      <w:szCs w:val="24"/>
      <w:lang w:val="en-GB" w:eastAsia="zh-CN"/>
    </w:rPr>
  </w:style>
  <w:style w:type="character" w:customStyle="1" w:styleId="href">
    <w:name w:val="href"/>
    <w:basedOn w:val="DefaultParagraphFont"/>
    <w:rsid w:val="006A4D29"/>
    <w:rPr>
      <w:color w:val="auto"/>
    </w:rPr>
  </w:style>
  <w:style w:type="character" w:customStyle="1" w:styleId="ResNoChar1">
    <w:name w:val="Res_No Char1"/>
    <w:basedOn w:val="DefaultParagraphFont"/>
    <w:rsid w:val="006A4D29"/>
    <w:rPr>
      <w:rFonts w:ascii="Calibri" w:eastAsia="Times New Roman" w:hAnsi="Calibri"/>
      <w:caps/>
      <w:sz w:val="32"/>
      <w:lang w:val="en-GB" w:eastAsia="en-US"/>
    </w:rPr>
  </w:style>
  <w:style w:type="character" w:customStyle="1" w:styleId="AnnextitleChar">
    <w:name w:val="Annex_title Char"/>
    <w:basedOn w:val="DefaultParagraphFont"/>
    <w:rsid w:val="006A4D29"/>
    <w:rPr>
      <w:rFonts w:ascii="Calibri" w:eastAsia="Times New Roman" w:hAnsi="Calibri"/>
      <w:b/>
      <w:sz w:val="3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pub/S-CONF-P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R23-WRC23-C-0058!!MSW-R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9998-3785-43CA-A799-EB98CBBA72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69C240-18C6-4654-AD21-68FCE05B7CC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25504D-A745-49A3-8609-C5AE46F2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664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R23-WRC23-C-0058!!MSW-R</vt:lpstr>
    </vt:vector>
  </TitlesOfParts>
  <Manager>General Secretariat - Pool</Manager>
  <Company>International Telecommunication Union (ITU)</Company>
  <LinksUpToDate>false</LinksUpToDate>
  <CharactersWithSpaces>5262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R23-WRC23-C-0058!!MSW-R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4</cp:revision>
  <cp:lastPrinted>2003-06-17T08:22:00Z</cp:lastPrinted>
  <dcterms:created xsi:type="dcterms:W3CDTF">2023-09-25T14:18:00Z</dcterms:created>
  <dcterms:modified xsi:type="dcterms:W3CDTF">2023-09-25T14:30:00Z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