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453"/>
        <w:gridCol w:w="1667"/>
      </w:tblGrid>
      <w:tr w:rsidR="00B23EDF" w:rsidRPr="00831CAF" w14:paraId="126E4DBC" w14:textId="77777777" w:rsidTr="00B23EDF">
        <w:trPr>
          <w:cantSplit/>
        </w:trPr>
        <w:tc>
          <w:tcPr>
            <w:tcW w:w="1418" w:type="dxa"/>
            <w:vAlign w:val="center"/>
          </w:tcPr>
          <w:p w14:paraId="7D42B267" w14:textId="77777777" w:rsidR="00B23EDF" w:rsidRPr="00831CAF" w:rsidRDefault="00B23EDF" w:rsidP="00B23EDF">
            <w:pPr>
              <w:spacing w:before="100" w:beforeAutospacing="1" w:line="240" w:lineRule="atLeast"/>
              <w:rPr>
                <w:rFonts w:ascii="Verdana" w:hAnsi="Verdana"/>
                <w:b/>
                <w:bCs/>
                <w:sz w:val="20"/>
              </w:rPr>
            </w:pPr>
            <w:r w:rsidRPr="00831CAF">
              <w:drawing>
                <wp:inline distT="0" distB="0" distL="0" distR="0" wp14:anchorId="3A084486" wp14:editId="6A399E3F">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946" w:type="dxa"/>
            <w:gridSpan w:val="2"/>
          </w:tcPr>
          <w:p w14:paraId="02C31581" w14:textId="704FF140" w:rsidR="00B23EDF" w:rsidRPr="00831CAF" w:rsidRDefault="00B23EDF" w:rsidP="00CD3928">
            <w:pPr>
              <w:spacing w:before="400" w:after="48" w:line="240" w:lineRule="atLeast"/>
              <w:rPr>
                <w:rFonts w:ascii="Verdana" w:hAnsi="Verdana"/>
                <w:b/>
                <w:bCs/>
                <w:sz w:val="20"/>
              </w:rPr>
            </w:pPr>
            <w:r w:rsidRPr="00831CAF">
              <w:rPr>
                <w:rFonts w:ascii="Verdana" w:hAnsi="Verdana"/>
                <w:b/>
                <w:bCs/>
                <w:sz w:val="20"/>
              </w:rPr>
              <w:t>Conférence mondiale des radiocommunications (CMR-23)</w:t>
            </w:r>
            <w:r w:rsidRPr="00831CAF">
              <w:rPr>
                <w:rFonts w:ascii="Verdana" w:hAnsi="Verdana"/>
                <w:b/>
                <w:bCs/>
                <w:sz w:val="20"/>
              </w:rPr>
              <w:br/>
            </w:r>
            <w:r w:rsidRPr="00831CAF">
              <w:rPr>
                <w:rFonts w:ascii="Verdana" w:hAnsi="Verdana"/>
                <w:b/>
                <w:bCs/>
                <w:sz w:val="18"/>
                <w:szCs w:val="18"/>
              </w:rPr>
              <w:t xml:space="preserve">Dubaï, 20 novembre </w:t>
            </w:r>
            <w:r w:rsidR="0076018B" w:rsidRPr="00831CAF">
              <w:rPr>
                <w:rFonts w:ascii="Verdana" w:hAnsi="Verdana"/>
                <w:b/>
                <w:bCs/>
                <w:sz w:val="18"/>
                <w:szCs w:val="18"/>
              </w:rPr>
              <w:t>–</w:t>
            </w:r>
            <w:r w:rsidRPr="00831CAF">
              <w:rPr>
                <w:rFonts w:ascii="Verdana" w:hAnsi="Verdana"/>
                <w:b/>
                <w:bCs/>
                <w:sz w:val="18"/>
                <w:szCs w:val="18"/>
              </w:rPr>
              <w:t xml:space="preserve"> 15 décembre 2023</w:t>
            </w:r>
          </w:p>
        </w:tc>
        <w:tc>
          <w:tcPr>
            <w:tcW w:w="1667" w:type="dxa"/>
            <w:vAlign w:val="center"/>
          </w:tcPr>
          <w:p w14:paraId="111CA18D" w14:textId="77777777" w:rsidR="00B23EDF" w:rsidRPr="00831CAF" w:rsidRDefault="00B23EDF" w:rsidP="00B23EDF">
            <w:pPr>
              <w:spacing w:before="0" w:line="240" w:lineRule="atLeast"/>
            </w:pPr>
            <w:bookmarkStart w:id="0" w:name="ditulogo"/>
            <w:bookmarkEnd w:id="0"/>
            <w:r w:rsidRPr="00831CAF">
              <w:drawing>
                <wp:inline distT="0" distB="0" distL="0" distR="0" wp14:anchorId="3F78C15C" wp14:editId="169EC489">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587A4E" w:rsidRPr="00831CAF" w14:paraId="2C560DC9" w14:textId="77777777" w:rsidTr="00773113">
        <w:trPr>
          <w:cantSplit/>
        </w:trPr>
        <w:tc>
          <w:tcPr>
            <w:tcW w:w="6911" w:type="dxa"/>
            <w:gridSpan w:val="2"/>
            <w:tcBorders>
              <w:bottom w:val="single" w:sz="12" w:space="0" w:color="auto"/>
            </w:tcBorders>
          </w:tcPr>
          <w:p w14:paraId="2CA8CF8F" w14:textId="77777777" w:rsidR="00587A4E" w:rsidRPr="00831CAF" w:rsidRDefault="00587A4E" w:rsidP="00773113">
            <w:pPr>
              <w:spacing w:before="0" w:after="48" w:line="240" w:lineRule="atLeast"/>
              <w:rPr>
                <w:b/>
                <w:smallCaps/>
                <w:szCs w:val="24"/>
              </w:rPr>
            </w:pPr>
            <w:bookmarkStart w:id="1" w:name="dhead"/>
          </w:p>
        </w:tc>
        <w:tc>
          <w:tcPr>
            <w:tcW w:w="3120" w:type="dxa"/>
            <w:gridSpan w:val="2"/>
            <w:tcBorders>
              <w:bottom w:val="single" w:sz="12" w:space="0" w:color="auto"/>
            </w:tcBorders>
          </w:tcPr>
          <w:p w14:paraId="632F6582" w14:textId="77777777" w:rsidR="00587A4E" w:rsidRPr="00831CAF" w:rsidRDefault="00587A4E" w:rsidP="00773113">
            <w:pPr>
              <w:spacing w:before="0" w:line="240" w:lineRule="atLeast"/>
              <w:rPr>
                <w:rFonts w:ascii="Verdana" w:hAnsi="Verdana"/>
                <w:szCs w:val="24"/>
              </w:rPr>
            </w:pPr>
          </w:p>
        </w:tc>
      </w:tr>
      <w:tr w:rsidR="00587A4E" w:rsidRPr="00831CAF" w14:paraId="084FE6D2" w14:textId="77777777" w:rsidTr="00773113">
        <w:trPr>
          <w:cantSplit/>
        </w:trPr>
        <w:tc>
          <w:tcPr>
            <w:tcW w:w="6911" w:type="dxa"/>
            <w:gridSpan w:val="2"/>
            <w:tcBorders>
              <w:top w:val="single" w:sz="12" w:space="0" w:color="auto"/>
            </w:tcBorders>
          </w:tcPr>
          <w:p w14:paraId="7C5B9E86" w14:textId="77777777" w:rsidR="00587A4E" w:rsidRPr="00831CAF" w:rsidRDefault="00587A4E" w:rsidP="00773113">
            <w:pPr>
              <w:spacing w:before="0" w:after="48" w:line="240" w:lineRule="atLeast"/>
              <w:rPr>
                <w:rFonts w:ascii="Verdana" w:hAnsi="Verdana"/>
                <w:b/>
                <w:smallCaps/>
                <w:sz w:val="20"/>
              </w:rPr>
            </w:pPr>
          </w:p>
        </w:tc>
        <w:tc>
          <w:tcPr>
            <w:tcW w:w="3120" w:type="dxa"/>
            <w:gridSpan w:val="2"/>
            <w:tcBorders>
              <w:top w:val="single" w:sz="12" w:space="0" w:color="auto"/>
            </w:tcBorders>
          </w:tcPr>
          <w:p w14:paraId="61DD77F5" w14:textId="77777777" w:rsidR="00587A4E" w:rsidRPr="00831CAF" w:rsidRDefault="00587A4E" w:rsidP="00773113">
            <w:pPr>
              <w:spacing w:before="0" w:line="240" w:lineRule="atLeast"/>
              <w:rPr>
                <w:rFonts w:ascii="Verdana" w:hAnsi="Verdana"/>
                <w:sz w:val="20"/>
              </w:rPr>
            </w:pPr>
          </w:p>
        </w:tc>
      </w:tr>
      <w:tr w:rsidR="00587A4E" w:rsidRPr="00831CAF" w14:paraId="1D55BFE4" w14:textId="77777777" w:rsidTr="00773113">
        <w:trPr>
          <w:cantSplit/>
        </w:trPr>
        <w:tc>
          <w:tcPr>
            <w:tcW w:w="6911" w:type="dxa"/>
            <w:gridSpan w:val="2"/>
          </w:tcPr>
          <w:p w14:paraId="7C56C094" w14:textId="77777777" w:rsidR="00587A4E" w:rsidRPr="00831CAF" w:rsidRDefault="008D6821" w:rsidP="00773113">
            <w:pPr>
              <w:spacing w:before="0"/>
              <w:rPr>
                <w:rFonts w:ascii="Verdana" w:hAnsi="Verdana"/>
                <w:b/>
                <w:sz w:val="20"/>
              </w:rPr>
            </w:pPr>
            <w:r w:rsidRPr="00831CAF">
              <w:rPr>
                <w:rFonts w:ascii="Verdana" w:hAnsi="Verdana"/>
                <w:b/>
                <w:sz w:val="20"/>
              </w:rPr>
              <w:t>SÉANCE PLÉNIÈRE</w:t>
            </w:r>
          </w:p>
        </w:tc>
        <w:tc>
          <w:tcPr>
            <w:tcW w:w="3120" w:type="dxa"/>
            <w:gridSpan w:val="2"/>
          </w:tcPr>
          <w:p w14:paraId="2726FA1C" w14:textId="4EAD26BA" w:rsidR="00587A4E" w:rsidRPr="00831CAF" w:rsidRDefault="00587A4E" w:rsidP="00B23EDF">
            <w:pPr>
              <w:spacing w:before="0"/>
              <w:rPr>
                <w:rFonts w:ascii="Verdana" w:hAnsi="Verdana"/>
                <w:sz w:val="20"/>
              </w:rPr>
            </w:pPr>
            <w:r w:rsidRPr="00831CAF">
              <w:rPr>
                <w:rFonts w:ascii="Verdana" w:hAnsi="Verdana"/>
                <w:b/>
                <w:sz w:val="20"/>
              </w:rPr>
              <w:t xml:space="preserve">Document </w:t>
            </w:r>
            <w:r w:rsidR="00F138CF" w:rsidRPr="00831CAF">
              <w:rPr>
                <w:rFonts w:ascii="Verdana" w:hAnsi="Verdana"/>
                <w:b/>
                <w:sz w:val="20"/>
              </w:rPr>
              <w:t>56</w:t>
            </w:r>
            <w:r w:rsidRPr="00831CAF">
              <w:rPr>
                <w:rFonts w:ascii="Verdana" w:hAnsi="Verdana"/>
                <w:b/>
                <w:sz w:val="20"/>
              </w:rPr>
              <w:t>-F</w:t>
            </w:r>
          </w:p>
        </w:tc>
      </w:tr>
      <w:bookmarkEnd w:id="1"/>
      <w:tr w:rsidR="00587A4E" w:rsidRPr="00831CAF" w14:paraId="70EFF838" w14:textId="77777777" w:rsidTr="00773113">
        <w:trPr>
          <w:cantSplit/>
        </w:trPr>
        <w:tc>
          <w:tcPr>
            <w:tcW w:w="6911" w:type="dxa"/>
            <w:gridSpan w:val="2"/>
          </w:tcPr>
          <w:p w14:paraId="7DAF5EBF" w14:textId="77777777" w:rsidR="00587A4E" w:rsidRPr="00831CAF" w:rsidRDefault="00587A4E" w:rsidP="00773113">
            <w:pPr>
              <w:spacing w:before="0"/>
              <w:rPr>
                <w:rFonts w:ascii="Verdana" w:hAnsi="Verdana"/>
                <w:b/>
                <w:sz w:val="20"/>
              </w:rPr>
            </w:pPr>
          </w:p>
        </w:tc>
        <w:tc>
          <w:tcPr>
            <w:tcW w:w="3120" w:type="dxa"/>
            <w:gridSpan w:val="2"/>
          </w:tcPr>
          <w:p w14:paraId="4BD2CC2F" w14:textId="117D1076" w:rsidR="00587A4E" w:rsidRPr="00831CAF" w:rsidRDefault="00F138CF" w:rsidP="009765A8">
            <w:pPr>
              <w:spacing w:before="0"/>
              <w:rPr>
                <w:rFonts w:ascii="Verdana" w:hAnsi="Verdana"/>
                <w:b/>
                <w:sz w:val="20"/>
              </w:rPr>
            </w:pPr>
            <w:r w:rsidRPr="00831CAF">
              <w:rPr>
                <w:rFonts w:ascii="Verdana" w:hAnsi="Verdana"/>
                <w:b/>
                <w:sz w:val="20"/>
              </w:rPr>
              <w:t>21 septembre</w:t>
            </w:r>
            <w:r w:rsidR="00587A4E" w:rsidRPr="00831CAF">
              <w:rPr>
                <w:rFonts w:ascii="Verdana" w:hAnsi="Verdana"/>
                <w:b/>
                <w:sz w:val="20"/>
              </w:rPr>
              <w:t xml:space="preserve"> 20</w:t>
            </w:r>
            <w:r w:rsidR="00CD3928" w:rsidRPr="00831CAF">
              <w:rPr>
                <w:rFonts w:ascii="Verdana" w:hAnsi="Verdana"/>
                <w:b/>
                <w:sz w:val="20"/>
              </w:rPr>
              <w:t>23</w:t>
            </w:r>
          </w:p>
        </w:tc>
      </w:tr>
      <w:tr w:rsidR="00587A4E" w:rsidRPr="00831CAF" w14:paraId="45E37864" w14:textId="77777777" w:rsidTr="00773113">
        <w:trPr>
          <w:cantSplit/>
        </w:trPr>
        <w:tc>
          <w:tcPr>
            <w:tcW w:w="6911" w:type="dxa"/>
            <w:gridSpan w:val="2"/>
          </w:tcPr>
          <w:p w14:paraId="411271AF" w14:textId="77777777" w:rsidR="00587A4E" w:rsidRPr="00831CAF" w:rsidRDefault="00587A4E" w:rsidP="00773113">
            <w:pPr>
              <w:spacing w:before="0" w:after="48"/>
              <w:rPr>
                <w:rFonts w:ascii="Verdana" w:hAnsi="Verdana"/>
                <w:b/>
                <w:smallCaps/>
                <w:sz w:val="20"/>
              </w:rPr>
            </w:pPr>
          </w:p>
        </w:tc>
        <w:tc>
          <w:tcPr>
            <w:tcW w:w="3120" w:type="dxa"/>
            <w:gridSpan w:val="2"/>
          </w:tcPr>
          <w:p w14:paraId="7BA00B6E" w14:textId="77777777" w:rsidR="00587A4E" w:rsidRPr="00831CAF" w:rsidRDefault="00587A4E" w:rsidP="00773113">
            <w:pPr>
              <w:spacing w:before="0"/>
              <w:rPr>
                <w:rFonts w:ascii="Verdana" w:hAnsi="Verdana"/>
                <w:b/>
                <w:sz w:val="20"/>
              </w:rPr>
            </w:pPr>
            <w:r w:rsidRPr="00831CAF">
              <w:rPr>
                <w:rFonts w:ascii="Verdana" w:hAnsi="Verdana"/>
                <w:b/>
                <w:sz w:val="20"/>
              </w:rPr>
              <w:t>Original: anglais</w:t>
            </w:r>
          </w:p>
        </w:tc>
      </w:tr>
      <w:tr w:rsidR="00587A4E" w:rsidRPr="00831CAF" w14:paraId="6D8CB4A2" w14:textId="77777777" w:rsidTr="00773113">
        <w:trPr>
          <w:cantSplit/>
        </w:trPr>
        <w:tc>
          <w:tcPr>
            <w:tcW w:w="10031" w:type="dxa"/>
            <w:gridSpan w:val="4"/>
          </w:tcPr>
          <w:p w14:paraId="428E70DD" w14:textId="77777777" w:rsidR="00587A4E" w:rsidRPr="00831CAF" w:rsidRDefault="00587A4E" w:rsidP="00773113">
            <w:pPr>
              <w:spacing w:before="0"/>
              <w:rPr>
                <w:rFonts w:ascii="Verdana" w:hAnsi="Verdana"/>
                <w:b/>
                <w:sz w:val="20"/>
              </w:rPr>
            </w:pPr>
          </w:p>
        </w:tc>
      </w:tr>
      <w:tr w:rsidR="00587A4E" w:rsidRPr="00831CAF" w14:paraId="313341D1" w14:textId="77777777" w:rsidTr="00773113">
        <w:trPr>
          <w:cantSplit/>
        </w:trPr>
        <w:tc>
          <w:tcPr>
            <w:tcW w:w="10031" w:type="dxa"/>
            <w:gridSpan w:val="4"/>
          </w:tcPr>
          <w:p w14:paraId="49FAAFB3" w14:textId="0F0F4FE6" w:rsidR="00587A4E" w:rsidRPr="00831CAF" w:rsidRDefault="00F138CF" w:rsidP="00773113">
            <w:pPr>
              <w:pStyle w:val="Source"/>
            </w:pPr>
            <w:bookmarkStart w:id="2" w:name="dsource" w:colFirst="0" w:colLast="0"/>
            <w:r w:rsidRPr="00831CAF">
              <w:t>Note de la Secrétaire générale</w:t>
            </w:r>
          </w:p>
        </w:tc>
      </w:tr>
      <w:tr w:rsidR="00587A4E" w:rsidRPr="00831CAF" w14:paraId="7D015955" w14:textId="77777777" w:rsidTr="00773113">
        <w:trPr>
          <w:cantSplit/>
        </w:trPr>
        <w:tc>
          <w:tcPr>
            <w:tcW w:w="10031" w:type="dxa"/>
            <w:gridSpan w:val="4"/>
          </w:tcPr>
          <w:p w14:paraId="1670B5F6" w14:textId="3A5CE356" w:rsidR="00587A4E" w:rsidRPr="00831CAF" w:rsidRDefault="00F138CF" w:rsidP="00773113">
            <w:pPr>
              <w:pStyle w:val="Title1"/>
            </w:pPr>
            <w:bookmarkStart w:id="3" w:name="dtitle1" w:colFirst="0" w:colLast="0"/>
            <w:bookmarkEnd w:id="2"/>
            <w:r w:rsidRPr="00831CAF">
              <w:t>PARTICIPATION DES OBSERVATEURS</w:t>
            </w:r>
            <w:r w:rsidR="00CE0141" w:rsidRPr="00831CAF">
              <w:rPr>
                <w:rStyle w:val="FootnoteReference"/>
              </w:rPr>
              <w:footnoteReference w:customMarkFollows="1" w:id="1"/>
              <w:t>1</w:t>
            </w:r>
          </w:p>
        </w:tc>
      </w:tr>
      <w:tr w:rsidR="00587A4E" w:rsidRPr="00831CAF" w14:paraId="50F3A4AF" w14:textId="77777777" w:rsidTr="00773113">
        <w:trPr>
          <w:cantSplit/>
        </w:trPr>
        <w:tc>
          <w:tcPr>
            <w:tcW w:w="10031" w:type="dxa"/>
            <w:gridSpan w:val="4"/>
          </w:tcPr>
          <w:p w14:paraId="37CD1035" w14:textId="77777777" w:rsidR="00587A4E" w:rsidRPr="00831CAF" w:rsidRDefault="00587A4E" w:rsidP="00773113">
            <w:pPr>
              <w:pStyle w:val="Title2"/>
            </w:pPr>
            <w:bookmarkStart w:id="4" w:name="dtitle2" w:colFirst="0" w:colLast="0"/>
            <w:bookmarkEnd w:id="3"/>
          </w:p>
        </w:tc>
      </w:tr>
      <w:tr w:rsidR="00587A4E" w:rsidRPr="00831CAF" w14:paraId="10B6FCBA" w14:textId="77777777" w:rsidTr="00773113">
        <w:trPr>
          <w:cantSplit/>
        </w:trPr>
        <w:tc>
          <w:tcPr>
            <w:tcW w:w="10031" w:type="dxa"/>
            <w:gridSpan w:val="4"/>
          </w:tcPr>
          <w:p w14:paraId="2E01A8D7" w14:textId="77777777" w:rsidR="00587A4E" w:rsidRPr="00831CAF" w:rsidRDefault="00587A4E" w:rsidP="00773113">
            <w:pPr>
              <w:pStyle w:val="Agendaitem"/>
              <w:rPr>
                <w:lang w:val="fr-FR"/>
              </w:rPr>
            </w:pPr>
            <w:bookmarkStart w:id="5" w:name="dtitle3" w:colFirst="0" w:colLast="0"/>
            <w:bookmarkEnd w:id="4"/>
          </w:p>
        </w:tc>
      </w:tr>
    </w:tbl>
    <w:bookmarkEnd w:id="5"/>
    <w:p w14:paraId="570A1D06" w14:textId="40F6A9A6" w:rsidR="00F372DE" w:rsidRPr="00831CAF" w:rsidRDefault="00F138CF" w:rsidP="00CE0141">
      <w:r w:rsidRPr="00831CAF">
        <w:t xml:space="preserve">La participation d'observateurs </w:t>
      </w:r>
      <w:r w:rsidR="00CE0141" w:rsidRPr="00831CAF">
        <w:t>à la présente Conférence</w:t>
      </w:r>
      <w:r w:rsidRPr="00831CAF">
        <w:t xml:space="preserve"> </w:t>
      </w:r>
      <w:r w:rsidR="00CE0141" w:rsidRPr="00831CAF">
        <w:t>est régie par les</w:t>
      </w:r>
      <w:r w:rsidRPr="00831CAF">
        <w:t xml:space="preserve"> numéros</w:t>
      </w:r>
      <w:r w:rsidR="00CE0141" w:rsidRPr="00831CAF">
        <w:t xml:space="preserve"> 276 et </w:t>
      </w:r>
      <w:r w:rsidRPr="00831CAF">
        <w:t xml:space="preserve">278 </w:t>
      </w:r>
      <w:r w:rsidR="0076018B" w:rsidRPr="00831CAF">
        <w:t xml:space="preserve">à 280 </w:t>
      </w:r>
      <w:r w:rsidRPr="00831CAF">
        <w:t xml:space="preserve">de la Convention (en ce qui concerne l'admission) et </w:t>
      </w:r>
      <w:r w:rsidR="00CE0141" w:rsidRPr="00831CAF">
        <w:t>par les Annexes 2 et 3 de</w:t>
      </w:r>
      <w:r w:rsidRPr="00831CAF">
        <w:t xml:space="preserve"> la Résolution</w:t>
      </w:r>
      <w:r w:rsidR="0076018B" w:rsidRPr="00831CAF">
        <w:t> </w:t>
      </w:r>
      <w:r w:rsidRPr="00831CAF">
        <w:rPr>
          <w:b/>
          <w:bCs/>
        </w:rPr>
        <w:t>145</w:t>
      </w:r>
      <w:r w:rsidRPr="00831CAF">
        <w:t xml:space="preserve"> (Antalya, 2006) de la Conférence de plénipotentiaires (en ce qui concerne les droits conférés). </w:t>
      </w:r>
      <w:r w:rsidR="00CE0141" w:rsidRPr="00831CAF">
        <w:t xml:space="preserve">Les dispositions pertinentes se trouvent dans la publication </w:t>
      </w:r>
      <w:r w:rsidR="0076018B" w:rsidRPr="00831CAF">
        <w:t>«</w:t>
      </w:r>
      <w:hyperlink r:id="rId10" w:history="1">
        <w:r w:rsidR="00F56DA1" w:rsidRPr="00831CAF">
          <w:rPr>
            <w:rStyle w:val="Hyperlink"/>
          </w:rPr>
          <w:t>Recueil</w:t>
        </w:r>
        <w:r w:rsidR="00CE0141" w:rsidRPr="00831CAF">
          <w:rPr>
            <w:rStyle w:val="Hyperlink"/>
          </w:rPr>
          <w:t xml:space="preserve"> des textes fondamentaux de l'Union internationale des télécommunications</w:t>
        </w:r>
        <w:r w:rsidR="00F56DA1" w:rsidRPr="00831CAF">
          <w:rPr>
            <w:rStyle w:val="Hyperlink"/>
          </w:rPr>
          <w:t xml:space="preserve"> adoptés par la Conférence de plénipotentiaires</w:t>
        </w:r>
        <w:r w:rsidR="0076018B" w:rsidRPr="00831CAF">
          <w:t>»</w:t>
        </w:r>
        <w:r w:rsidR="00CE0141" w:rsidRPr="00831CAF">
          <w:t xml:space="preserve"> (Édition 2023)</w:t>
        </w:r>
      </w:hyperlink>
      <w:r w:rsidR="00CE0141" w:rsidRPr="00831CAF">
        <w:t xml:space="preserve"> et sont reproduites dans les annexes du présent document dans un souci de commodité.</w:t>
      </w:r>
    </w:p>
    <w:p w14:paraId="4F156391" w14:textId="5B2F88E4" w:rsidR="00F138CF" w:rsidRPr="00831CAF" w:rsidRDefault="00F138CF" w:rsidP="00F138CF">
      <w:pPr>
        <w:spacing w:before="840"/>
        <w:jc w:val="right"/>
      </w:pPr>
      <w:r w:rsidRPr="00831CAF">
        <w:t>Doreen BOGDAN-MARTIN</w:t>
      </w:r>
      <w:r w:rsidRPr="00831CAF">
        <w:br/>
        <w:t>Secrétaire générale</w:t>
      </w:r>
    </w:p>
    <w:p w14:paraId="503A6C20" w14:textId="1DEFC2F0" w:rsidR="00F138CF" w:rsidRPr="00831CAF" w:rsidRDefault="00F138CF">
      <w:pPr>
        <w:tabs>
          <w:tab w:val="clear" w:pos="1134"/>
          <w:tab w:val="clear" w:pos="1871"/>
          <w:tab w:val="clear" w:pos="2268"/>
        </w:tabs>
        <w:overflowPunct/>
        <w:autoSpaceDE/>
        <w:autoSpaceDN/>
        <w:adjustRightInd/>
        <w:spacing w:before="0"/>
        <w:textAlignment w:val="auto"/>
      </w:pPr>
      <w:r w:rsidRPr="00831CAF">
        <w:br w:type="page"/>
      </w:r>
    </w:p>
    <w:p w14:paraId="121628A3" w14:textId="7659D150" w:rsidR="00F138CF" w:rsidRPr="00831CAF" w:rsidRDefault="00F138CF" w:rsidP="00F138CF">
      <w:pPr>
        <w:pStyle w:val="AnnexNo"/>
      </w:pPr>
      <w:r w:rsidRPr="00831CAF">
        <w:lastRenderedPageBreak/>
        <w:t>ANNEXE 1</w:t>
      </w:r>
    </w:p>
    <w:p w14:paraId="5BC4E82C" w14:textId="70F784E3" w:rsidR="00F138CF" w:rsidRPr="00831CAF" w:rsidRDefault="00831CAF" w:rsidP="00831CAF">
      <w:pPr>
        <w:pStyle w:val="AnnexTitle0"/>
        <w:rPr>
          <w:rFonts w:ascii="Times New Roman" w:hAnsi="Times New Roman"/>
          <w:noProof w:val="0"/>
          <w:lang w:val="fr-FR"/>
        </w:rPr>
      </w:pPr>
      <w:r w:rsidRPr="00831CAF">
        <w:rPr>
          <w:rFonts w:ascii="Times New Roman" w:hAnsi="Times New Roman"/>
          <w:noProof w:val="0"/>
          <w:lang w:val="fr-FR"/>
        </w:rPr>
        <w:t>Convention de l'Union internationale des télécommunications</w:t>
      </w:r>
    </w:p>
    <w:p w14:paraId="10C236F9" w14:textId="38986BB9" w:rsidR="005B6620" w:rsidRPr="00831CAF" w:rsidRDefault="005B6620" w:rsidP="005B6620">
      <w:pPr>
        <w:pStyle w:val="ChapNo"/>
        <w:rPr>
          <w:rFonts w:asciiTheme="minorHAnsi" w:hAnsiTheme="minorHAnsi" w:cstheme="minorHAnsi"/>
          <w:b w:val="0"/>
          <w:bCs/>
        </w:rPr>
      </w:pPr>
      <w:r w:rsidRPr="00831CAF">
        <w:rPr>
          <w:rFonts w:asciiTheme="minorHAnsi" w:hAnsiTheme="minorHAnsi" w:cstheme="minorHAnsi"/>
          <w:b w:val="0"/>
          <w:bCs/>
        </w:rPr>
        <w:t>CHAPITRE II</w:t>
      </w:r>
    </w:p>
    <w:p w14:paraId="247B616A" w14:textId="6C4AE864" w:rsidR="005B6620" w:rsidRPr="00831CAF" w:rsidRDefault="005B6620" w:rsidP="005B6620">
      <w:pPr>
        <w:pStyle w:val="Chaptitle"/>
        <w:spacing w:after="120"/>
        <w:rPr>
          <w:rFonts w:asciiTheme="minorHAnsi" w:hAnsiTheme="minorHAnsi" w:cstheme="minorHAnsi"/>
        </w:rPr>
      </w:pPr>
      <w:r w:rsidRPr="00831CAF">
        <w:rPr>
          <w:rFonts w:asciiTheme="minorHAnsi" w:hAnsiTheme="minorHAnsi" w:cstheme="minorHAnsi"/>
        </w:rPr>
        <w:t>Dispositions particulières concernant les conférences et les assemblées</w:t>
      </w:r>
    </w:p>
    <w:tbl>
      <w:tblPr>
        <w:tblW w:w="10173" w:type="dxa"/>
        <w:tblInd w:w="-168" w:type="dxa"/>
        <w:tblLayout w:type="fixed"/>
        <w:tblLook w:val="0000" w:firstRow="0" w:lastRow="0" w:firstColumn="0" w:lastColumn="0" w:noHBand="0" w:noVBand="0"/>
      </w:tblPr>
      <w:tblGrid>
        <w:gridCol w:w="2235"/>
        <w:gridCol w:w="7938"/>
      </w:tblGrid>
      <w:tr w:rsidR="005B6620" w:rsidRPr="00831CAF" w14:paraId="6D58EA01" w14:textId="77777777" w:rsidTr="00831CAF">
        <w:trPr>
          <w:trHeight w:val="258"/>
        </w:trPr>
        <w:tc>
          <w:tcPr>
            <w:tcW w:w="2235" w:type="dxa"/>
          </w:tcPr>
          <w:p w14:paraId="24C2A68F" w14:textId="77777777" w:rsidR="005B6620" w:rsidRPr="00831CAF" w:rsidRDefault="005B6620" w:rsidP="00CD1374">
            <w:pPr>
              <w:pStyle w:val="Pa19"/>
              <w:spacing w:before="160" w:after="180"/>
              <w:rPr>
                <w:rFonts w:asciiTheme="minorHAnsi" w:hAnsiTheme="minorHAnsi" w:cstheme="minorHAnsi"/>
                <w:b/>
                <w:bCs/>
                <w:color w:val="403F41"/>
                <w:sz w:val="22"/>
                <w:szCs w:val="22"/>
                <w:lang w:val="fr-FR"/>
              </w:rPr>
            </w:pPr>
          </w:p>
        </w:tc>
        <w:tc>
          <w:tcPr>
            <w:tcW w:w="7938" w:type="dxa"/>
            <w:vAlign w:val="center"/>
          </w:tcPr>
          <w:p w14:paraId="737512A3" w14:textId="3ED4FEA5" w:rsidR="005B6620" w:rsidRPr="00831CAF" w:rsidRDefault="005B6620" w:rsidP="00831CAF">
            <w:pPr>
              <w:pStyle w:val="Tablehead"/>
              <w:rPr>
                <w:rStyle w:val="Tablefreq"/>
                <w:rFonts w:asciiTheme="minorHAnsi" w:hAnsiTheme="minorHAnsi" w:cstheme="minorHAnsi"/>
                <w:b/>
                <w:sz w:val="22"/>
                <w:szCs w:val="22"/>
              </w:rPr>
            </w:pPr>
            <w:r w:rsidRPr="00831CAF">
              <w:rPr>
                <w:rStyle w:val="Tablefreq"/>
                <w:rFonts w:asciiTheme="minorHAnsi" w:hAnsiTheme="minorHAnsi" w:cstheme="minorHAnsi"/>
                <w:b/>
                <w:sz w:val="22"/>
                <w:szCs w:val="22"/>
              </w:rPr>
              <w:t>ARTICLE 24</w:t>
            </w:r>
          </w:p>
        </w:tc>
      </w:tr>
      <w:tr w:rsidR="005B6620" w:rsidRPr="00831CAF" w14:paraId="1D0D7445" w14:textId="77777777" w:rsidTr="00CD1374">
        <w:trPr>
          <w:trHeight w:val="258"/>
        </w:trPr>
        <w:tc>
          <w:tcPr>
            <w:tcW w:w="2235" w:type="dxa"/>
          </w:tcPr>
          <w:p w14:paraId="07160CB2" w14:textId="77777777" w:rsidR="005B6620" w:rsidRPr="00831CAF" w:rsidRDefault="005B6620" w:rsidP="005B6620">
            <w:pPr>
              <w:pStyle w:val="Tabletext"/>
              <w:rPr>
                <w:rFonts w:asciiTheme="minorHAnsi" w:hAnsiTheme="minorHAnsi" w:cstheme="minorHAnsi"/>
                <w:b/>
                <w:bCs/>
                <w:color w:val="403F41"/>
                <w:sz w:val="22"/>
                <w:szCs w:val="22"/>
              </w:rPr>
            </w:pPr>
            <w:r w:rsidRPr="00831CAF">
              <w:rPr>
                <w:rFonts w:asciiTheme="minorHAnsi" w:hAnsiTheme="minorHAnsi" w:cstheme="minorHAnsi"/>
                <w:b/>
                <w:bCs/>
                <w:sz w:val="22"/>
                <w:szCs w:val="22"/>
              </w:rPr>
              <w:t>PP-02</w:t>
            </w:r>
          </w:p>
        </w:tc>
        <w:tc>
          <w:tcPr>
            <w:tcW w:w="7938" w:type="dxa"/>
          </w:tcPr>
          <w:p w14:paraId="73F1C487" w14:textId="2B39124F" w:rsidR="005B6620" w:rsidRPr="00831CAF" w:rsidRDefault="002815D2" w:rsidP="002815D2">
            <w:pPr>
              <w:pStyle w:val="Tabletext"/>
              <w:jc w:val="center"/>
              <w:rPr>
                <w:rFonts w:asciiTheme="minorHAnsi" w:hAnsiTheme="minorHAnsi" w:cstheme="minorHAnsi"/>
                <w:b/>
                <w:bCs/>
                <w:sz w:val="22"/>
                <w:szCs w:val="22"/>
              </w:rPr>
            </w:pPr>
            <w:r w:rsidRPr="00831CAF">
              <w:rPr>
                <w:rFonts w:asciiTheme="minorHAnsi" w:hAnsiTheme="minorHAnsi" w:cstheme="minorHAnsi"/>
                <w:b/>
                <w:bCs/>
                <w:sz w:val="22"/>
                <w:szCs w:val="22"/>
              </w:rPr>
              <w:t>Admission aux conférences des radiocommunication</w:t>
            </w:r>
          </w:p>
        </w:tc>
      </w:tr>
      <w:tr w:rsidR="005B6620" w:rsidRPr="00831CAF" w14:paraId="44CC7133" w14:textId="77777777" w:rsidTr="00CD1374">
        <w:trPr>
          <w:trHeight w:val="258"/>
        </w:trPr>
        <w:tc>
          <w:tcPr>
            <w:tcW w:w="2235" w:type="dxa"/>
          </w:tcPr>
          <w:p w14:paraId="28322D0C" w14:textId="3CD592D0" w:rsidR="005B6620" w:rsidRPr="00831CAF" w:rsidRDefault="005B6620" w:rsidP="005B6620">
            <w:pPr>
              <w:pStyle w:val="Tabletext"/>
              <w:rPr>
                <w:rFonts w:asciiTheme="minorHAnsi" w:hAnsiTheme="minorHAnsi" w:cstheme="minorHAnsi"/>
                <w:b/>
                <w:bCs/>
                <w:sz w:val="22"/>
                <w:szCs w:val="22"/>
              </w:rPr>
            </w:pPr>
            <w:r w:rsidRPr="00831CAF">
              <w:rPr>
                <w:rFonts w:asciiTheme="minorHAnsi" w:hAnsiTheme="minorHAnsi" w:cstheme="minorHAnsi"/>
                <w:b/>
                <w:bCs/>
                <w:sz w:val="22"/>
                <w:szCs w:val="22"/>
              </w:rPr>
              <w:t xml:space="preserve">270 </w:t>
            </w:r>
            <w:r w:rsidR="0076018B" w:rsidRPr="00831CAF">
              <w:rPr>
                <w:rFonts w:asciiTheme="minorHAnsi" w:hAnsiTheme="minorHAnsi" w:cstheme="minorHAnsi"/>
                <w:b/>
                <w:bCs/>
                <w:sz w:val="22"/>
                <w:szCs w:val="22"/>
              </w:rPr>
              <w:t>à</w:t>
            </w:r>
            <w:r w:rsidRPr="00831CAF">
              <w:rPr>
                <w:rFonts w:asciiTheme="minorHAnsi" w:hAnsiTheme="minorHAnsi" w:cstheme="minorHAnsi"/>
                <w:b/>
                <w:bCs/>
                <w:sz w:val="22"/>
                <w:szCs w:val="22"/>
              </w:rPr>
              <w:t xml:space="preserve"> 275</w:t>
            </w:r>
            <w:r w:rsidRPr="00831CAF">
              <w:rPr>
                <w:rFonts w:asciiTheme="minorHAnsi" w:hAnsiTheme="minorHAnsi" w:cstheme="minorHAnsi"/>
                <w:b/>
                <w:bCs/>
                <w:sz w:val="22"/>
                <w:szCs w:val="22"/>
              </w:rPr>
              <w:br/>
              <w:t>PP-02</w:t>
            </w:r>
          </w:p>
        </w:tc>
        <w:tc>
          <w:tcPr>
            <w:tcW w:w="7938" w:type="dxa"/>
          </w:tcPr>
          <w:p w14:paraId="27F6DEC2" w14:textId="77777777" w:rsidR="005B6620" w:rsidRPr="00831CAF" w:rsidRDefault="005B6620" w:rsidP="005B6620">
            <w:pPr>
              <w:pStyle w:val="Tabletext"/>
              <w:rPr>
                <w:rFonts w:asciiTheme="minorHAnsi" w:hAnsiTheme="minorHAnsi" w:cstheme="minorHAnsi"/>
                <w:sz w:val="22"/>
                <w:szCs w:val="22"/>
              </w:rPr>
            </w:pPr>
            <w:r w:rsidRPr="00831CAF">
              <w:rPr>
                <w:rFonts w:asciiTheme="minorHAnsi" w:hAnsiTheme="minorHAnsi" w:cstheme="minorHAnsi"/>
                <w:sz w:val="22"/>
                <w:szCs w:val="22"/>
              </w:rPr>
              <w:t>(SUP)</w:t>
            </w:r>
          </w:p>
        </w:tc>
      </w:tr>
      <w:tr w:rsidR="005B6620" w:rsidRPr="00831CAF" w14:paraId="337BE5A3" w14:textId="77777777" w:rsidTr="00CD1374">
        <w:trPr>
          <w:trHeight w:val="258"/>
        </w:trPr>
        <w:tc>
          <w:tcPr>
            <w:tcW w:w="2235" w:type="dxa"/>
          </w:tcPr>
          <w:p w14:paraId="721F7842" w14:textId="77777777" w:rsidR="005B6620" w:rsidRPr="00831CAF" w:rsidRDefault="005B6620" w:rsidP="005B6620">
            <w:pPr>
              <w:pStyle w:val="Tabletext"/>
              <w:rPr>
                <w:rFonts w:asciiTheme="minorHAnsi" w:hAnsiTheme="minorHAnsi" w:cstheme="minorHAnsi"/>
                <w:b/>
                <w:bCs/>
                <w:sz w:val="22"/>
                <w:szCs w:val="22"/>
              </w:rPr>
            </w:pPr>
            <w:r w:rsidRPr="00831CAF">
              <w:rPr>
                <w:rFonts w:asciiTheme="minorHAnsi" w:hAnsiTheme="minorHAnsi" w:cstheme="minorHAnsi"/>
                <w:b/>
                <w:bCs/>
                <w:sz w:val="22"/>
                <w:szCs w:val="22"/>
              </w:rPr>
              <w:t>276</w:t>
            </w:r>
            <w:r w:rsidRPr="00831CAF">
              <w:rPr>
                <w:rFonts w:asciiTheme="minorHAnsi" w:hAnsiTheme="minorHAnsi" w:cstheme="minorHAnsi"/>
                <w:b/>
                <w:bCs/>
                <w:sz w:val="22"/>
                <w:szCs w:val="22"/>
              </w:rPr>
              <w:br/>
              <w:t>PP-02</w:t>
            </w:r>
          </w:p>
        </w:tc>
        <w:tc>
          <w:tcPr>
            <w:tcW w:w="7938" w:type="dxa"/>
          </w:tcPr>
          <w:p w14:paraId="3C5567CD" w14:textId="71CDC15E" w:rsidR="005B6620" w:rsidRPr="00831CAF" w:rsidRDefault="005B6620" w:rsidP="005B6620">
            <w:pPr>
              <w:pStyle w:val="Tabletext"/>
              <w:rPr>
                <w:rFonts w:asciiTheme="minorHAnsi" w:hAnsiTheme="minorHAnsi" w:cstheme="minorHAnsi"/>
                <w:sz w:val="22"/>
                <w:szCs w:val="22"/>
              </w:rPr>
            </w:pPr>
            <w:r w:rsidRPr="00831CAF">
              <w:rPr>
                <w:rFonts w:asciiTheme="minorHAnsi" w:hAnsiTheme="minorHAnsi" w:cstheme="minorHAnsi"/>
                <w:sz w:val="22"/>
                <w:szCs w:val="22"/>
              </w:rPr>
              <w:t>1</w:t>
            </w:r>
            <w:r w:rsidRPr="00831CAF">
              <w:rPr>
                <w:rFonts w:asciiTheme="minorHAnsi" w:hAnsiTheme="minorHAnsi" w:cstheme="minorHAnsi"/>
                <w:sz w:val="22"/>
                <w:szCs w:val="22"/>
              </w:rPr>
              <w:tab/>
              <w:t>Sont admis aux conférences des radiocommunications:</w:t>
            </w:r>
          </w:p>
        </w:tc>
      </w:tr>
      <w:tr w:rsidR="005B6620" w:rsidRPr="00831CAF" w14:paraId="2C3CAE17" w14:textId="77777777" w:rsidTr="00CD1374">
        <w:trPr>
          <w:trHeight w:val="138"/>
        </w:trPr>
        <w:tc>
          <w:tcPr>
            <w:tcW w:w="2235" w:type="dxa"/>
          </w:tcPr>
          <w:p w14:paraId="3325609A" w14:textId="77777777" w:rsidR="005B6620" w:rsidRPr="00831CAF" w:rsidRDefault="005B6620" w:rsidP="005B6620">
            <w:pPr>
              <w:pStyle w:val="Tabletext"/>
              <w:rPr>
                <w:rFonts w:asciiTheme="minorHAnsi" w:hAnsiTheme="minorHAnsi" w:cstheme="minorHAnsi"/>
                <w:b/>
                <w:bCs/>
                <w:sz w:val="22"/>
                <w:szCs w:val="22"/>
              </w:rPr>
            </w:pPr>
            <w:r w:rsidRPr="00831CAF">
              <w:rPr>
                <w:rFonts w:asciiTheme="minorHAnsi" w:hAnsiTheme="minorHAnsi" w:cstheme="minorHAnsi"/>
                <w:b/>
                <w:bCs/>
                <w:sz w:val="22"/>
                <w:szCs w:val="22"/>
              </w:rPr>
              <w:t>277</w:t>
            </w:r>
          </w:p>
        </w:tc>
        <w:tc>
          <w:tcPr>
            <w:tcW w:w="7938" w:type="dxa"/>
          </w:tcPr>
          <w:p w14:paraId="3BF7CB3D" w14:textId="60D30865" w:rsidR="005B6620" w:rsidRPr="00831CAF" w:rsidRDefault="005B6620" w:rsidP="005B6620">
            <w:pPr>
              <w:pStyle w:val="Tabletext"/>
              <w:rPr>
                <w:rFonts w:asciiTheme="minorHAnsi" w:hAnsiTheme="minorHAnsi" w:cstheme="minorHAnsi"/>
                <w:sz w:val="22"/>
                <w:szCs w:val="22"/>
              </w:rPr>
            </w:pPr>
            <w:r w:rsidRPr="00831CAF">
              <w:rPr>
                <w:rFonts w:asciiTheme="minorHAnsi" w:hAnsiTheme="minorHAnsi" w:cstheme="minorHAnsi"/>
                <w:i/>
                <w:iCs/>
                <w:sz w:val="22"/>
                <w:szCs w:val="22"/>
              </w:rPr>
              <w:t>a</w:t>
            </w:r>
            <w:r w:rsidR="0076018B" w:rsidRPr="00831CAF">
              <w:rPr>
                <w:rFonts w:asciiTheme="minorHAnsi" w:hAnsiTheme="minorHAnsi" w:cstheme="minorHAnsi"/>
                <w:i/>
                <w:iCs/>
                <w:sz w:val="22"/>
                <w:szCs w:val="22"/>
              </w:rPr>
              <w:t>)</w:t>
            </w:r>
            <w:r w:rsidRPr="00831CAF">
              <w:rPr>
                <w:rFonts w:asciiTheme="minorHAnsi" w:hAnsiTheme="minorHAnsi" w:cstheme="minorHAnsi"/>
                <w:i/>
                <w:iCs/>
                <w:sz w:val="22"/>
                <w:szCs w:val="22"/>
              </w:rPr>
              <w:tab/>
            </w:r>
            <w:r w:rsidR="002815D2" w:rsidRPr="00831CAF">
              <w:rPr>
                <w:rFonts w:asciiTheme="minorHAnsi" w:hAnsiTheme="minorHAnsi" w:cstheme="minorHAnsi"/>
                <w:sz w:val="22"/>
                <w:szCs w:val="22"/>
              </w:rPr>
              <w:t>les délégations</w:t>
            </w:r>
            <w:r w:rsidRPr="00831CAF">
              <w:rPr>
                <w:rFonts w:asciiTheme="minorHAnsi" w:hAnsiTheme="minorHAnsi" w:cstheme="minorHAnsi"/>
                <w:sz w:val="22"/>
                <w:szCs w:val="22"/>
              </w:rPr>
              <w:t>;</w:t>
            </w:r>
          </w:p>
        </w:tc>
      </w:tr>
      <w:tr w:rsidR="005B6620" w:rsidRPr="00831CAF" w14:paraId="5DB29440" w14:textId="77777777" w:rsidTr="00CD1374">
        <w:trPr>
          <w:trHeight w:val="378"/>
        </w:trPr>
        <w:tc>
          <w:tcPr>
            <w:tcW w:w="2235" w:type="dxa"/>
          </w:tcPr>
          <w:p w14:paraId="2EEF7469" w14:textId="686E1039" w:rsidR="005B6620" w:rsidRPr="00831CAF" w:rsidRDefault="005B6620" w:rsidP="005B6620">
            <w:pPr>
              <w:pStyle w:val="Tabletext"/>
              <w:rPr>
                <w:rFonts w:asciiTheme="minorHAnsi" w:hAnsiTheme="minorHAnsi" w:cstheme="minorHAnsi"/>
                <w:b/>
                <w:bCs/>
                <w:sz w:val="22"/>
                <w:szCs w:val="22"/>
              </w:rPr>
            </w:pPr>
            <w:r w:rsidRPr="00831CAF">
              <w:rPr>
                <w:rFonts w:asciiTheme="minorHAnsi" w:hAnsiTheme="minorHAnsi" w:cstheme="minorHAnsi"/>
                <w:b/>
                <w:bCs/>
                <w:sz w:val="22"/>
                <w:szCs w:val="22"/>
              </w:rPr>
              <w:t>278</w:t>
            </w:r>
            <w:r w:rsidRPr="00831CAF">
              <w:rPr>
                <w:rFonts w:asciiTheme="minorHAnsi" w:hAnsiTheme="minorHAnsi" w:cstheme="minorHAnsi"/>
                <w:b/>
                <w:bCs/>
                <w:sz w:val="22"/>
                <w:szCs w:val="22"/>
              </w:rPr>
              <w:br/>
              <w:t>PP-02</w:t>
            </w:r>
            <w:r w:rsidRPr="00831CAF">
              <w:rPr>
                <w:rFonts w:asciiTheme="minorHAnsi" w:hAnsiTheme="minorHAnsi" w:cstheme="minorHAnsi"/>
                <w:b/>
                <w:bCs/>
                <w:sz w:val="22"/>
                <w:szCs w:val="22"/>
              </w:rPr>
              <w:br/>
              <w:t>PP-06</w:t>
            </w:r>
          </w:p>
        </w:tc>
        <w:tc>
          <w:tcPr>
            <w:tcW w:w="7938" w:type="dxa"/>
          </w:tcPr>
          <w:p w14:paraId="3351A1A2" w14:textId="6BDEE3B8" w:rsidR="005B6620" w:rsidRPr="00831CAF" w:rsidRDefault="005B6620" w:rsidP="005B6620">
            <w:pPr>
              <w:pStyle w:val="Tabletext"/>
              <w:rPr>
                <w:rFonts w:asciiTheme="minorHAnsi" w:hAnsiTheme="minorHAnsi" w:cstheme="minorHAnsi"/>
                <w:sz w:val="22"/>
                <w:szCs w:val="22"/>
              </w:rPr>
            </w:pPr>
            <w:r w:rsidRPr="00831CAF">
              <w:rPr>
                <w:rFonts w:asciiTheme="minorHAnsi" w:hAnsiTheme="minorHAnsi" w:cstheme="minorHAnsi"/>
                <w:i/>
                <w:iCs/>
                <w:sz w:val="22"/>
                <w:szCs w:val="22"/>
              </w:rPr>
              <w:t>b)</w:t>
            </w:r>
            <w:r w:rsidRPr="00831CAF">
              <w:rPr>
                <w:rFonts w:asciiTheme="minorHAnsi" w:hAnsiTheme="minorHAnsi" w:cstheme="minorHAnsi"/>
                <w:i/>
                <w:iCs/>
                <w:sz w:val="22"/>
                <w:szCs w:val="22"/>
              </w:rPr>
              <w:tab/>
            </w:r>
            <w:r w:rsidR="002815D2" w:rsidRPr="00831CAF">
              <w:rPr>
                <w:rFonts w:asciiTheme="minorHAnsi" w:hAnsiTheme="minorHAnsi" w:cstheme="minorHAnsi"/>
                <w:sz w:val="22"/>
                <w:szCs w:val="22"/>
              </w:rPr>
              <w:t>les observateurs des organisations et des institutions visées aux numéros 269A à 269D de la présente Convention, qui peuvent participer à titre consultatif</w:t>
            </w:r>
            <w:r w:rsidRPr="00831CAF">
              <w:rPr>
                <w:rFonts w:asciiTheme="minorHAnsi" w:hAnsiTheme="minorHAnsi" w:cstheme="minorHAnsi"/>
                <w:sz w:val="24"/>
                <w:szCs w:val="24"/>
              </w:rPr>
              <w:t>;</w:t>
            </w:r>
          </w:p>
        </w:tc>
      </w:tr>
      <w:tr w:rsidR="005B6620" w:rsidRPr="00831CAF" w14:paraId="447EFFA8" w14:textId="77777777" w:rsidTr="00CD1374">
        <w:trPr>
          <w:trHeight w:val="378"/>
        </w:trPr>
        <w:tc>
          <w:tcPr>
            <w:tcW w:w="2235" w:type="dxa"/>
          </w:tcPr>
          <w:p w14:paraId="1AE4EBA0" w14:textId="617152AA" w:rsidR="005B6620" w:rsidRPr="00831CAF" w:rsidRDefault="005B6620" w:rsidP="005B6620">
            <w:pPr>
              <w:pStyle w:val="Tabletext"/>
              <w:rPr>
                <w:rFonts w:asciiTheme="minorHAnsi" w:hAnsiTheme="minorHAnsi" w:cstheme="minorHAnsi"/>
                <w:b/>
                <w:bCs/>
                <w:sz w:val="22"/>
                <w:szCs w:val="22"/>
              </w:rPr>
            </w:pPr>
            <w:r w:rsidRPr="00831CAF">
              <w:rPr>
                <w:rFonts w:asciiTheme="minorHAnsi" w:hAnsiTheme="minorHAnsi" w:cstheme="minorHAnsi"/>
                <w:b/>
                <w:bCs/>
                <w:sz w:val="22"/>
                <w:szCs w:val="22"/>
              </w:rPr>
              <w:t>279</w:t>
            </w:r>
            <w:r w:rsidRPr="00831CAF">
              <w:rPr>
                <w:rFonts w:asciiTheme="minorHAnsi" w:hAnsiTheme="minorHAnsi" w:cstheme="minorHAnsi"/>
                <w:b/>
                <w:bCs/>
                <w:sz w:val="22"/>
                <w:szCs w:val="22"/>
              </w:rPr>
              <w:br/>
              <w:t>PP-02</w:t>
            </w:r>
            <w:r w:rsidRPr="00831CAF">
              <w:rPr>
                <w:rFonts w:asciiTheme="minorHAnsi" w:hAnsiTheme="minorHAnsi" w:cstheme="minorHAnsi"/>
                <w:b/>
                <w:bCs/>
                <w:sz w:val="22"/>
                <w:szCs w:val="22"/>
              </w:rPr>
              <w:br/>
              <w:t>PP-06</w:t>
            </w:r>
          </w:p>
        </w:tc>
        <w:tc>
          <w:tcPr>
            <w:tcW w:w="7938" w:type="dxa"/>
          </w:tcPr>
          <w:p w14:paraId="600F42B5" w14:textId="5ED19AA0" w:rsidR="005B6620" w:rsidRPr="00831CAF" w:rsidRDefault="005B6620" w:rsidP="005B6620">
            <w:pPr>
              <w:pStyle w:val="Tabletext"/>
              <w:rPr>
                <w:rFonts w:asciiTheme="minorHAnsi" w:hAnsiTheme="minorHAnsi" w:cstheme="minorHAnsi"/>
                <w:sz w:val="22"/>
                <w:szCs w:val="22"/>
              </w:rPr>
            </w:pPr>
            <w:r w:rsidRPr="00831CAF">
              <w:rPr>
                <w:rFonts w:asciiTheme="minorHAnsi" w:hAnsiTheme="minorHAnsi" w:cstheme="minorHAnsi"/>
                <w:i/>
                <w:iCs/>
                <w:sz w:val="22"/>
                <w:szCs w:val="22"/>
              </w:rPr>
              <w:t>c)</w:t>
            </w:r>
            <w:r w:rsidRPr="00831CAF">
              <w:rPr>
                <w:rFonts w:asciiTheme="minorHAnsi" w:hAnsiTheme="minorHAnsi" w:cstheme="minorHAnsi"/>
                <w:sz w:val="22"/>
                <w:szCs w:val="22"/>
              </w:rPr>
              <w:tab/>
            </w:r>
            <w:r w:rsidR="002815D2" w:rsidRPr="00831CAF">
              <w:rPr>
                <w:rFonts w:asciiTheme="minorHAnsi" w:hAnsiTheme="minorHAnsi" w:cstheme="minorHAnsi"/>
                <w:sz w:val="22"/>
                <w:szCs w:val="22"/>
              </w:rPr>
              <w:t>les observateurs d'autres organisations internationales invitées conformément aux dispositions pertinentes du chapitre I des Règles générales régissant les conférences, assemblées et réunions de l'Union, qui peuvent participer à titre consultatif</w:t>
            </w:r>
            <w:r w:rsidRPr="00831CAF">
              <w:rPr>
                <w:rFonts w:asciiTheme="minorHAnsi" w:hAnsiTheme="minorHAnsi" w:cstheme="minorHAnsi"/>
                <w:sz w:val="24"/>
                <w:szCs w:val="24"/>
              </w:rPr>
              <w:t>;</w:t>
            </w:r>
          </w:p>
        </w:tc>
      </w:tr>
      <w:tr w:rsidR="005B6620" w:rsidRPr="00831CAF" w14:paraId="4A22C833" w14:textId="77777777" w:rsidTr="00CD1374">
        <w:trPr>
          <w:trHeight w:val="378"/>
        </w:trPr>
        <w:tc>
          <w:tcPr>
            <w:tcW w:w="2235" w:type="dxa"/>
          </w:tcPr>
          <w:p w14:paraId="68099F9D" w14:textId="537D3C8B" w:rsidR="005B6620" w:rsidRPr="00831CAF" w:rsidRDefault="005B6620" w:rsidP="005B6620">
            <w:pPr>
              <w:pStyle w:val="Tabletext"/>
              <w:rPr>
                <w:rFonts w:asciiTheme="minorHAnsi" w:hAnsiTheme="minorHAnsi" w:cstheme="minorHAnsi"/>
                <w:b/>
                <w:bCs/>
                <w:sz w:val="22"/>
                <w:szCs w:val="22"/>
              </w:rPr>
            </w:pPr>
            <w:r w:rsidRPr="00831CAF">
              <w:rPr>
                <w:rFonts w:asciiTheme="minorHAnsi" w:hAnsiTheme="minorHAnsi" w:cstheme="minorHAnsi"/>
                <w:b/>
                <w:bCs/>
                <w:sz w:val="22"/>
                <w:szCs w:val="22"/>
              </w:rPr>
              <w:t>280</w:t>
            </w:r>
            <w:r w:rsidRPr="00831CAF">
              <w:rPr>
                <w:rFonts w:asciiTheme="minorHAnsi" w:hAnsiTheme="minorHAnsi" w:cstheme="minorHAnsi"/>
                <w:b/>
                <w:bCs/>
                <w:sz w:val="22"/>
                <w:szCs w:val="22"/>
              </w:rPr>
              <w:br/>
              <w:t>PP-98</w:t>
            </w:r>
            <w:r w:rsidRPr="00831CAF">
              <w:rPr>
                <w:rFonts w:asciiTheme="minorHAnsi" w:hAnsiTheme="minorHAnsi" w:cstheme="minorHAnsi"/>
                <w:b/>
                <w:bCs/>
                <w:sz w:val="22"/>
                <w:szCs w:val="22"/>
              </w:rPr>
              <w:br/>
              <w:t>PP-06</w:t>
            </w:r>
          </w:p>
        </w:tc>
        <w:tc>
          <w:tcPr>
            <w:tcW w:w="7938" w:type="dxa"/>
          </w:tcPr>
          <w:p w14:paraId="543D2E37" w14:textId="2A25C5BE" w:rsidR="005B6620" w:rsidRPr="00831CAF" w:rsidRDefault="005B6620" w:rsidP="005B6620">
            <w:pPr>
              <w:pStyle w:val="Tabletext"/>
              <w:rPr>
                <w:rFonts w:asciiTheme="minorHAnsi" w:hAnsiTheme="minorHAnsi" w:cstheme="minorHAnsi"/>
                <w:i/>
                <w:iCs/>
                <w:sz w:val="22"/>
                <w:szCs w:val="22"/>
              </w:rPr>
            </w:pPr>
            <w:r w:rsidRPr="00831CAF">
              <w:rPr>
                <w:rFonts w:asciiTheme="minorHAnsi" w:hAnsiTheme="minorHAnsi" w:cstheme="minorHAnsi"/>
                <w:i/>
                <w:iCs/>
                <w:sz w:val="22"/>
                <w:szCs w:val="22"/>
              </w:rPr>
              <w:t>d</w:t>
            </w:r>
            <w:r w:rsidR="00E460C0" w:rsidRPr="00831CAF">
              <w:rPr>
                <w:rFonts w:asciiTheme="minorHAnsi" w:hAnsiTheme="minorHAnsi" w:cstheme="minorHAnsi"/>
                <w:i/>
                <w:iCs/>
                <w:sz w:val="22"/>
                <w:szCs w:val="22"/>
              </w:rPr>
              <w:t>)</w:t>
            </w:r>
            <w:r w:rsidRPr="00831CAF">
              <w:rPr>
                <w:rFonts w:asciiTheme="minorHAnsi" w:hAnsiTheme="minorHAnsi" w:cstheme="minorHAnsi"/>
                <w:i/>
                <w:iCs/>
                <w:sz w:val="22"/>
                <w:szCs w:val="22"/>
              </w:rPr>
              <w:tab/>
            </w:r>
            <w:r w:rsidR="002815D2" w:rsidRPr="00831CAF">
              <w:rPr>
                <w:rFonts w:asciiTheme="minorHAnsi" w:hAnsiTheme="minorHAnsi" w:cstheme="minorHAnsi"/>
                <w:sz w:val="22"/>
                <w:szCs w:val="22"/>
              </w:rPr>
              <w:t>les observateurs des Membres du Secteur des radiocommunications</w:t>
            </w:r>
            <w:r w:rsidRPr="00831CAF">
              <w:rPr>
                <w:rFonts w:asciiTheme="minorHAnsi" w:hAnsiTheme="minorHAnsi" w:cstheme="minorHAnsi"/>
                <w:sz w:val="24"/>
                <w:szCs w:val="24"/>
              </w:rPr>
              <w:t>;</w:t>
            </w:r>
          </w:p>
        </w:tc>
      </w:tr>
      <w:tr w:rsidR="005B6620" w:rsidRPr="00831CAF" w14:paraId="7E61D17E" w14:textId="77777777" w:rsidTr="00CD1374">
        <w:trPr>
          <w:trHeight w:val="378"/>
        </w:trPr>
        <w:tc>
          <w:tcPr>
            <w:tcW w:w="2235" w:type="dxa"/>
          </w:tcPr>
          <w:p w14:paraId="33672CA9" w14:textId="77777777" w:rsidR="005B6620" w:rsidRPr="00831CAF" w:rsidRDefault="005B6620" w:rsidP="00CD1374">
            <w:pPr>
              <w:pStyle w:val="Pa22"/>
              <w:spacing w:before="100" w:after="100"/>
              <w:rPr>
                <w:rFonts w:asciiTheme="minorHAnsi" w:hAnsiTheme="minorHAnsi" w:cstheme="minorHAnsi"/>
                <w:b/>
                <w:bCs/>
                <w:color w:val="000000" w:themeColor="text1"/>
                <w:sz w:val="22"/>
                <w:szCs w:val="22"/>
                <w:lang w:val="fr-FR"/>
              </w:rPr>
            </w:pPr>
          </w:p>
        </w:tc>
        <w:tc>
          <w:tcPr>
            <w:tcW w:w="7938" w:type="dxa"/>
          </w:tcPr>
          <w:p w14:paraId="18292AF6" w14:textId="77777777" w:rsidR="005B6620" w:rsidRPr="00831CAF" w:rsidRDefault="005B6620" w:rsidP="0061086C">
            <w:pPr>
              <w:pStyle w:val="Tabletext"/>
              <w:rPr>
                <w:rFonts w:asciiTheme="minorHAnsi" w:hAnsiTheme="minorHAnsi" w:cstheme="minorHAnsi"/>
                <w:i/>
                <w:iCs/>
              </w:rPr>
            </w:pPr>
            <w:r w:rsidRPr="00831CAF">
              <w:rPr>
                <w:rFonts w:asciiTheme="minorHAnsi" w:hAnsiTheme="minorHAnsi" w:cstheme="minorHAnsi"/>
                <w:i/>
                <w:iCs/>
              </w:rPr>
              <w:t>[…]</w:t>
            </w:r>
          </w:p>
        </w:tc>
      </w:tr>
    </w:tbl>
    <w:p w14:paraId="19FB3807" w14:textId="61F67437" w:rsidR="002815D2" w:rsidRPr="00831CAF" w:rsidRDefault="002815D2" w:rsidP="005B6620"/>
    <w:p w14:paraId="46D55C1E" w14:textId="48174DEE" w:rsidR="002815D2" w:rsidRPr="00831CAF" w:rsidRDefault="002815D2">
      <w:pPr>
        <w:tabs>
          <w:tab w:val="clear" w:pos="1134"/>
          <w:tab w:val="clear" w:pos="1871"/>
          <w:tab w:val="clear" w:pos="2268"/>
        </w:tabs>
        <w:overflowPunct/>
        <w:autoSpaceDE/>
        <w:autoSpaceDN/>
        <w:adjustRightInd/>
        <w:spacing w:before="0"/>
        <w:textAlignment w:val="auto"/>
      </w:pPr>
      <w:r w:rsidRPr="00831CAF">
        <w:br w:type="page"/>
      </w:r>
    </w:p>
    <w:p w14:paraId="02ADD5F9" w14:textId="6601CDC2" w:rsidR="005B6620" w:rsidRPr="00831CAF" w:rsidRDefault="002815D2" w:rsidP="002815D2">
      <w:pPr>
        <w:pStyle w:val="AnnexNo"/>
      </w:pPr>
      <w:r w:rsidRPr="00831CAF">
        <w:lastRenderedPageBreak/>
        <w:t>ANNEXE 2</w:t>
      </w:r>
    </w:p>
    <w:p w14:paraId="5D103E2D" w14:textId="77777777" w:rsidR="002815D2" w:rsidRPr="00831CAF" w:rsidRDefault="002815D2" w:rsidP="002815D2">
      <w:pPr>
        <w:pStyle w:val="ResNo"/>
        <w:rPr>
          <w:rFonts w:asciiTheme="minorHAnsi" w:hAnsiTheme="minorHAnsi" w:cstheme="minorHAnsi"/>
        </w:rPr>
      </w:pPr>
      <w:r w:rsidRPr="00831CAF">
        <w:rPr>
          <w:rFonts w:asciiTheme="minorHAnsi" w:hAnsiTheme="minorHAnsi" w:cstheme="minorHAnsi"/>
        </w:rPr>
        <w:t>RÉSOLUTION 145 (ANTALYA, 2006)</w:t>
      </w:r>
    </w:p>
    <w:p w14:paraId="39A1E37D" w14:textId="6360215D" w:rsidR="002815D2" w:rsidRPr="00831CAF" w:rsidRDefault="002815D2" w:rsidP="002815D2">
      <w:pPr>
        <w:pStyle w:val="Restitle"/>
        <w:rPr>
          <w:rFonts w:asciiTheme="minorHAnsi" w:hAnsiTheme="minorHAnsi" w:cstheme="minorHAnsi"/>
        </w:rPr>
      </w:pPr>
      <w:r w:rsidRPr="00831CAF">
        <w:rPr>
          <w:rFonts w:asciiTheme="minorHAnsi" w:hAnsiTheme="minorHAnsi" w:cstheme="minorHAnsi"/>
        </w:rPr>
        <w:t xml:space="preserve">Participation d'observateurs aux conférences, </w:t>
      </w:r>
      <w:r w:rsidRPr="00831CAF">
        <w:rPr>
          <w:rFonts w:asciiTheme="minorHAnsi" w:hAnsiTheme="minorHAnsi" w:cstheme="minorHAnsi"/>
        </w:rPr>
        <w:br/>
        <w:t>assemblées et réunions de l'Union</w:t>
      </w:r>
    </w:p>
    <w:p w14:paraId="0D7563D1" w14:textId="3C185F7C" w:rsidR="002815D2" w:rsidRPr="00831CAF" w:rsidRDefault="002815D2" w:rsidP="00E460C0">
      <w:pPr>
        <w:rPr>
          <w:rFonts w:asciiTheme="minorHAnsi" w:hAnsiTheme="minorHAnsi" w:cstheme="minorHAnsi"/>
        </w:rPr>
      </w:pPr>
      <w:r w:rsidRPr="00831CAF">
        <w:rPr>
          <w:rFonts w:asciiTheme="minorHAnsi" w:hAnsiTheme="minorHAnsi" w:cstheme="minorHAnsi"/>
        </w:rPr>
        <w:t>[…]</w:t>
      </w:r>
    </w:p>
    <w:p w14:paraId="1687E89B" w14:textId="77777777" w:rsidR="002815D2" w:rsidRPr="00831CAF" w:rsidRDefault="002815D2" w:rsidP="0061086C">
      <w:pPr>
        <w:pStyle w:val="AnnexNo"/>
        <w:rPr>
          <w:rFonts w:asciiTheme="minorHAnsi" w:hAnsiTheme="minorHAnsi" w:cstheme="minorHAnsi"/>
        </w:rPr>
      </w:pPr>
      <w:r w:rsidRPr="00831CAF">
        <w:rPr>
          <w:rFonts w:asciiTheme="minorHAnsi" w:hAnsiTheme="minorHAnsi" w:cstheme="minorHAnsi"/>
        </w:rPr>
        <w:t>ANNEXE 2 À LA RÉSOLUTION 145 (ANTALYA, 2006)</w:t>
      </w:r>
    </w:p>
    <w:p w14:paraId="76F3413F" w14:textId="77777777" w:rsidR="002815D2" w:rsidRPr="00831CAF" w:rsidRDefault="002815D2" w:rsidP="0061086C">
      <w:pPr>
        <w:pStyle w:val="Annextitle"/>
        <w:rPr>
          <w:rFonts w:asciiTheme="minorHAnsi" w:hAnsiTheme="minorHAnsi" w:cstheme="minorHAnsi"/>
        </w:rPr>
      </w:pPr>
      <w:r w:rsidRPr="00831CAF">
        <w:rPr>
          <w:rFonts w:asciiTheme="minorHAnsi" w:hAnsiTheme="minorHAnsi" w:cstheme="minorHAnsi"/>
        </w:rPr>
        <w:t>Observateurs qui participent à titre consultatif</w:t>
      </w:r>
    </w:p>
    <w:p w14:paraId="71911803" w14:textId="62E8F529" w:rsidR="002815D2" w:rsidRPr="00831CAF" w:rsidRDefault="002815D2" w:rsidP="0061086C">
      <w:pPr>
        <w:pStyle w:val="Normalaftertitle"/>
        <w:rPr>
          <w:rFonts w:asciiTheme="minorHAnsi" w:hAnsiTheme="minorHAnsi" w:cstheme="minorHAnsi"/>
        </w:rPr>
      </w:pPr>
      <w:r w:rsidRPr="00831CAF">
        <w:rPr>
          <w:rFonts w:asciiTheme="minorHAnsi" w:hAnsiTheme="minorHAnsi" w:cstheme="minorHAnsi"/>
        </w:rPr>
        <w:t>Les droits suivants sont conférés aux organisations, institutions et entités qui sont admises à participer en qualité d'observateurs, à titre consultatif, aux conférences, assemblées et réunions de l'Union, conformément aux dispositions pertinentes de la Convention de l'UIT:</w:t>
      </w:r>
    </w:p>
    <w:p w14:paraId="49FFE1D7" w14:textId="04C00007" w:rsidR="002815D2" w:rsidRPr="00831CAF" w:rsidRDefault="002815D2" w:rsidP="002815D2">
      <w:pPr>
        <w:pStyle w:val="Heading1"/>
        <w:rPr>
          <w:rFonts w:asciiTheme="minorHAnsi" w:hAnsiTheme="minorHAnsi" w:cstheme="minorHAnsi"/>
        </w:rPr>
      </w:pPr>
      <w:r w:rsidRPr="00831CAF">
        <w:rPr>
          <w:rFonts w:asciiTheme="minorHAnsi" w:hAnsiTheme="minorHAnsi" w:cstheme="minorHAnsi"/>
        </w:rPr>
        <w:t>I</w:t>
      </w:r>
      <w:r w:rsidRPr="00831CAF">
        <w:rPr>
          <w:rFonts w:asciiTheme="minorHAnsi" w:hAnsiTheme="minorHAnsi" w:cstheme="minorHAnsi"/>
        </w:rPr>
        <w:tab/>
        <w:t>Conférences de plénipotentiaires (article 23, numéros 269A à 269D), conférences des radiocommunications (article 24, numéros 278 et 279) et conférences mondiales des télécommunications internationales (article 3, numéro 49; article 24, numéros 278 et 279)</w:t>
      </w:r>
    </w:p>
    <w:p w14:paraId="7887C14E" w14:textId="77777777" w:rsidR="002815D2" w:rsidRPr="00831CAF" w:rsidRDefault="002815D2" w:rsidP="002815D2">
      <w:pPr>
        <w:rPr>
          <w:rFonts w:asciiTheme="minorHAnsi" w:hAnsiTheme="minorHAnsi" w:cstheme="minorHAnsi"/>
        </w:rPr>
      </w:pPr>
      <w:r w:rsidRPr="00831CAF">
        <w:rPr>
          <w:rFonts w:asciiTheme="minorHAnsi" w:hAnsiTheme="minorHAnsi" w:cstheme="minorHAnsi"/>
        </w:rPr>
        <w:t>Ces observateurs:</w:t>
      </w:r>
    </w:p>
    <w:p w14:paraId="0B0FC320" w14:textId="29359E31" w:rsidR="002815D2" w:rsidRPr="00831CAF" w:rsidRDefault="002815D2" w:rsidP="002815D2">
      <w:pPr>
        <w:pStyle w:val="enumlev1"/>
        <w:rPr>
          <w:rFonts w:asciiTheme="minorHAnsi" w:hAnsiTheme="minorHAnsi" w:cstheme="minorHAnsi"/>
        </w:rPr>
      </w:pPr>
      <w:r w:rsidRPr="00831CAF">
        <w:rPr>
          <w:rFonts w:asciiTheme="minorHAnsi" w:hAnsiTheme="minorHAnsi" w:cstheme="minorHAnsi"/>
        </w:rPr>
        <w:t>1)</w:t>
      </w:r>
      <w:r w:rsidRPr="00831CAF">
        <w:rPr>
          <w:rFonts w:asciiTheme="minorHAnsi" w:hAnsiTheme="minorHAnsi" w:cstheme="minorHAnsi"/>
        </w:rPr>
        <w:tab/>
        <w:t>sont admis à participer aux séances plénières;</w:t>
      </w:r>
    </w:p>
    <w:p w14:paraId="50DE71D0" w14:textId="61D7DD85" w:rsidR="002815D2" w:rsidRPr="00831CAF" w:rsidRDefault="002815D2" w:rsidP="002815D2">
      <w:pPr>
        <w:pStyle w:val="enumlev1"/>
        <w:rPr>
          <w:rFonts w:asciiTheme="minorHAnsi" w:hAnsiTheme="minorHAnsi" w:cstheme="minorHAnsi"/>
        </w:rPr>
      </w:pPr>
      <w:r w:rsidRPr="00831CAF">
        <w:rPr>
          <w:rFonts w:asciiTheme="minorHAnsi" w:hAnsiTheme="minorHAnsi" w:cstheme="minorHAnsi"/>
        </w:rPr>
        <w:t>2)</w:t>
      </w:r>
      <w:r w:rsidRPr="00831CAF">
        <w:rPr>
          <w:rFonts w:asciiTheme="minorHAnsi" w:hAnsiTheme="minorHAnsi" w:cstheme="minorHAnsi"/>
        </w:rPr>
        <w:tab/>
        <w:t>à moins qu'il n'en soit décidé autrement en séance plénière, peuvent être admis à participer aux travaux des commissions et de leurs groupes subsidiaires, exception faite de la commission de direction, de la commission de contrôle budgétaire, de la commission des pouvoirs et de la commission de rédaction;</w:t>
      </w:r>
    </w:p>
    <w:p w14:paraId="0A6A4567" w14:textId="4EBAA510" w:rsidR="002815D2" w:rsidRPr="00831CAF" w:rsidRDefault="002815D2" w:rsidP="002815D2">
      <w:pPr>
        <w:pStyle w:val="enumlev1"/>
        <w:rPr>
          <w:rFonts w:asciiTheme="minorHAnsi" w:hAnsiTheme="minorHAnsi" w:cstheme="minorHAnsi"/>
        </w:rPr>
      </w:pPr>
      <w:r w:rsidRPr="00831CAF">
        <w:rPr>
          <w:rFonts w:asciiTheme="minorHAnsi" w:hAnsiTheme="minorHAnsi" w:cstheme="minorHAnsi"/>
        </w:rPr>
        <w:t>3)</w:t>
      </w:r>
      <w:r w:rsidRPr="00831CAF">
        <w:rPr>
          <w:rFonts w:asciiTheme="minorHAnsi" w:hAnsiTheme="minorHAnsi" w:cstheme="minorHAnsi"/>
        </w:rPr>
        <w:tab/>
        <w:t>peuvent recevoir tous les documents de conférence, sous réserve d'éventuelles restrictions concernant le nombre d'exemplaires distribués;</w:t>
      </w:r>
    </w:p>
    <w:p w14:paraId="22F9122A" w14:textId="69062838" w:rsidR="002815D2" w:rsidRPr="00831CAF" w:rsidRDefault="002815D2" w:rsidP="002815D2">
      <w:pPr>
        <w:pStyle w:val="enumlev1"/>
        <w:rPr>
          <w:rFonts w:asciiTheme="minorHAnsi" w:hAnsiTheme="minorHAnsi" w:cstheme="minorHAnsi"/>
        </w:rPr>
      </w:pPr>
      <w:r w:rsidRPr="00831CAF">
        <w:rPr>
          <w:rFonts w:asciiTheme="minorHAnsi" w:hAnsiTheme="minorHAnsi" w:cstheme="minorHAnsi"/>
        </w:rPr>
        <w:t>4)</w:t>
      </w:r>
      <w:r w:rsidRPr="00831CAF">
        <w:rPr>
          <w:rFonts w:asciiTheme="minorHAnsi" w:hAnsiTheme="minorHAnsi" w:cstheme="minorHAnsi"/>
        </w:rPr>
        <w:tab/>
        <w:t>peuvent soumettre des documents d'information par l'intermédiaire du Secrétaire général, qui les met à la disposition de la conférence dans la ou les langues officielles de l'UIT dans laquelle/lesquelles ils ont été soumis; ces documents doivent figurer clairement comme documents d'information sur les ordres du jour des séances pertinentes;</w:t>
      </w:r>
    </w:p>
    <w:p w14:paraId="30074148" w14:textId="73BB7AF7" w:rsidR="002815D2" w:rsidRPr="00831CAF" w:rsidRDefault="002815D2" w:rsidP="002815D2">
      <w:pPr>
        <w:pStyle w:val="enumlev1"/>
        <w:rPr>
          <w:rFonts w:asciiTheme="minorHAnsi" w:hAnsiTheme="minorHAnsi" w:cstheme="minorHAnsi"/>
        </w:rPr>
      </w:pPr>
      <w:r w:rsidRPr="00831CAF">
        <w:rPr>
          <w:rFonts w:asciiTheme="minorHAnsi" w:hAnsiTheme="minorHAnsi" w:cstheme="minorHAnsi"/>
        </w:rPr>
        <w:t>5)</w:t>
      </w:r>
      <w:r w:rsidRPr="00831CAF">
        <w:rPr>
          <w:rFonts w:asciiTheme="minorHAnsi" w:hAnsiTheme="minorHAnsi" w:cstheme="minorHAnsi"/>
        </w:rPr>
        <w:tab/>
        <w:t>peuvent demander la parole pour donner des avis ou des informations sur des points relevant de leur compétence; ces avis ne doivent pas comporter de propositions ni être traités comme telles;</w:t>
      </w:r>
    </w:p>
    <w:p w14:paraId="6E44D70A" w14:textId="35660B55" w:rsidR="002815D2" w:rsidRPr="00831CAF" w:rsidRDefault="002815D2" w:rsidP="002815D2">
      <w:pPr>
        <w:pStyle w:val="enumlev1"/>
        <w:rPr>
          <w:rFonts w:asciiTheme="minorHAnsi" w:hAnsiTheme="minorHAnsi" w:cstheme="minorHAnsi"/>
        </w:rPr>
      </w:pPr>
      <w:r w:rsidRPr="00831CAF">
        <w:rPr>
          <w:rFonts w:asciiTheme="minorHAnsi" w:hAnsiTheme="minorHAnsi" w:cstheme="minorHAnsi"/>
        </w:rPr>
        <w:t>6)</w:t>
      </w:r>
      <w:r w:rsidRPr="00831CAF">
        <w:rPr>
          <w:rFonts w:asciiTheme="minorHAnsi" w:hAnsiTheme="minorHAnsi" w:cstheme="minorHAnsi"/>
        </w:rPr>
        <w:tab/>
        <w:t>sont autorisés par le président à prendre la parole après le dernier Etat Membre inscrit sur la liste des orateurs;</w:t>
      </w:r>
    </w:p>
    <w:p w14:paraId="0A9BD6FD" w14:textId="35C21EDD" w:rsidR="002815D2" w:rsidRPr="00831CAF" w:rsidRDefault="002815D2" w:rsidP="002815D2">
      <w:pPr>
        <w:pStyle w:val="enumlev1"/>
        <w:rPr>
          <w:rFonts w:asciiTheme="minorHAnsi" w:hAnsiTheme="minorHAnsi" w:cstheme="minorHAnsi"/>
        </w:rPr>
      </w:pPr>
      <w:r w:rsidRPr="00831CAF">
        <w:rPr>
          <w:rFonts w:asciiTheme="minorHAnsi" w:hAnsiTheme="minorHAnsi" w:cstheme="minorHAnsi"/>
        </w:rPr>
        <w:t>7)</w:t>
      </w:r>
      <w:r w:rsidRPr="00831CAF">
        <w:rPr>
          <w:rFonts w:asciiTheme="minorHAnsi" w:hAnsiTheme="minorHAnsi" w:cstheme="minorHAnsi"/>
        </w:rPr>
        <w:tab/>
        <w:t>peuvent être invités par le président, au cours d'une séance, à faire une déclaration ou à fournir des informations pour faciliter les débats;</w:t>
      </w:r>
    </w:p>
    <w:p w14:paraId="099348BF" w14:textId="35638074" w:rsidR="002815D2" w:rsidRPr="00831CAF" w:rsidRDefault="002815D2" w:rsidP="002815D2">
      <w:pPr>
        <w:pStyle w:val="enumlev1"/>
        <w:rPr>
          <w:rFonts w:asciiTheme="minorHAnsi" w:hAnsiTheme="minorHAnsi" w:cstheme="minorHAnsi"/>
        </w:rPr>
      </w:pPr>
      <w:r w:rsidRPr="00831CAF">
        <w:rPr>
          <w:rFonts w:asciiTheme="minorHAnsi" w:hAnsiTheme="minorHAnsi" w:cstheme="minorHAnsi"/>
        </w:rPr>
        <w:t>8)</w:t>
      </w:r>
      <w:r w:rsidRPr="00831CAF">
        <w:rPr>
          <w:rFonts w:asciiTheme="minorHAnsi" w:hAnsiTheme="minorHAnsi" w:cstheme="minorHAnsi"/>
        </w:rPr>
        <w:tab/>
        <w:t>doivent être enregistrés de manière à pouvoir être identifiés par les participants à la conférence comme des observateurs;</w:t>
      </w:r>
    </w:p>
    <w:p w14:paraId="6F50F7DC" w14:textId="506776AF" w:rsidR="002815D2" w:rsidRPr="00831CAF" w:rsidRDefault="002815D2" w:rsidP="002815D2">
      <w:pPr>
        <w:pStyle w:val="enumlev1"/>
        <w:rPr>
          <w:rFonts w:asciiTheme="minorHAnsi" w:hAnsiTheme="minorHAnsi" w:cstheme="minorHAnsi"/>
        </w:rPr>
      </w:pPr>
      <w:r w:rsidRPr="00831CAF">
        <w:rPr>
          <w:rFonts w:asciiTheme="minorHAnsi" w:hAnsiTheme="minorHAnsi" w:cstheme="minorHAnsi"/>
        </w:rPr>
        <w:lastRenderedPageBreak/>
        <w:t>9)</w:t>
      </w:r>
      <w:r w:rsidRPr="00831CAF">
        <w:rPr>
          <w:rFonts w:asciiTheme="minorHAnsi" w:hAnsiTheme="minorHAnsi" w:cstheme="minorHAnsi"/>
        </w:rPr>
        <w:tab/>
        <w:t>sont placés dans l'ordre alphabétique français après les Etats Membres et l'observateur au titre de la Résolution 99 (Rév. Antalya, 2006) de la Conférence de plénipotentiaires.</w:t>
      </w:r>
    </w:p>
    <w:p w14:paraId="2CF1719F" w14:textId="00DFD1CE" w:rsidR="002815D2" w:rsidRPr="00831CAF" w:rsidRDefault="002815D2" w:rsidP="002815D2">
      <w:pPr>
        <w:rPr>
          <w:rFonts w:asciiTheme="minorHAnsi" w:hAnsiTheme="minorHAnsi" w:cstheme="minorHAnsi"/>
        </w:rPr>
      </w:pPr>
      <w:r w:rsidRPr="00831CAF">
        <w:rPr>
          <w:rFonts w:asciiTheme="minorHAnsi" w:hAnsiTheme="minorHAnsi" w:cstheme="minorHAnsi"/>
        </w:rPr>
        <w:t>Dans le cas d'une conférence des radiocommunications ou d'une conférence mondiale des télécommunications internationales, les participants de ces organisations ayant à la fois le statut de Membre de Secteur et celui d'observateur à titre consultatif doivent s'enregistrer et participer à un seul titre.</w:t>
      </w:r>
    </w:p>
    <w:p w14:paraId="6A17E28B" w14:textId="77777777" w:rsidR="002815D2" w:rsidRPr="00831CAF" w:rsidRDefault="002815D2" w:rsidP="002815D2">
      <w:pPr>
        <w:rPr>
          <w:rFonts w:asciiTheme="minorHAnsi" w:hAnsiTheme="minorHAnsi" w:cstheme="minorHAnsi"/>
        </w:rPr>
      </w:pPr>
      <w:r w:rsidRPr="00831CAF">
        <w:rPr>
          <w:rFonts w:asciiTheme="minorHAnsi" w:hAnsiTheme="minorHAnsi" w:cstheme="minorHAnsi"/>
        </w:rPr>
        <w:t>[…]</w:t>
      </w:r>
    </w:p>
    <w:p w14:paraId="743A086F" w14:textId="77777777" w:rsidR="0061086C" w:rsidRPr="00831CAF" w:rsidRDefault="0061086C" w:rsidP="0061086C">
      <w:pPr>
        <w:pStyle w:val="AnnexNo"/>
        <w:rPr>
          <w:rFonts w:asciiTheme="minorHAnsi" w:hAnsiTheme="minorHAnsi" w:cstheme="minorHAnsi"/>
        </w:rPr>
      </w:pPr>
      <w:r w:rsidRPr="00831CAF">
        <w:rPr>
          <w:rFonts w:asciiTheme="minorHAnsi" w:hAnsiTheme="minorHAnsi" w:cstheme="minorHAnsi"/>
        </w:rPr>
        <w:t>ANNEXE 3 À LA RÉSOLUTION 145 (ANTALYA, 2006)</w:t>
      </w:r>
    </w:p>
    <w:p w14:paraId="71628E7F" w14:textId="77777777" w:rsidR="0061086C" w:rsidRPr="00831CAF" w:rsidRDefault="0061086C" w:rsidP="0061086C">
      <w:pPr>
        <w:pStyle w:val="Annextitle"/>
        <w:rPr>
          <w:rFonts w:asciiTheme="minorHAnsi" w:hAnsiTheme="minorHAnsi" w:cstheme="minorHAnsi"/>
        </w:rPr>
      </w:pPr>
      <w:r w:rsidRPr="00831CAF">
        <w:rPr>
          <w:rFonts w:asciiTheme="minorHAnsi" w:hAnsiTheme="minorHAnsi" w:cstheme="minorHAnsi"/>
        </w:rPr>
        <w:t>Observateurs qui ne participent pas à titre consultatif</w:t>
      </w:r>
    </w:p>
    <w:p w14:paraId="6D0187DC" w14:textId="77777777" w:rsidR="0061086C" w:rsidRPr="00831CAF" w:rsidRDefault="0061086C" w:rsidP="0061086C">
      <w:pPr>
        <w:pStyle w:val="Normalaftertitle"/>
        <w:rPr>
          <w:rFonts w:asciiTheme="minorHAnsi" w:hAnsiTheme="minorHAnsi" w:cstheme="minorHAnsi"/>
        </w:rPr>
      </w:pPr>
      <w:r w:rsidRPr="00831CAF">
        <w:rPr>
          <w:rFonts w:asciiTheme="minorHAnsi" w:hAnsiTheme="minorHAnsi" w:cstheme="minorHAnsi"/>
        </w:rPr>
        <w:t>Les droits suivants sont conférés aux organisations et entités admises à participer en qualité d'observateurs aux conférences, assemblées et réunions de l'Union, conformément aux dispositions pertinentes de la Convention de l'UIT.</w:t>
      </w:r>
    </w:p>
    <w:p w14:paraId="5E15F738" w14:textId="77777777" w:rsidR="002815D2" w:rsidRPr="00831CAF" w:rsidRDefault="002815D2" w:rsidP="0061086C">
      <w:pPr>
        <w:rPr>
          <w:rFonts w:asciiTheme="minorHAnsi" w:hAnsiTheme="minorHAnsi" w:cstheme="minorHAnsi"/>
        </w:rPr>
      </w:pPr>
      <w:r w:rsidRPr="00831CAF">
        <w:rPr>
          <w:rFonts w:asciiTheme="minorHAnsi" w:hAnsiTheme="minorHAnsi" w:cstheme="minorHAnsi"/>
        </w:rPr>
        <w:t>[…]</w:t>
      </w:r>
    </w:p>
    <w:p w14:paraId="6FEE41F6" w14:textId="2C25B321" w:rsidR="0061086C" w:rsidRPr="00831CAF" w:rsidRDefault="0061086C" w:rsidP="0061086C">
      <w:pPr>
        <w:pStyle w:val="Heading1"/>
        <w:rPr>
          <w:rFonts w:asciiTheme="minorHAnsi" w:hAnsiTheme="minorHAnsi" w:cstheme="minorHAnsi"/>
        </w:rPr>
      </w:pPr>
      <w:r w:rsidRPr="00831CAF">
        <w:rPr>
          <w:rFonts w:asciiTheme="minorHAnsi" w:hAnsiTheme="minorHAnsi" w:cstheme="minorHAnsi"/>
        </w:rPr>
        <w:t>II</w:t>
      </w:r>
      <w:r w:rsidRPr="00831CAF">
        <w:rPr>
          <w:rFonts w:asciiTheme="minorHAnsi" w:hAnsiTheme="minorHAnsi" w:cstheme="minorHAnsi"/>
        </w:rPr>
        <w:tab/>
        <w:t>Conférences des radiocommunications (article 24, numéro 280) et conférences mondiales des télécommunications internationales (article</w:t>
      </w:r>
      <w:r w:rsidR="00E460C0" w:rsidRPr="00831CAF">
        <w:rPr>
          <w:rFonts w:asciiTheme="minorHAnsi" w:hAnsiTheme="minorHAnsi" w:cstheme="minorHAnsi"/>
        </w:rPr>
        <w:t> </w:t>
      </w:r>
      <w:r w:rsidRPr="00831CAF">
        <w:rPr>
          <w:rFonts w:asciiTheme="minorHAnsi" w:hAnsiTheme="minorHAnsi" w:cstheme="minorHAnsi"/>
        </w:rPr>
        <w:t>3, numéro 49, article 24, numéro 280 et article 33, numéro 476)</w:t>
      </w:r>
    </w:p>
    <w:p w14:paraId="22656165" w14:textId="77777777" w:rsidR="0061086C" w:rsidRPr="00831CAF" w:rsidRDefault="0061086C" w:rsidP="0061086C">
      <w:pPr>
        <w:rPr>
          <w:rFonts w:asciiTheme="minorHAnsi" w:hAnsiTheme="minorHAnsi" w:cstheme="minorHAnsi"/>
        </w:rPr>
      </w:pPr>
      <w:r w:rsidRPr="00831CAF">
        <w:rPr>
          <w:rFonts w:asciiTheme="minorHAnsi" w:hAnsiTheme="minorHAnsi" w:cstheme="minorHAnsi"/>
        </w:rPr>
        <w:t>Ces observateurs:</w:t>
      </w:r>
    </w:p>
    <w:p w14:paraId="2656303E" w14:textId="77777777" w:rsidR="0061086C" w:rsidRPr="00831CAF" w:rsidRDefault="0061086C" w:rsidP="0061086C">
      <w:pPr>
        <w:pStyle w:val="enumlev1"/>
        <w:rPr>
          <w:rFonts w:asciiTheme="minorHAnsi" w:hAnsiTheme="minorHAnsi" w:cstheme="minorHAnsi"/>
        </w:rPr>
      </w:pPr>
      <w:r w:rsidRPr="00831CAF">
        <w:rPr>
          <w:rFonts w:asciiTheme="minorHAnsi" w:hAnsiTheme="minorHAnsi" w:cstheme="minorHAnsi"/>
        </w:rPr>
        <w:t>1)</w:t>
      </w:r>
      <w:r w:rsidRPr="00831CAF">
        <w:rPr>
          <w:rFonts w:asciiTheme="minorHAnsi" w:hAnsiTheme="minorHAnsi" w:cstheme="minorHAnsi"/>
        </w:rPr>
        <w:tab/>
        <w:t>sont admis à assister aux séances plénières;</w:t>
      </w:r>
    </w:p>
    <w:p w14:paraId="2CC5AA90" w14:textId="21A30028" w:rsidR="0061086C" w:rsidRPr="00831CAF" w:rsidRDefault="0061086C" w:rsidP="0061086C">
      <w:pPr>
        <w:pStyle w:val="enumlev1"/>
        <w:rPr>
          <w:rFonts w:asciiTheme="minorHAnsi" w:hAnsiTheme="minorHAnsi" w:cstheme="minorHAnsi"/>
        </w:rPr>
      </w:pPr>
      <w:r w:rsidRPr="00831CAF">
        <w:rPr>
          <w:rFonts w:asciiTheme="minorHAnsi" w:hAnsiTheme="minorHAnsi" w:cstheme="minorHAnsi"/>
        </w:rPr>
        <w:t>2)</w:t>
      </w:r>
      <w:r w:rsidRPr="00831CAF">
        <w:rPr>
          <w:rFonts w:asciiTheme="minorHAnsi" w:hAnsiTheme="minorHAnsi" w:cstheme="minorHAnsi"/>
        </w:rPr>
        <w:tab/>
        <w:t>à moins qu'il n'en soit décidé autrement en séance plénière, peuvent être admis à assister aux commissions et à leurs groupes subsidiaires, exception faite de la commission de direction, de la commission de contrôle budgétaire, de la commission des pouvoirs et de la commission de rédaction</w:t>
      </w:r>
      <w:r w:rsidR="00E460C0" w:rsidRPr="00831CAF">
        <w:rPr>
          <w:rFonts w:asciiTheme="minorHAnsi" w:hAnsiTheme="minorHAnsi" w:cstheme="minorHAnsi"/>
        </w:rPr>
        <w:t>;</w:t>
      </w:r>
    </w:p>
    <w:p w14:paraId="362D1DB8" w14:textId="77777777" w:rsidR="0061086C" w:rsidRPr="00831CAF" w:rsidRDefault="0061086C" w:rsidP="0061086C">
      <w:pPr>
        <w:pStyle w:val="enumlev1"/>
        <w:rPr>
          <w:rFonts w:asciiTheme="minorHAnsi" w:hAnsiTheme="minorHAnsi" w:cstheme="minorHAnsi"/>
        </w:rPr>
      </w:pPr>
      <w:r w:rsidRPr="00831CAF">
        <w:rPr>
          <w:rFonts w:asciiTheme="minorHAnsi" w:hAnsiTheme="minorHAnsi" w:cstheme="minorHAnsi"/>
        </w:rPr>
        <w:t>3)</w:t>
      </w:r>
      <w:r w:rsidRPr="00831CAF">
        <w:rPr>
          <w:rFonts w:asciiTheme="minorHAnsi" w:hAnsiTheme="minorHAnsi" w:cstheme="minorHAnsi"/>
        </w:rPr>
        <w:tab/>
        <w:t>peuvent recevoir tous les documents de conférence, sous réserve d'éventuelles restrictions concernant le nombre d'exemplaires distribués;</w:t>
      </w:r>
    </w:p>
    <w:p w14:paraId="7BD9F9A7" w14:textId="77777777" w:rsidR="0061086C" w:rsidRPr="00831CAF" w:rsidRDefault="0061086C" w:rsidP="0061086C">
      <w:pPr>
        <w:pStyle w:val="enumlev1"/>
        <w:rPr>
          <w:rFonts w:asciiTheme="minorHAnsi" w:hAnsiTheme="minorHAnsi" w:cstheme="minorHAnsi"/>
        </w:rPr>
      </w:pPr>
      <w:r w:rsidRPr="00831CAF">
        <w:rPr>
          <w:rFonts w:asciiTheme="minorHAnsi" w:hAnsiTheme="minorHAnsi" w:cstheme="minorHAnsi"/>
        </w:rPr>
        <w:t>4)</w:t>
      </w:r>
      <w:r w:rsidRPr="00831CAF">
        <w:rPr>
          <w:rFonts w:asciiTheme="minorHAnsi" w:hAnsiTheme="minorHAnsi" w:cstheme="minorHAnsi"/>
        </w:rPr>
        <w:tab/>
        <w:t>peuvent être invités par le président, au cours d'une séance, à fournir des informations pour faciliter les débats ou à faire une déclaration, mais ne sont pas autorisés à participer aux débats;</w:t>
      </w:r>
    </w:p>
    <w:p w14:paraId="6E3819C4" w14:textId="744B6564" w:rsidR="002815D2" w:rsidRPr="00831CAF" w:rsidRDefault="0061086C" w:rsidP="0061086C">
      <w:pPr>
        <w:pStyle w:val="enumlev1"/>
        <w:rPr>
          <w:rFonts w:asciiTheme="minorHAnsi" w:hAnsiTheme="minorHAnsi" w:cstheme="minorHAnsi"/>
        </w:rPr>
      </w:pPr>
      <w:r w:rsidRPr="00831CAF">
        <w:rPr>
          <w:rFonts w:asciiTheme="minorHAnsi" w:hAnsiTheme="minorHAnsi" w:cstheme="minorHAnsi"/>
        </w:rPr>
        <w:t>5)</w:t>
      </w:r>
      <w:r w:rsidRPr="00831CAF">
        <w:rPr>
          <w:rFonts w:asciiTheme="minorHAnsi" w:hAnsiTheme="minorHAnsi" w:cstheme="minorHAnsi"/>
        </w:rPr>
        <w:tab/>
        <w:t>sont placés dans l'ordre alphabétique français après les autres participants.</w:t>
      </w:r>
    </w:p>
    <w:p w14:paraId="5D56A9E5" w14:textId="77777777" w:rsidR="0061086C" w:rsidRPr="00831CAF" w:rsidRDefault="0061086C">
      <w:pPr>
        <w:jc w:val="center"/>
      </w:pPr>
      <w:r w:rsidRPr="00831CAF">
        <w:t>______________</w:t>
      </w:r>
    </w:p>
    <w:sectPr w:rsidR="0061086C" w:rsidRPr="00831CAF">
      <w:headerReference w:type="default" r:id="rId11"/>
      <w:footerReference w:type="even" r:id="rId12"/>
      <w:footerReference w:type="default" r:id="rId13"/>
      <w:footerReference w:type="first" r:id="rId14"/>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80799" w14:textId="77777777" w:rsidR="00185476" w:rsidRPr="00831CAF" w:rsidRDefault="00185476">
      <w:r w:rsidRPr="00831CAF">
        <w:separator/>
      </w:r>
    </w:p>
  </w:endnote>
  <w:endnote w:type="continuationSeparator" w:id="0">
    <w:p w14:paraId="7B146109" w14:textId="77777777" w:rsidR="00185476" w:rsidRPr="00831CAF" w:rsidRDefault="00185476">
      <w:r w:rsidRPr="00831CA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73E20" w14:textId="4B4FA7DD" w:rsidR="00936D25" w:rsidRPr="00831CAF" w:rsidRDefault="00936D25">
    <w:fldSimple w:instr=" FILENAME \p  \* MERGEFORMAT ">
      <w:r w:rsidR="006A7C39" w:rsidRPr="00831CAF">
        <w:t>P:\FRA\ITU-R\CONF-R\CMR23\000\056F.docx</w:t>
      </w:r>
    </w:fldSimple>
    <w:r w:rsidRPr="00831CAF">
      <w:tab/>
    </w:r>
    <w:r w:rsidRPr="00831CAF">
      <w:fldChar w:fldCharType="begin"/>
    </w:r>
    <w:r w:rsidRPr="00831CAF">
      <w:instrText xml:space="preserve"> SAVEDATE \@ DD.MM.YY </w:instrText>
    </w:r>
    <w:r w:rsidRPr="00831CAF">
      <w:fldChar w:fldCharType="separate"/>
    </w:r>
    <w:r w:rsidR="00831CAF" w:rsidRPr="00831CAF">
      <w:t>25.09.23</w:t>
    </w:r>
    <w:r w:rsidRPr="00831CAF">
      <w:fldChar w:fldCharType="end"/>
    </w:r>
    <w:r w:rsidRPr="00831CAF">
      <w:tab/>
    </w:r>
    <w:r w:rsidRPr="00831CAF">
      <w:fldChar w:fldCharType="begin"/>
    </w:r>
    <w:r w:rsidRPr="00831CAF">
      <w:instrText xml:space="preserve"> PRINTDATE \@ DD.MM.YY </w:instrText>
    </w:r>
    <w:r w:rsidRPr="00831CAF">
      <w:fldChar w:fldCharType="separate"/>
    </w:r>
    <w:r w:rsidR="006A7C39" w:rsidRPr="00831CAF">
      <w:t>05.06.03</w:t>
    </w:r>
    <w:r w:rsidRPr="00831CA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627E7" w14:textId="34E564E6" w:rsidR="00936D25" w:rsidRPr="00831CAF" w:rsidRDefault="00936D25" w:rsidP="003E5E3D">
    <w:pPr>
      <w:pStyle w:val="Footer"/>
      <w:rPr>
        <w:noProof w:val="0"/>
      </w:rPr>
    </w:pPr>
    <w:r w:rsidRPr="00831CAF">
      <w:rPr>
        <w:noProof w:val="0"/>
      </w:rPr>
      <w:fldChar w:fldCharType="begin"/>
    </w:r>
    <w:r w:rsidRPr="00831CAF">
      <w:rPr>
        <w:noProof w:val="0"/>
      </w:rPr>
      <w:instrText xml:space="preserve"> FILENAME \p  \* MERGEFORMAT </w:instrText>
    </w:r>
    <w:r w:rsidRPr="00831CAF">
      <w:rPr>
        <w:noProof w:val="0"/>
      </w:rPr>
      <w:fldChar w:fldCharType="separate"/>
    </w:r>
    <w:r w:rsidR="006A7C39" w:rsidRPr="00831CAF">
      <w:rPr>
        <w:noProof w:val="0"/>
      </w:rPr>
      <w:t>P:\FRA\ITU-R\CONF-R\CMR23\000\056F.docx</w:t>
    </w:r>
    <w:r w:rsidRPr="00831CAF">
      <w:rPr>
        <w:noProof w:val="0"/>
      </w:rPr>
      <w:fldChar w:fldCharType="end"/>
    </w:r>
    <w:r w:rsidR="002815D2" w:rsidRPr="00831CAF">
      <w:rPr>
        <w:noProof w:val="0"/>
      </w:rPr>
      <w:t xml:space="preserve"> (5262992)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BBF7" w14:textId="7F61AF72" w:rsidR="00936D25" w:rsidRPr="00831CAF" w:rsidRDefault="006A7C39" w:rsidP="00F138CF">
    <w:pPr>
      <w:pStyle w:val="Footer"/>
      <w:rPr>
        <w:noProof w:val="0"/>
      </w:rPr>
    </w:pPr>
    <w:r w:rsidRPr="00831CAF">
      <w:rPr>
        <w:noProof w:val="0"/>
      </w:rPr>
      <w:fldChar w:fldCharType="begin"/>
    </w:r>
    <w:r w:rsidRPr="00831CAF">
      <w:rPr>
        <w:noProof w:val="0"/>
      </w:rPr>
      <w:instrText xml:space="preserve"> FILENAME \p  \* MERGEFORMAT </w:instrText>
    </w:r>
    <w:r w:rsidRPr="00831CAF">
      <w:rPr>
        <w:noProof w:val="0"/>
      </w:rPr>
      <w:fldChar w:fldCharType="separate"/>
    </w:r>
    <w:r w:rsidRPr="00831CAF">
      <w:rPr>
        <w:noProof w:val="0"/>
      </w:rPr>
      <w:t>P:\FRA\ITU-R\CONF-R\CMR23\000\056F.docx</w:t>
    </w:r>
    <w:r w:rsidRPr="00831CAF">
      <w:rPr>
        <w:noProof w:val="0"/>
      </w:rPr>
      <w:fldChar w:fldCharType="end"/>
    </w:r>
    <w:r w:rsidR="00F138CF" w:rsidRPr="00831CAF">
      <w:rPr>
        <w:noProof w:val="0"/>
      </w:rPr>
      <w:t xml:space="preserve"> (526992)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58C40" w14:textId="77777777" w:rsidR="00185476" w:rsidRPr="00831CAF" w:rsidRDefault="00185476">
      <w:r w:rsidRPr="00831CAF">
        <w:rPr>
          <w:b/>
        </w:rPr>
        <w:t>_______________</w:t>
      </w:r>
    </w:p>
  </w:footnote>
  <w:footnote w:type="continuationSeparator" w:id="0">
    <w:p w14:paraId="62FA2E6E" w14:textId="77777777" w:rsidR="00185476" w:rsidRPr="00831CAF" w:rsidRDefault="00185476">
      <w:r w:rsidRPr="00831CAF">
        <w:continuationSeparator/>
      </w:r>
    </w:p>
  </w:footnote>
  <w:footnote w:id="1">
    <w:p w14:paraId="188A3462" w14:textId="1B9F668E" w:rsidR="00CE0141" w:rsidRDefault="00CE0141" w:rsidP="00CE0141">
      <w:pPr>
        <w:pStyle w:val="FootnoteText"/>
      </w:pPr>
      <w:r w:rsidRPr="00831CAF">
        <w:rPr>
          <w:rStyle w:val="FootnoteReference"/>
        </w:rPr>
        <w:t>1</w:t>
      </w:r>
      <w:r w:rsidRPr="00831CAF">
        <w:tab/>
        <w:t>Autre que l'</w:t>
      </w:r>
      <w:r w:rsidR="0076018B" w:rsidRPr="00831CAF">
        <w:t>É</w:t>
      </w:r>
      <w:r w:rsidRPr="00831CAF">
        <w:t>tat de la Palestine. En ce qui concerne le statut de l'État de la Palestine (et les droits qui lui sont attachés), voir la Résolution 99 (Rév. Dubaï, 2018) de la Conférence de plénipotentiaires.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90BF" w14:textId="77777777" w:rsidR="004F1F8E" w:rsidRPr="00831CAF" w:rsidRDefault="004F1F8E" w:rsidP="004F1F8E">
    <w:pPr>
      <w:pStyle w:val="Header"/>
    </w:pPr>
    <w:r w:rsidRPr="00831CAF">
      <w:fldChar w:fldCharType="begin"/>
    </w:r>
    <w:r w:rsidRPr="00831CAF">
      <w:instrText xml:space="preserve"> PAGE </w:instrText>
    </w:r>
    <w:r w:rsidRPr="00831CAF">
      <w:fldChar w:fldCharType="separate"/>
    </w:r>
    <w:r w:rsidR="003E5E3D" w:rsidRPr="00831CAF">
      <w:t>2</w:t>
    </w:r>
    <w:r w:rsidRPr="00831CAF">
      <w:fldChar w:fldCharType="end"/>
    </w:r>
  </w:p>
  <w:p w14:paraId="2E9BA0FE" w14:textId="6E095C82" w:rsidR="004F1F8E" w:rsidRPr="00831CAF" w:rsidRDefault="00F372DE" w:rsidP="00587A4E">
    <w:pPr>
      <w:pStyle w:val="Header"/>
    </w:pPr>
    <w:r w:rsidRPr="00831CAF">
      <w:t>WRC</w:t>
    </w:r>
    <w:r w:rsidR="00CD3928" w:rsidRPr="00831CAF">
      <w:t>23</w:t>
    </w:r>
    <w:r w:rsidR="004F1F8E" w:rsidRPr="00831CAF">
      <w:t>/</w:t>
    </w:r>
    <w:r w:rsidR="00F138CF" w:rsidRPr="00831CAF">
      <w:t>56</w:t>
    </w:r>
    <w:r w:rsidR="004F1F8E" w:rsidRPr="00831CAF">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7424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9C30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6EA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E492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0031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B054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D8D8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486D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0E96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F8B6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426220872">
    <w:abstractNumId w:val="8"/>
  </w:num>
  <w:num w:numId="2" w16cid:durableId="106630243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70991716">
    <w:abstractNumId w:val="9"/>
  </w:num>
  <w:num w:numId="4" w16cid:durableId="80032677">
    <w:abstractNumId w:val="7"/>
  </w:num>
  <w:num w:numId="5" w16cid:durableId="1286808889">
    <w:abstractNumId w:val="6"/>
  </w:num>
  <w:num w:numId="6" w16cid:durableId="1960869150">
    <w:abstractNumId w:val="5"/>
  </w:num>
  <w:num w:numId="7" w16cid:durableId="1249458820">
    <w:abstractNumId w:val="4"/>
  </w:num>
  <w:num w:numId="8" w16cid:durableId="1506243946">
    <w:abstractNumId w:val="8"/>
  </w:num>
  <w:num w:numId="9" w16cid:durableId="2061856104">
    <w:abstractNumId w:val="3"/>
  </w:num>
  <w:num w:numId="10" w16cid:durableId="1814365273">
    <w:abstractNumId w:val="2"/>
  </w:num>
  <w:num w:numId="11" w16cid:durableId="1712068998">
    <w:abstractNumId w:val="1"/>
  </w:num>
  <w:num w:numId="12" w16cid:durableId="1292830618">
    <w:abstractNumId w:val="0"/>
  </w:num>
  <w:num w:numId="13" w16cid:durableId="123011926">
    <w:abstractNumId w:val="9"/>
  </w:num>
  <w:num w:numId="14" w16cid:durableId="44453600">
    <w:abstractNumId w:val="7"/>
  </w:num>
  <w:num w:numId="15" w16cid:durableId="1335301686">
    <w:abstractNumId w:val="6"/>
  </w:num>
  <w:num w:numId="16" w16cid:durableId="438721196">
    <w:abstractNumId w:val="5"/>
  </w:num>
  <w:num w:numId="17" w16cid:durableId="1110588750">
    <w:abstractNumId w:val="4"/>
  </w:num>
  <w:num w:numId="18" w16cid:durableId="19430526">
    <w:abstractNumId w:val="8"/>
  </w:num>
  <w:num w:numId="19" w16cid:durableId="1444307894">
    <w:abstractNumId w:val="3"/>
  </w:num>
  <w:num w:numId="20" w16cid:durableId="1332373397">
    <w:abstractNumId w:val="2"/>
  </w:num>
  <w:num w:numId="21" w16cid:durableId="1302033539">
    <w:abstractNumId w:val="1"/>
  </w:num>
  <w:num w:numId="22" w16cid:durableId="694579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476"/>
    <w:rsid w:val="00016648"/>
    <w:rsid w:val="0003522F"/>
    <w:rsid w:val="00080E2C"/>
    <w:rsid w:val="000A4755"/>
    <w:rsid w:val="000B2E0C"/>
    <w:rsid w:val="000B3D0C"/>
    <w:rsid w:val="001167B9"/>
    <w:rsid w:val="001267A0"/>
    <w:rsid w:val="00134655"/>
    <w:rsid w:val="00160C64"/>
    <w:rsid w:val="00185476"/>
    <w:rsid w:val="0019352B"/>
    <w:rsid w:val="001960D0"/>
    <w:rsid w:val="00232FD2"/>
    <w:rsid w:val="002815D2"/>
    <w:rsid w:val="002A4622"/>
    <w:rsid w:val="002B17E5"/>
    <w:rsid w:val="002C0EBF"/>
    <w:rsid w:val="002C5FCD"/>
    <w:rsid w:val="00315AFE"/>
    <w:rsid w:val="003606A6"/>
    <w:rsid w:val="0036650C"/>
    <w:rsid w:val="003A583E"/>
    <w:rsid w:val="003E112B"/>
    <w:rsid w:val="003E5E3D"/>
    <w:rsid w:val="00416F68"/>
    <w:rsid w:val="00457428"/>
    <w:rsid w:val="00466211"/>
    <w:rsid w:val="0048506D"/>
    <w:rsid w:val="004D01FC"/>
    <w:rsid w:val="004E28C3"/>
    <w:rsid w:val="004F1F8E"/>
    <w:rsid w:val="00584FF8"/>
    <w:rsid w:val="00586CF2"/>
    <w:rsid w:val="00587A4E"/>
    <w:rsid w:val="005B6620"/>
    <w:rsid w:val="005C3768"/>
    <w:rsid w:val="005C6C3F"/>
    <w:rsid w:val="0061086C"/>
    <w:rsid w:val="00613635"/>
    <w:rsid w:val="0062093D"/>
    <w:rsid w:val="00637ECF"/>
    <w:rsid w:val="00647B59"/>
    <w:rsid w:val="00654E39"/>
    <w:rsid w:val="006A7C39"/>
    <w:rsid w:val="006F7F9D"/>
    <w:rsid w:val="00701BAE"/>
    <w:rsid w:val="00730E95"/>
    <w:rsid w:val="0076018B"/>
    <w:rsid w:val="00774362"/>
    <w:rsid w:val="007A04E8"/>
    <w:rsid w:val="00831CAF"/>
    <w:rsid w:val="0084553F"/>
    <w:rsid w:val="008A3120"/>
    <w:rsid w:val="008C000E"/>
    <w:rsid w:val="008D41BE"/>
    <w:rsid w:val="008D58D3"/>
    <w:rsid w:val="008D6821"/>
    <w:rsid w:val="00923064"/>
    <w:rsid w:val="00936D25"/>
    <w:rsid w:val="00941EA5"/>
    <w:rsid w:val="00966C16"/>
    <w:rsid w:val="009765A8"/>
    <w:rsid w:val="0098732F"/>
    <w:rsid w:val="009C7E7C"/>
    <w:rsid w:val="00A00473"/>
    <w:rsid w:val="00A03C9B"/>
    <w:rsid w:val="00A606C3"/>
    <w:rsid w:val="00A83B09"/>
    <w:rsid w:val="00A84541"/>
    <w:rsid w:val="00AE36A0"/>
    <w:rsid w:val="00B00294"/>
    <w:rsid w:val="00B23EDF"/>
    <w:rsid w:val="00B64FD0"/>
    <w:rsid w:val="00BF26E7"/>
    <w:rsid w:val="00C01C69"/>
    <w:rsid w:val="00C814B9"/>
    <w:rsid w:val="00CD3928"/>
    <w:rsid w:val="00CD516F"/>
    <w:rsid w:val="00CE0141"/>
    <w:rsid w:val="00CE2C8D"/>
    <w:rsid w:val="00CE6A1C"/>
    <w:rsid w:val="00D119A7"/>
    <w:rsid w:val="00D25FBA"/>
    <w:rsid w:val="00D66EAC"/>
    <w:rsid w:val="00D730DF"/>
    <w:rsid w:val="00D772F0"/>
    <w:rsid w:val="00D77BDC"/>
    <w:rsid w:val="00D8241C"/>
    <w:rsid w:val="00DC402B"/>
    <w:rsid w:val="00DE0932"/>
    <w:rsid w:val="00E049F1"/>
    <w:rsid w:val="00E37A25"/>
    <w:rsid w:val="00E460C0"/>
    <w:rsid w:val="00E70A31"/>
    <w:rsid w:val="00E977A2"/>
    <w:rsid w:val="00EA3F38"/>
    <w:rsid w:val="00EA5AB6"/>
    <w:rsid w:val="00EC7615"/>
    <w:rsid w:val="00ED16AA"/>
    <w:rsid w:val="00EF662E"/>
    <w:rsid w:val="00F138CF"/>
    <w:rsid w:val="00F148F1"/>
    <w:rsid w:val="00F372DE"/>
    <w:rsid w:val="00F56DA1"/>
    <w:rsid w:val="00F9722E"/>
    <w:rsid w:val="00FA3BBF"/>
    <w:rsid w:val="00FC0101"/>
    <w:rsid w:val="00FC41F8"/>
    <w:rsid w:val="00FC4ADC"/>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452D55"/>
  <w15:docId w15:val="{7EC65146-39D9-4727-89D5-9B7C628E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AD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FC4ADC"/>
    <w:pPr>
      <w:keepNext/>
      <w:keepLines/>
      <w:spacing w:before="280"/>
      <w:ind w:left="1134" w:hanging="1134"/>
      <w:outlineLvl w:val="0"/>
    </w:pPr>
    <w:rPr>
      <w:b/>
      <w:sz w:val="28"/>
    </w:rPr>
  </w:style>
  <w:style w:type="paragraph" w:styleId="Heading2">
    <w:name w:val="heading 2"/>
    <w:basedOn w:val="Heading1"/>
    <w:next w:val="Normal"/>
    <w:qFormat/>
    <w:rsid w:val="00FC4ADC"/>
    <w:pPr>
      <w:spacing w:before="200"/>
      <w:outlineLvl w:val="1"/>
    </w:pPr>
    <w:rPr>
      <w:sz w:val="24"/>
    </w:rPr>
  </w:style>
  <w:style w:type="paragraph" w:styleId="Heading3">
    <w:name w:val="heading 3"/>
    <w:basedOn w:val="Heading1"/>
    <w:next w:val="Normal"/>
    <w:qFormat/>
    <w:rsid w:val="00FC4ADC"/>
    <w:pPr>
      <w:tabs>
        <w:tab w:val="clear" w:pos="1134"/>
      </w:tabs>
      <w:spacing w:before="200"/>
      <w:outlineLvl w:val="2"/>
    </w:pPr>
    <w:rPr>
      <w:sz w:val="24"/>
    </w:rPr>
  </w:style>
  <w:style w:type="paragraph" w:styleId="Heading4">
    <w:name w:val="heading 4"/>
    <w:basedOn w:val="Heading3"/>
    <w:next w:val="Normal"/>
    <w:qFormat/>
    <w:rsid w:val="00FC4ADC"/>
    <w:pPr>
      <w:outlineLvl w:val="3"/>
    </w:pPr>
  </w:style>
  <w:style w:type="paragraph" w:styleId="Heading5">
    <w:name w:val="heading 5"/>
    <w:basedOn w:val="Heading4"/>
    <w:next w:val="Normal"/>
    <w:qFormat/>
    <w:rsid w:val="00FC4ADC"/>
    <w:pPr>
      <w:outlineLvl w:val="4"/>
    </w:pPr>
  </w:style>
  <w:style w:type="paragraph" w:styleId="Heading6">
    <w:name w:val="heading 6"/>
    <w:basedOn w:val="Heading4"/>
    <w:next w:val="Normal"/>
    <w:qFormat/>
    <w:rsid w:val="00FC4ADC"/>
    <w:pPr>
      <w:outlineLvl w:val="5"/>
    </w:pPr>
  </w:style>
  <w:style w:type="paragraph" w:styleId="Heading7">
    <w:name w:val="heading 7"/>
    <w:basedOn w:val="Heading6"/>
    <w:next w:val="Normal"/>
    <w:qFormat/>
    <w:rsid w:val="00FC4ADC"/>
    <w:pPr>
      <w:outlineLvl w:val="6"/>
    </w:pPr>
  </w:style>
  <w:style w:type="paragraph" w:styleId="Heading8">
    <w:name w:val="heading 8"/>
    <w:basedOn w:val="Heading6"/>
    <w:next w:val="Normal"/>
    <w:qFormat/>
    <w:rsid w:val="00FC4ADC"/>
    <w:pPr>
      <w:outlineLvl w:val="7"/>
    </w:pPr>
  </w:style>
  <w:style w:type="paragraph" w:styleId="Heading9">
    <w:name w:val="heading 9"/>
    <w:basedOn w:val="Heading6"/>
    <w:next w:val="Normal"/>
    <w:qFormat/>
    <w:rsid w:val="00FC4A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har"/>
    <w:rsid w:val="00FC4ADC"/>
    <w:pPr>
      <w:keepNext/>
      <w:keepLines/>
      <w:spacing w:before="480" w:after="80"/>
      <w:jc w:val="center"/>
    </w:pPr>
    <w:rPr>
      <w:caps/>
      <w:sz w:val="28"/>
    </w:rPr>
  </w:style>
  <w:style w:type="paragraph" w:customStyle="1" w:styleId="Annexref">
    <w:name w:val="Annex_ref"/>
    <w:basedOn w:val="Normal"/>
    <w:next w:val="Annextitle"/>
    <w:rsid w:val="00FC4ADC"/>
    <w:pPr>
      <w:keepNext/>
      <w:keepLines/>
      <w:spacing w:after="280"/>
      <w:jc w:val="center"/>
    </w:pPr>
  </w:style>
  <w:style w:type="paragraph" w:customStyle="1" w:styleId="Annextitle">
    <w:name w:val="Annex_title"/>
    <w:basedOn w:val="Normal"/>
    <w:next w:val="Normalaftertitle"/>
    <w:rsid w:val="00FC4ADC"/>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FC4ADC"/>
  </w:style>
  <w:style w:type="paragraph" w:customStyle="1" w:styleId="Appendixref">
    <w:name w:val="Appendix_ref"/>
    <w:basedOn w:val="Annexref"/>
    <w:next w:val="Annextitle"/>
    <w:rsid w:val="00FC4ADC"/>
  </w:style>
  <w:style w:type="paragraph" w:customStyle="1" w:styleId="Appendixtitle">
    <w:name w:val="Appendix_title"/>
    <w:basedOn w:val="Annextitle"/>
    <w:next w:val="Normalaftertitle"/>
    <w:rsid w:val="00FC4ADC"/>
  </w:style>
  <w:style w:type="paragraph" w:customStyle="1" w:styleId="Artheading">
    <w:name w:val="Art_heading"/>
    <w:basedOn w:val="Normal"/>
    <w:next w:val="Normalaftertitle"/>
    <w:rsid w:val="00FC4ADC"/>
    <w:pPr>
      <w:spacing w:before="480"/>
      <w:jc w:val="center"/>
    </w:pPr>
    <w:rPr>
      <w:rFonts w:ascii="Times New Roman Bold" w:hAnsi="Times New Roman Bold"/>
      <w:b/>
      <w:sz w:val="28"/>
    </w:rPr>
  </w:style>
  <w:style w:type="paragraph" w:customStyle="1" w:styleId="ArtNo">
    <w:name w:val="Art_No"/>
    <w:basedOn w:val="Normal"/>
    <w:next w:val="Arttitle"/>
    <w:rsid w:val="00FC4ADC"/>
    <w:pPr>
      <w:keepNext/>
      <w:keepLines/>
      <w:spacing w:before="480"/>
      <w:jc w:val="center"/>
    </w:pPr>
    <w:rPr>
      <w:caps/>
      <w:sz w:val="28"/>
    </w:rPr>
  </w:style>
  <w:style w:type="paragraph" w:customStyle="1" w:styleId="Arttitle">
    <w:name w:val="Art_title"/>
    <w:basedOn w:val="Normal"/>
    <w:next w:val="Normalaftertitle"/>
    <w:rsid w:val="00FC4ADC"/>
    <w:pPr>
      <w:keepNext/>
      <w:keepLines/>
      <w:spacing w:before="240"/>
      <w:jc w:val="center"/>
    </w:pPr>
    <w:rPr>
      <w:b/>
      <w:sz w:val="28"/>
    </w:rPr>
  </w:style>
  <w:style w:type="paragraph" w:customStyle="1" w:styleId="Call">
    <w:name w:val="Call"/>
    <w:basedOn w:val="Normal"/>
    <w:next w:val="Normal"/>
    <w:rsid w:val="00FC4ADC"/>
    <w:pPr>
      <w:keepNext/>
      <w:keepLines/>
      <w:spacing w:before="160"/>
      <w:ind w:left="1134"/>
    </w:pPr>
    <w:rPr>
      <w:i/>
    </w:rPr>
  </w:style>
  <w:style w:type="paragraph" w:customStyle="1" w:styleId="ChapNo">
    <w:name w:val="Chap_No"/>
    <w:basedOn w:val="ArtNo"/>
    <w:next w:val="Chaptitle"/>
    <w:rsid w:val="00FC4ADC"/>
    <w:rPr>
      <w:rFonts w:ascii="Times New Roman Bold" w:hAnsi="Times New Roman Bold"/>
      <w:b/>
    </w:rPr>
  </w:style>
  <w:style w:type="paragraph" w:customStyle="1" w:styleId="Chaptitle">
    <w:name w:val="Chap_title"/>
    <w:basedOn w:val="Arttitle"/>
    <w:next w:val="Normalaftertitle"/>
    <w:rsid w:val="00FC4ADC"/>
  </w:style>
  <w:style w:type="paragraph" w:customStyle="1" w:styleId="ddate">
    <w:name w:val="ddate"/>
    <w:basedOn w:val="Normal"/>
    <w:rsid w:val="00FC4ADC"/>
    <w:pPr>
      <w:framePr w:hSpace="181" w:wrap="around" w:vAnchor="page" w:hAnchor="margin" w:y="852"/>
      <w:shd w:val="solid" w:color="FFFFFF" w:fill="FFFFFF"/>
      <w:spacing w:before="0"/>
    </w:pPr>
    <w:rPr>
      <w:b/>
      <w:bCs/>
    </w:rPr>
  </w:style>
  <w:style w:type="paragraph" w:customStyle="1" w:styleId="dnum">
    <w:name w:val="dnum"/>
    <w:basedOn w:val="Normal"/>
    <w:rsid w:val="00FC4ADC"/>
    <w:pPr>
      <w:framePr w:hSpace="181" w:wrap="around" w:vAnchor="page" w:hAnchor="margin" w:y="852"/>
      <w:shd w:val="solid" w:color="FFFFFF" w:fill="FFFFFF"/>
    </w:pPr>
    <w:rPr>
      <w:b/>
      <w:bCs/>
    </w:rPr>
  </w:style>
  <w:style w:type="paragraph" w:customStyle="1" w:styleId="dorlang">
    <w:name w:val="dorlang"/>
    <w:basedOn w:val="Normal"/>
    <w:rsid w:val="00FC4ADC"/>
    <w:pPr>
      <w:framePr w:hSpace="181" w:wrap="around" w:vAnchor="page" w:hAnchor="margin" w:y="852"/>
      <w:shd w:val="solid" w:color="FFFFFF" w:fill="FFFFFF"/>
      <w:spacing w:before="0"/>
    </w:pPr>
    <w:rPr>
      <w:b/>
      <w:bCs/>
    </w:rPr>
  </w:style>
  <w:style w:type="character" w:styleId="EndnoteReference">
    <w:name w:val="endnote reference"/>
    <w:semiHidden/>
    <w:rsid w:val="00FC4ADC"/>
    <w:rPr>
      <w:vertAlign w:val="superscript"/>
    </w:rPr>
  </w:style>
  <w:style w:type="paragraph" w:customStyle="1" w:styleId="enumlev1">
    <w:name w:val="enumlev1"/>
    <w:basedOn w:val="Normal"/>
    <w:link w:val="enumlev1Char"/>
    <w:rsid w:val="00FC4ADC"/>
    <w:pPr>
      <w:tabs>
        <w:tab w:val="clear" w:pos="2268"/>
        <w:tab w:val="left" w:pos="2608"/>
        <w:tab w:val="left" w:pos="3345"/>
      </w:tabs>
      <w:spacing w:before="80"/>
      <w:ind w:left="1134" w:hanging="1134"/>
    </w:pPr>
  </w:style>
  <w:style w:type="paragraph" w:customStyle="1" w:styleId="enumlev2">
    <w:name w:val="enumlev2"/>
    <w:basedOn w:val="enumlev1"/>
    <w:rsid w:val="00FC4ADC"/>
    <w:pPr>
      <w:ind w:left="1871" w:hanging="737"/>
    </w:pPr>
  </w:style>
  <w:style w:type="paragraph" w:customStyle="1" w:styleId="enumlev3">
    <w:name w:val="enumlev3"/>
    <w:basedOn w:val="enumlev2"/>
    <w:rsid w:val="00FC4ADC"/>
    <w:pPr>
      <w:ind w:left="2268" w:hanging="397"/>
    </w:pPr>
  </w:style>
  <w:style w:type="paragraph" w:customStyle="1" w:styleId="Equation">
    <w:name w:val="Equation"/>
    <w:basedOn w:val="Normal"/>
    <w:rsid w:val="00FC4ADC"/>
    <w:pPr>
      <w:tabs>
        <w:tab w:val="clear" w:pos="1871"/>
        <w:tab w:val="clear" w:pos="2268"/>
        <w:tab w:val="center" w:pos="4820"/>
        <w:tab w:val="right" w:pos="9639"/>
      </w:tabs>
    </w:pPr>
  </w:style>
  <w:style w:type="paragraph" w:styleId="NormalIndent">
    <w:name w:val="Normal Indent"/>
    <w:basedOn w:val="Normal"/>
    <w:rsid w:val="00FC4ADC"/>
    <w:pPr>
      <w:ind w:left="1134"/>
    </w:pPr>
  </w:style>
  <w:style w:type="paragraph" w:customStyle="1" w:styleId="Equationlegend">
    <w:name w:val="Equation_legend"/>
    <w:basedOn w:val="NormalIndent"/>
    <w:rsid w:val="00FC4AD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FC4ADC"/>
    <w:pPr>
      <w:keepNext/>
      <w:keepLines/>
      <w:spacing w:before="20" w:after="20"/>
    </w:pPr>
    <w:rPr>
      <w:sz w:val="18"/>
    </w:rPr>
  </w:style>
  <w:style w:type="paragraph" w:customStyle="1" w:styleId="FigureNo">
    <w:name w:val="Figure_No"/>
    <w:basedOn w:val="Normal"/>
    <w:next w:val="Figuretitle"/>
    <w:rsid w:val="00FC4ADC"/>
    <w:pPr>
      <w:keepNext/>
      <w:keepLines/>
      <w:spacing w:before="480" w:after="120"/>
      <w:jc w:val="center"/>
    </w:pPr>
    <w:rPr>
      <w:caps/>
      <w:sz w:val="20"/>
    </w:rPr>
  </w:style>
  <w:style w:type="paragraph" w:customStyle="1" w:styleId="Figuretitle">
    <w:name w:val="Figure_title"/>
    <w:basedOn w:val="Normal"/>
    <w:next w:val="Normal"/>
    <w:rsid w:val="00FC4ADC"/>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FC4ADC"/>
    <w:pPr>
      <w:keepNext w:val="0"/>
    </w:pPr>
  </w:style>
  <w:style w:type="paragraph" w:styleId="Footer">
    <w:name w:val="footer"/>
    <w:basedOn w:val="Normal"/>
    <w:rsid w:val="00FC4ADC"/>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FC4AD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FC4ADC"/>
    <w:rPr>
      <w:position w:val="6"/>
      <w:sz w:val="18"/>
    </w:rPr>
  </w:style>
  <w:style w:type="paragraph" w:styleId="FootnoteText">
    <w:name w:val="footnote text"/>
    <w:basedOn w:val="Normal"/>
    <w:rsid w:val="00FC4ADC"/>
    <w:pPr>
      <w:keepLines/>
      <w:tabs>
        <w:tab w:val="left" w:pos="255"/>
      </w:tabs>
    </w:pPr>
  </w:style>
  <w:style w:type="paragraph" w:styleId="Header">
    <w:name w:val="header"/>
    <w:basedOn w:val="Normal"/>
    <w:link w:val="HeaderChar"/>
    <w:rsid w:val="00FC4ADC"/>
    <w:pPr>
      <w:spacing w:before="0"/>
      <w:jc w:val="center"/>
    </w:pPr>
    <w:rPr>
      <w:sz w:val="18"/>
    </w:rPr>
  </w:style>
  <w:style w:type="paragraph" w:customStyle="1" w:styleId="Headingb">
    <w:name w:val="Heading_b"/>
    <w:basedOn w:val="Normal"/>
    <w:next w:val="Normal"/>
    <w:rsid w:val="00FC4ADC"/>
    <w:pPr>
      <w:keepNext/>
      <w:spacing w:before="160"/>
    </w:pPr>
    <w:rPr>
      <w:b/>
    </w:rPr>
  </w:style>
  <w:style w:type="paragraph" w:customStyle="1" w:styleId="Headingi">
    <w:name w:val="Heading_i"/>
    <w:basedOn w:val="Normal"/>
    <w:next w:val="Normal"/>
    <w:rsid w:val="00FC4ADC"/>
    <w:pPr>
      <w:keepNext/>
      <w:spacing w:before="160"/>
    </w:pPr>
    <w:rPr>
      <w:rFonts w:ascii="Times" w:hAnsi="Times"/>
      <w:i/>
    </w:rPr>
  </w:style>
  <w:style w:type="paragraph" w:styleId="Index1">
    <w:name w:val="index 1"/>
    <w:basedOn w:val="Normal"/>
    <w:next w:val="Normal"/>
    <w:semiHidden/>
    <w:rsid w:val="00FC4ADC"/>
  </w:style>
  <w:style w:type="paragraph" w:styleId="Index2">
    <w:name w:val="index 2"/>
    <w:basedOn w:val="Normal"/>
    <w:next w:val="Normal"/>
    <w:semiHidden/>
    <w:rsid w:val="00FC4ADC"/>
    <w:pPr>
      <w:ind w:left="283"/>
    </w:pPr>
  </w:style>
  <w:style w:type="paragraph" w:styleId="Index3">
    <w:name w:val="index 3"/>
    <w:basedOn w:val="Normal"/>
    <w:next w:val="Normal"/>
    <w:semiHidden/>
    <w:rsid w:val="00FC4ADC"/>
    <w:pPr>
      <w:ind w:left="566"/>
    </w:pPr>
  </w:style>
  <w:style w:type="paragraph" w:styleId="Index4">
    <w:name w:val="index 4"/>
    <w:basedOn w:val="Normal"/>
    <w:next w:val="Normal"/>
    <w:semiHidden/>
    <w:rsid w:val="00FC4ADC"/>
    <w:pPr>
      <w:ind w:left="849"/>
    </w:pPr>
  </w:style>
  <w:style w:type="paragraph" w:styleId="Index5">
    <w:name w:val="index 5"/>
    <w:basedOn w:val="Normal"/>
    <w:next w:val="Normal"/>
    <w:semiHidden/>
    <w:rsid w:val="00FC4ADC"/>
    <w:pPr>
      <w:ind w:left="1132"/>
    </w:pPr>
  </w:style>
  <w:style w:type="paragraph" w:styleId="Index6">
    <w:name w:val="index 6"/>
    <w:basedOn w:val="Normal"/>
    <w:next w:val="Normal"/>
    <w:semiHidden/>
    <w:rsid w:val="00FC4ADC"/>
    <w:pPr>
      <w:ind w:left="1415"/>
    </w:pPr>
  </w:style>
  <w:style w:type="paragraph" w:styleId="Index7">
    <w:name w:val="index 7"/>
    <w:basedOn w:val="Normal"/>
    <w:next w:val="Normal"/>
    <w:semiHidden/>
    <w:rsid w:val="00FC4ADC"/>
    <w:pPr>
      <w:ind w:left="1698"/>
    </w:pPr>
  </w:style>
  <w:style w:type="paragraph" w:styleId="IndexHeading">
    <w:name w:val="index heading"/>
    <w:basedOn w:val="Normal"/>
    <w:next w:val="Index1"/>
    <w:semiHidden/>
    <w:rsid w:val="00FC4ADC"/>
  </w:style>
  <w:style w:type="character" w:styleId="LineNumber">
    <w:name w:val="line number"/>
    <w:basedOn w:val="DefaultParagraphFont"/>
    <w:rsid w:val="00FC4ADC"/>
  </w:style>
  <w:style w:type="paragraph" w:customStyle="1" w:styleId="Normalaftertitle">
    <w:name w:val="Normal after title"/>
    <w:basedOn w:val="Normal"/>
    <w:next w:val="Normal"/>
    <w:link w:val="NormalaftertitleChar"/>
    <w:rsid w:val="00FC4ADC"/>
    <w:pPr>
      <w:spacing w:before="280"/>
    </w:pPr>
  </w:style>
  <w:style w:type="character" w:customStyle="1" w:styleId="Appdef">
    <w:name w:val="App_def"/>
    <w:rsid w:val="00FC4ADC"/>
    <w:rPr>
      <w:rFonts w:ascii="Times New Roman" w:hAnsi="Times New Roman"/>
      <w:b/>
    </w:rPr>
  </w:style>
  <w:style w:type="character" w:customStyle="1" w:styleId="Appref">
    <w:name w:val="App_ref"/>
    <w:basedOn w:val="DefaultParagraphFont"/>
    <w:rsid w:val="00FC4ADC"/>
  </w:style>
  <w:style w:type="character" w:customStyle="1" w:styleId="Artdef">
    <w:name w:val="Art_def"/>
    <w:rsid w:val="00FC4ADC"/>
    <w:rPr>
      <w:rFonts w:ascii="Times New Roman" w:hAnsi="Times New Roman"/>
      <w:b/>
    </w:rPr>
  </w:style>
  <w:style w:type="character" w:customStyle="1" w:styleId="Artref">
    <w:name w:val="Art_ref"/>
    <w:basedOn w:val="DefaultParagraphFont"/>
    <w:rsid w:val="00FC4ADC"/>
  </w:style>
  <w:style w:type="paragraph" w:customStyle="1" w:styleId="Border">
    <w:name w:val="Border"/>
    <w:basedOn w:val="Normal"/>
    <w:rsid w:val="00FC4AD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FC4ADC"/>
    <w:pPr>
      <w:keepNext/>
      <w:keepLines/>
      <w:jc w:val="center"/>
    </w:pPr>
  </w:style>
  <w:style w:type="paragraph" w:customStyle="1" w:styleId="Agendaitem">
    <w:name w:val="Agenda_item"/>
    <w:basedOn w:val="Normal"/>
    <w:next w:val="Normalaftertitle"/>
    <w:qFormat/>
    <w:rsid w:val="00FC4ADC"/>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FC4ADC"/>
  </w:style>
  <w:style w:type="paragraph" w:customStyle="1" w:styleId="ApptoAnnex">
    <w:name w:val="App_to_Annex"/>
    <w:basedOn w:val="AppendixNo"/>
    <w:qFormat/>
    <w:rsid w:val="00FC4ADC"/>
  </w:style>
  <w:style w:type="paragraph" w:customStyle="1" w:styleId="Note">
    <w:name w:val="Note"/>
    <w:basedOn w:val="Normal"/>
    <w:rsid w:val="00FC4ADC"/>
    <w:pPr>
      <w:tabs>
        <w:tab w:val="left" w:pos="284"/>
      </w:tabs>
      <w:spacing w:before="80"/>
    </w:pPr>
  </w:style>
  <w:style w:type="character" w:styleId="PageNumber">
    <w:name w:val="page number"/>
    <w:basedOn w:val="DefaultParagraphFont"/>
    <w:rsid w:val="00FC4ADC"/>
  </w:style>
  <w:style w:type="paragraph" w:customStyle="1" w:styleId="Proposal">
    <w:name w:val="Proposal"/>
    <w:basedOn w:val="Normal"/>
    <w:next w:val="Normal"/>
    <w:rsid w:val="00FC4ADC"/>
    <w:pPr>
      <w:keepNext/>
      <w:spacing w:before="240"/>
    </w:pPr>
    <w:rPr>
      <w:rFonts w:hAnsi="Times New Roman Bold"/>
      <w:b/>
    </w:rPr>
  </w:style>
  <w:style w:type="paragraph" w:customStyle="1" w:styleId="Part1">
    <w:name w:val="Part_1"/>
    <w:basedOn w:val="Normal"/>
    <w:next w:val="Normal"/>
    <w:qFormat/>
    <w:rsid w:val="00FC4ADC"/>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FC4ADC"/>
  </w:style>
  <w:style w:type="paragraph" w:customStyle="1" w:styleId="Parttitle">
    <w:name w:val="Part_title"/>
    <w:basedOn w:val="Annextitle"/>
    <w:next w:val="Normalaftertitle"/>
    <w:rsid w:val="00FC4ADC"/>
  </w:style>
  <w:style w:type="paragraph" w:styleId="TOC1">
    <w:name w:val="toc 1"/>
    <w:basedOn w:val="Normal"/>
    <w:rsid w:val="00FC4AD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C4ADC"/>
    <w:pPr>
      <w:spacing w:before="120"/>
    </w:pPr>
  </w:style>
  <w:style w:type="paragraph" w:styleId="TOC3">
    <w:name w:val="toc 3"/>
    <w:basedOn w:val="TOC2"/>
    <w:rsid w:val="00FC4ADC"/>
  </w:style>
  <w:style w:type="paragraph" w:styleId="TOC4">
    <w:name w:val="toc 4"/>
    <w:basedOn w:val="TOC3"/>
    <w:rsid w:val="00FC4ADC"/>
  </w:style>
  <w:style w:type="paragraph" w:styleId="TOC5">
    <w:name w:val="toc 5"/>
    <w:basedOn w:val="TOC4"/>
    <w:rsid w:val="00FC4ADC"/>
  </w:style>
  <w:style w:type="paragraph" w:styleId="TOC6">
    <w:name w:val="toc 6"/>
    <w:basedOn w:val="TOC4"/>
    <w:rsid w:val="00FC4ADC"/>
  </w:style>
  <w:style w:type="paragraph" w:styleId="TOC7">
    <w:name w:val="toc 7"/>
    <w:basedOn w:val="TOC4"/>
    <w:rsid w:val="00FC4ADC"/>
  </w:style>
  <w:style w:type="paragraph" w:styleId="TOC8">
    <w:name w:val="toc 8"/>
    <w:basedOn w:val="TOC4"/>
    <w:rsid w:val="00FC4ADC"/>
  </w:style>
  <w:style w:type="paragraph" w:customStyle="1" w:styleId="Title1">
    <w:name w:val="Title 1"/>
    <w:basedOn w:val="Normal"/>
    <w:next w:val="Normal"/>
    <w:rsid w:val="00FC4ADC"/>
    <w:pPr>
      <w:tabs>
        <w:tab w:val="left" w:pos="567"/>
        <w:tab w:val="left" w:pos="1701"/>
        <w:tab w:val="left" w:pos="2835"/>
      </w:tabs>
      <w:spacing w:before="240"/>
      <w:jc w:val="center"/>
    </w:pPr>
    <w:rPr>
      <w:caps/>
      <w:sz w:val="28"/>
    </w:rPr>
  </w:style>
  <w:style w:type="paragraph" w:customStyle="1" w:styleId="Title2">
    <w:name w:val="Title 2"/>
    <w:basedOn w:val="Normal"/>
    <w:next w:val="Normal"/>
    <w:rsid w:val="00FC4ADC"/>
    <w:pPr>
      <w:overflowPunct/>
      <w:autoSpaceDE/>
      <w:autoSpaceDN/>
      <w:adjustRightInd/>
      <w:spacing w:before="480"/>
      <w:jc w:val="center"/>
      <w:textAlignment w:val="auto"/>
    </w:pPr>
    <w:rPr>
      <w:caps/>
      <w:sz w:val="28"/>
    </w:rPr>
  </w:style>
  <w:style w:type="paragraph" w:customStyle="1" w:styleId="Title3">
    <w:name w:val="Title 3"/>
    <w:basedOn w:val="Title2"/>
    <w:next w:val="Normal"/>
    <w:rsid w:val="00FC4ADC"/>
    <w:pPr>
      <w:spacing w:before="240"/>
    </w:pPr>
    <w:rPr>
      <w:caps w:val="0"/>
    </w:rPr>
  </w:style>
  <w:style w:type="paragraph" w:customStyle="1" w:styleId="Title4">
    <w:name w:val="Title 4"/>
    <w:basedOn w:val="Title3"/>
    <w:next w:val="Heading1"/>
    <w:rsid w:val="00FC4ADC"/>
    <w:rPr>
      <w:b/>
    </w:rPr>
  </w:style>
  <w:style w:type="paragraph" w:customStyle="1" w:styleId="toc0">
    <w:name w:val="toc 0"/>
    <w:basedOn w:val="Normal"/>
    <w:next w:val="TOC1"/>
    <w:rsid w:val="00FC4ADC"/>
    <w:pPr>
      <w:tabs>
        <w:tab w:val="clear" w:pos="1134"/>
        <w:tab w:val="clear" w:pos="1871"/>
        <w:tab w:val="clear" w:pos="2268"/>
        <w:tab w:val="right" w:pos="9781"/>
      </w:tabs>
    </w:pPr>
    <w:rPr>
      <w:b/>
    </w:rPr>
  </w:style>
  <w:style w:type="paragraph" w:customStyle="1" w:styleId="RecNo">
    <w:name w:val="Rec_No"/>
    <w:basedOn w:val="Normal"/>
    <w:next w:val="Normal"/>
    <w:rsid w:val="00FC4ADC"/>
    <w:pPr>
      <w:keepNext/>
      <w:keepLines/>
      <w:spacing w:before="480"/>
      <w:jc w:val="center"/>
    </w:pPr>
    <w:rPr>
      <w:caps/>
      <w:sz w:val="28"/>
    </w:rPr>
  </w:style>
  <w:style w:type="paragraph" w:customStyle="1" w:styleId="Rectitle">
    <w:name w:val="Rec_title"/>
    <w:basedOn w:val="RecNo"/>
    <w:next w:val="Normal"/>
    <w:rsid w:val="00FC4ADC"/>
    <w:pPr>
      <w:spacing w:before="240"/>
    </w:pPr>
    <w:rPr>
      <w:rFonts w:ascii="Times New Roman Bold" w:hAnsi="Times New Roman Bold"/>
      <w:b/>
      <w:caps w:val="0"/>
    </w:rPr>
  </w:style>
  <w:style w:type="paragraph" w:customStyle="1" w:styleId="Recdate">
    <w:name w:val="Rec_date"/>
    <w:basedOn w:val="Normal"/>
    <w:next w:val="Normalaftertitle"/>
    <w:rsid w:val="00FC4ADC"/>
    <w:pPr>
      <w:keepNext/>
      <w:keepLines/>
      <w:jc w:val="right"/>
    </w:pPr>
    <w:rPr>
      <w:sz w:val="22"/>
    </w:rPr>
  </w:style>
  <w:style w:type="paragraph" w:customStyle="1" w:styleId="Questiondate">
    <w:name w:val="Question_date"/>
    <w:basedOn w:val="Recdate"/>
    <w:next w:val="Normalaftertitle"/>
    <w:rsid w:val="00FC4ADC"/>
  </w:style>
  <w:style w:type="paragraph" w:customStyle="1" w:styleId="QuestionNo">
    <w:name w:val="Question_No"/>
    <w:basedOn w:val="RecNo"/>
    <w:next w:val="Normal"/>
    <w:rsid w:val="00FC4ADC"/>
  </w:style>
  <w:style w:type="paragraph" w:customStyle="1" w:styleId="Questiontitle">
    <w:name w:val="Question_title"/>
    <w:basedOn w:val="Rectitle"/>
    <w:next w:val="Normal"/>
    <w:rsid w:val="00FC4ADC"/>
  </w:style>
  <w:style w:type="paragraph" w:customStyle="1" w:styleId="Reasons">
    <w:name w:val="Reasons"/>
    <w:basedOn w:val="Normal"/>
    <w:qFormat/>
    <w:rsid w:val="00FC4ADC"/>
    <w:pPr>
      <w:tabs>
        <w:tab w:val="clear" w:pos="1871"/>
        <w:tab w:val="clear" w:pos="2268"/>
        <w:tab w:val="left" w:pos="1588"/>
        <w:tab w:val="left" w:pos="1985"/>
      </w:tabs>
    </w:pPr>
  </w:style>
  <w:style w:type="character" w:customStyle="1" w:styleId="Recdef">
    <w:name w:val="Rec_def"/>
    <w:rsid w:val="00FC4ADC"/>
    <w:rPr>
      <w:b/>
    </w:rPr>
  </w:style>
  <w:style w:type="paragraph" w:customStyle="1" w:styleId="Reftext">
    <w:name w:val="Ref_text"/>
    <w:basedOn w:val="Normal"/>
    <w:rsid w:val="00FC4ADC"/>
    <w:pPr>
      <w:ind w:left="1134" w:hanging="1134"/>
    </w:pPr>
  </w:style>
  <w:style w:type="paragraph" w:customStyle="1" w:styleId="Reftitle">
    <w:name w:val="Ref_title"/>
    <w:basedOn w:val="Normal"/>
    <w:next w:val="Reftext"/>
    <w:rsid w:val="00FC4ADC"/>
    <w:pPr>
      <w:spacing w:before="480"/>
      <w:jc w:val="center"/>
    </w:pPr>
    <w:rPr>
      <w:caps/>
    </w:rPr>
  </w:style>
  <w:style w:type="paragraph" w:customStyle="1" w:styleId="Repdate">
    <w:name w:val="Rep_date"/>
    <w:basedOn w:val="Recdate"/>
    <w:next w:val="Normalaftertitle"/>
    <w:rsid w:val="00FC4ADC"/>
  </w:style>
  <w:style w:type="paragraph" w:customStyle="1" w:styleId="RepNo">
    <w:name w:val="Rep_No"/>
    <w:basedOn w:val="RecNo"/>
    <w:next w:val="Normal"/>
    <w:rsid w:val="00FC4ADC"/>
  </w:style>
  <w:style w:type="paragraph" w:customStyle="1" w:styleId="Repref">
    <w:name w:val="Rep_ref"/>
    <w:basedOn w:val="Normal"/>
    <w:next w:val="Repdate"/>
    <w:rsid w:val="00FC4ADC"/>
    <w:pPr>
      <w:keepNext/>
      <w:keepLines/>
      <w:jc w:val="center"/>
    </w:pPr>
  </w:style>
  <w:style w:type="paragraph" w:customStyle="1" w:styleId="Reptitle">
    <w:name w:val="Rep_title"/>
    <w:basedOn w:val="Rectitle"/>
    <w:next w:val="Repref"/>
    <w:rsid w:val="00FC4ADC"/>
  </w:style>
  <w:style w:type="paragraph" w:customStyle="1" w:styleId="Resdate">
    <w:name w:val="Res_date"/>
    <w:basedOn w:val="Recdate"/>
    <w:next w:val="Normalaftertitle"/>
    <w:rsid w:val="00FC4ADC"/>
  </w:style>
  <w:style w:type="character" w:customStyle="1" w:styleId="Resdef">
    <w:name w:val="Res_def"/>
    <w:rsid w:val="00FC4ADC"/>
    <w:rPr>
      <w:rFonts w:ascii="Times New Roman" w:hAnsi="Times New Roman"/>
      <w:b/>
    </w:rPr>
  </w:style>
  <w:style w:type="paragraph" w:customStyle="1" w:styleId="ResNo">
    <w:name w:val="Res_No"/>
    <w:basedOn w:val="RecNo"/>
    <w:next w:val="Normal"/>
    <w:rsid w:val="00FC4ADC"/>
  </w:style>
  <w:style w:type="paragraph" w:customStyle="1" w:styleId="Restitle">
    <w:name w:val="Res_title"/>
    <w:basedOn w:val="Rectitle"/>
    <w:next w:val="Normal"/>
    <w:rsid w:val="00FC4ADC"/>
  </w:style>
  <w:style w:type="paragraph" w:customStyle="1" w:styleId="Section1">
    <w:name w:val="Section_1"/>
    <w:basedOn w:val="Normal"/>
    <w:rsid w:val="00FC4ADC"/>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C4ADC"/>
    <w:rPr>
      <w:b w:val="0"/>
      <w:i/>
    </w:rPr>
  </w:style>
  <w:style w:type="paragraph" w:customStyle="1" w:styleId="Section3">
    <w:name w:val="Section_3"/>
    <w:basedOn w:val="Section1"/>
    <w:rsid w:val="00FC4ADC"/>
    <w:rPr>
      <w:b w:val="0"/>
    </w:rPr>
  </w:style>
  <w:style w:type="paragraph" w:customStyle="1" w:styleId="SectionNo">
    <w:name w:val="Section_No"/>
    <w:basedOn w:val="AnnexNo"/>
    <w:next w:val="Normal"/>
    <w:rsid w:val="00FC4ADC"/>
  </w:style>
  <w:style w:type="paragraph" w:customStyle="1" w:styleId="Sectiontitle">
    <w:name w:val="Section_title"/>
    <w:basedOn w:val="Annextitle"/>
    <w:next w:val="Normalaftertitle"/>
    <w:rsid w:val="00FC4ADC"/>
  </w:style>
  <w:style w:type="paragraph" w:customStyle="1" w:styleId="Source">
    <w:name w:val="Source"/>
    <w:basedOn w:val="Normal"/>
    <w:next w:val="Normal"/>
    <w:rsid w:val="00FC4ADC"/>
    <w:pPr>
      <w:spacing w:before="840"/>
      <w:jc w:val="center"/>
    </w:pPr>
    <w:rPr>
      <w:b/>
      <w:sz w:val="28"/>
    </w:rPr>
  </w:style>
  <w:style w:type="paragraph" w:customStyle="1" w:styleId="SpecialFooter">
    <w:name w:val="Special Footer"/>
    <w:basedOn w:val="Footer"/>
    <w:rsid w:val="00FC4ADC"/>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FC4ADC"/>
  </w:style>
  <w:style w:type="character" w:customStyle="1" w:styleId="Tablefreq">
    <w:name w:val="Table_freq"/>
    <w:rsid w:val="00FC4ADC"/>
    <w:rPr>
      <w:b/>
      <w:color w:val="auto"/>
      <w:sz w:val="20"/>
    </w:rPr>
  </w:style>
  <w:style w:type="paragraph" w:customStyle="1" w:styleId="Tabletext">
    <w:name w:val="Table_text"/>
    <w:basedOn w:val="Normal"/>
    <w:rsid w:val="00FC4A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FC4ADC"/>
    <w:pPr>
      <w:keepNext/>
      <w:spacing w:before="80" w:after="80"/>
      <w:jc w:val="center"/>
    </w:pPr>
    <w:rPr>
      <w:b/>
    </w:rPr>
  </w:style>
  <w:style w:type="paragraph" w:customStyle="1" w:styleId="Tablelegend">
    <w:name w:val="Table_legend"/>
    <w:basedOn w:val="Tabletext"/>
    <w:rsid w:val="00FC4ADC"/>
    <w:pPr>
      <w:tabs>
        <w:tab w:val="clear" w:pos="284"/>
      </w:tabs>
      <w:spacing w:before="120"/>
    </w:pPr>
  </w:style>
  <w:style w:type="paragraph" w:customStyle="1" w:styleId="TableNo">
    <w:name w:val="Table_No"/>
    <w:basedOn w:val="Normal"/>
    <w:next w:val="Normal"/>
    <w:rsid w:val="00FC4ADC"/>
    <w:pPr>
      <w:keepNext/>
      <w:spacing w:before="560" w:after="120"/>
      <w:jc w:val="center"/>
    </w:pPr>
    <w:rPr>
      <w:caps/>
      <w:sz w:val="20"/>
    </w:rPr>
  </w:style>
  <w:style w:type="paragraph" w:customStyle="1" w:styleId="TableTextS5">
    <w:name w:val="Table_TextS5"/>
    <w:basedOn w:val="Normal"/>
    <w:rsid w:val="00FC0101"/>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FC4ADC"/>
    <w:pPr>
      <w:keepNext/>
      <w:keepLines/>
      <w:spacing w:before="0" w:after="120"/>
      <w:jc w:val="center"/>
    </w:pPr>
    <w:rPr>
      <w:rFonts w:ascii="Times New Roman Bold" w:hAnsi="Times New Roman Bold"/>
      <w:b/>
      <w:sz w:val="20"/>
    </w:rPr>
  </w:style>
  <w:style w:type="table" w:styleId="TableGrid">
    <w:name w:val="Table Grid"/>
    <w:basedOn w:val="TableNormal"/>
    <w:rsid w:val="00FC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C4ADC"/>
    <w:rPr>
      <w:rFonts w:ascii="Times New Roman" w:hAnsi="Times New Roman"/>
      <w:sz w:val="18"/>
      <w:lang w:val="fr-FR" w:eastAsia="en-US"/>
    </w:rPr>
  </w:style>
  <w:style w:type="paragraph" w:customStyle="1" w:styleId="AppArttitle">
    <w:name w:val="App_Art_title"/>
    <w:basedOn w:val="Arttitle"/>
    <w:next w:val="Normalaftertitle"/>
    <w:qFormat/>
    <w:rsid w:val="00FC4ADC"/>
    <w:rPr>
      <w:lang w:val="fr-CH"/>
    </w:rPr>
  </w:style>
  <w:style w:type="paragraph" w:customStyle="1" w:styleId="AppArtNo">
    <w:name w:val="App_Art_No"/>
    <w:basedOn w:val="ArtNo"/>
    <w:next w:val="AppArttitle"/>
    <w:qFormat/>
    <w:rsid w:val="00FC4ADC"/>
  </w:style>
  <w:style w:type="paragraph" w:customStyle="1" w:styleId="Headingsplit">
    <w:name w:val="Heading_split"/>
    <w:basedOn w:val="Headingi"/>
    <w:qFormat/>
    <w:rsid w:val="00FC4ADC"/>
  </w:style>
  <w:style w:type="paragraph" w:customStyle="1" w:styleId="Normalsplit">
    <w:name w:val="Normal_split"/>
    <w:basedOn w:val="Normal"/>
    <w:next w:val="Normal"/>
    <w:qFormat/>
    <w:rsid w:val="00FC4ADC"/>
  </w:style>
  <w:style w:type="character" w:customStyle="1" w:styleId="Provsplit">
    <w:name w:val="Prov_split"/>
    <w:basedOn w:val="DefaultParagraphFont"/>
    <w:uiPriority w:val="1"/>
    <w:qFormat/>
    <w:rsid w:val="00FC4ADC"/>
  </w:style>
  <w:style w:type="paragraph" w:customStyle="1" w:styleId="Tablesplit">
    <w:name w:val="Table_split"/>
    <w:basedOn w:val="Normal"/>
    <w:qFormat/>
    <w:rsid w:val="00FC4ADC"/>
    <w:pPr>
      <w:tabs>
        <w:tab w:val="clear" w:pos="1134"/>
        <w:tab w:val="clear" w:pos="1871"/>
        <w:tab w:val="clear" w:pos="2268"/>
        <w:tab w:val="left" w:pos="7825"/>
      </w:tabs>
      <w:spacing w:before="40" w:after="40"/>
    </w:pPr>
    <w:rPr>
      <w:b/>
      <w:sz w:val="20"/>
      <w:lang w:val="en-GB"/>
    </w:rPr>
  </w:style>
  <w:style w:type="paragraph" w:customStyle="1" w:styleId="Committee">
    <w:name w:val="Committee"/>
    <w:basedOn w:val="Normal"/>
    <w:qFormat/>
    <w:rsid w:val="00FC4ADC"/>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MethodHeadingb">
    <w:name w:val="Method_Headingb"/>
    <w:basedOn w:val="Headingb"/>
    <w:qFormat/>
    <w:rsid w:val="00FC4ADC"/>
  </w:style>
  <w:style w:type="paragraph" w:customStyle="1" w:styleId="Methodheading1">
    <w:name w:val="Method_heading1"/>
    <w:basedOn w:val="Heading1"/>
    <w:next w:val="Normal"/>
    <w:qFormat/>
    <w:rsid w:val="00FC4ADC"/>
  </w:style>
  <w:style w:type="paragraph" w:customStyle="1" w:styleId="Methodheading2">
    <w:name w:val="Method_heading2"/>
    <w:basedOn w:val="Heading2"/>
    <w:next w:val="Normal"/>
    <w:qFormat/>
    <w:rsid w:val="00FC4ADC"/>
  </w:style>
  <w:style w:type="paragraph" w:customStyle="1" w:styleId="Methodheading3">
    <w:name w:val="Method_heading3"/>
    <w:basedOn w:val="Heading3"/>
    <w:next w:val="Normal"/>
    <w:qFormat/>
    <w:rsid w:val="00FC4ADC"/>
  </w:style>
  <w:style w:type="paragraph" w:customStyle="1" w:styleId="Methodheading4">
    <w:name w:val="Method_heading4"/>
    <w:basedOn w:val="Heading4"/>
    <w:next w:val="Normal"/>
    <w:qFormat/>
    <w:rsid w:val="00FC4ADC"/>
  </w:style>
  <w:style w:type="paragraph" w:customStyle="1" w:styleId="Volumetitle">
    <w:name w:val="Volume_title"/>
    <w:basedOn w:val="ArtNo"/>
    <w:qFormat/>
    <w:rsid w:val="00FC4ADC"/>
    <w:rPr>
      <w:lang w:val="fr-CH"/>
    </w:rPr>
  </w:style>
  <w:style w:type="paragraph" w:customStyle="1" w:styleId="Pa21">
    <w:name w:val="Pa21"/>
    <w:basedOn w:val="Normal"/>
    <w:next w:val="Normal"/>
    <w:uiPriority w:val="99"/>
    <w:rsid w:val="005B6620"/>
    <w:pPr>
      <w:tabs>
        <w:tab w:val="clear" w:pos="1134"/>
        <w:tab w:val="clear" w:pos="1871"/>
        <w:tab w:val="clear" w:pos="2268"/>
      </w:tabs>
      <w:overflowPunct/>
      <w:spacing w:before="0" w:line="231" w:lineRule="atLeast"/>
      <w:textAlignment w:val="auto"/>
    </w:pPr>
    <w:rPr>
      <w:rFonts w:ascii="Calibri" w:hAnsi="Calibri" w:cs="Calibri"/>
      <w:szCs w:val="24"/>
      <w:lang w:val="en-GB" w:eastAsia="zh-CN"/>
    </w:rPr>
  </w:style>
  <w:style w:type="paragraph" w:customStyle="1" w:styleId="Pa18">
    <w:name w:val="Pa18"/>
    <w:basedOn w:val="Normal"/>
    <w:next w:val="Normal"/>
    <w:uiPriority w:val="99"/>
    <w:rsid w:val="005B6620"/>
    <w:pPr>
      <w:tabs>
        <w:tab w:val="clear" w:pos="1134"/>
        <w:tab w:val="clear" w:pos="1871"/>
        <w:tab w:val="clear" w:pos="2268"/>
      </w:tabs>
      <w:overflowPunct/>
      <w:spacing w:before="0" w:line="201" w:lineRule="atLeast"/>
      <w:textAlignment w:val="auto"/>
    </w:pPr>
    <w:rPr>
      <w:rFonts w:ascii="Calibri" w:hAnsi="Calibri" w:cs="Calibri"/>
      <w:szCs w:val="24"/>
      <w:lang w:val="en-GB" w:eastAsia="zh-CN"/>
    </w:rPr>
  </w:style>
  <w:style w:type="paragraph" w:customStyle="1" w:styleId="Pa19">
    <w:name w:val="Pa19"/>
    <w:basedOn w:val="Normal"/>
    <w:next w:val="Normal"/>
    <w:uiPriority w:val="99"/>
    <w:rsid w:val="005B6620"/>
    <w:pPr>
      <w:tabs>
        <w:tab w:val="clear" w:pos="1134"/>
        <w:tab w:val="clear" w:pos="1871"/>
        <w:tab w:val="clear" w:pos="2268"/>
      </w:tabs>
      <w:overflowPunct/>
      <w:spacing w:before="0" w:line="201" w:lineRule="atLeast"/>
      <w:textAlignment w:val="auto"/>
    </w:pPr>
    <w:rPr>
      <w:rFonts w:ascii="Calibri" w:hAnsi="Calibri" w:cs="Calibri"/>
      <w:szCs w:val="24"/>
      <w:lang w:val="en-GB" w:eastAsia="zh-CN"/>
    </w:rPr>
  </w:style>
  <w:style w:type="paragraph" w:customStyle="1" w:styleId="Pa2">
    <w:name w:val="Pa2"/>
    <w:basedOn w:val="Normal"/>
    <w:next w:val="Normal"/>
    <w:uiPriority w:val="99"/>
    <w:rsid w:val="005B6620"/>
    <w:pPr>
      <w:tabs>
        <w:tab w:val="clear" w:pos="1134"/>
        <w:tab w:val="clear" w:pos="1871"/>
        <w:tab w:val="clear" w:pos="2268"/>
      </w:tabs>
      <w:overflowPunct/>
      <w:spacing w:before="0" w:line="201" w:lineRule="atLeast"/>
      <w:textAlignment w:val="auto"/>
    </w:pPr>
    <w:rPr>
      <w:rFonts w:ascii="Calibri" w:hAnsi="Calibri" w:cs="Calibri"/>
      <w:szCs w:val="24"/>
      <w:lang w:val="en-GB" w:eastAsia="zh-CN"/>
    </w:rPr>
  </w:style>
  <w:style w:type="paragraph" w:customStyle="1" w:styleId="Pa22">
    <w:name w:val="Pa22"/>
    <w:basedOn w:val="Normal"/>
    <w:next w:val="Normal"/>
    <w:uiPriority w:val="99"/>
    <w:rsid w:val="005B6620"/>
    <w:pPr>
      <w:tabs>
        <w:tab w:val="clear" w:pos="1134"/>
        <w:tab w:val="clear" w:pos="1871"/>
        <w:tab w:val="clear" w:pos="2268"/>
      </w:tabs>
      <w:overflowPunct/>
      <w:spacing w:before="0" w:line="201" w:lineRule="atLeast"/>
      <w:textAlignment w:val="auto"/>
    </w:pPr>
    <w:rPr>
      <w:rFonts w:ascii="Calibri" w:hAnsi="Calibri" w:cs="Calibri"/>
      <w:szCs w:val="24"/>
      <w:lang w:val="en-GB" w:eastAsia="zh-CN"/>
    </w:rPr>
  </w:style>
  <w:style w:type="paragraph" w:customStyle="1" w:styleId="Pa6">
    <w:name w:val="Pa6"/>
    <w:basedOn w:val="Normal"/>
    <w:next w:val="Normal"/>
    <w:uiPriority w:val="99"/>
    <w:rsid w:val="005B6620"/>
    <w:pPr>
      <w:tabs>
        <w:tab w:val="clear" w:pos="1134"/>
        <w:tab w:val="clear" w:pos="1871"/>
        <w:tab w:val="clear" w:pos="2268"/>
      </w:tabs>
      <w:overflowPunct/>
      <w:spacing w:before="0" w:line="201" w:lineRule="atLeast"/>
      <w:textAlignment w:val="auto"/>
    </w:pPr>
    <w:rPr>
      <w:rFonts w:ascii="Calibri" w:hAnsi="Calibri" w:cs="Calibri"/>
      <w:szCs w:val="24"/>
      <w:lang w:val="en-GB" w:eastAsia="zh-CN"/>
    </w:rPr>
  </w:style>
  <w:style w:type="paragraph" w:customStyle="1" w:styleId="AnnexTitle0">
    <w:name w:val="Annex_Title"/>
    <w:basedOn w:val="Arttitle"/>
    <w:next w:val="Normal"/>
    <w:uiPriority w:val="1"/>
    <w:rsid w:val="0061086C"/>
    <w:pPr>
      <w:tabs>
        <w:tab w:val="clear" w:pos="1134"/>
        <w:tab w:val="clear" w:pos="1871"/>
        <w:tab w:val="clear" w:pos="2268"/>
      </w:tabs>
      <w:spacing w:before="160"/>
    </w:pPr>
    <w:rPr>
      <w:rFonts w:asciiTheme="minorHAnsi" w:hAnsiTheme="minorHAnsi"/>
      <w:noProof/>
      <w:lang w:val="en-US"/>
    </w:rPr>
  </w:style>
  <w:style w:type="character" w:customStyle="1" w:styleId="NormalaftertitleChar">
    <w:name w:val="Normal after title Char"/>
    <w:basedOn w:val="DefaultParagraphFont"/>
    <w:link w:val="Normalaftertitle"/>
    <w:locked/>
    <w:rsid w:val="0061086C"/>
    <w:rPr>
      <w:rFonts w:ascii="Times New Roman" w:hAnsi="Times New Roman"/>
      <w:sz w:val="24"/>
      <w:lang w:val="fr-FR" w:eastAsia="en-US"/>
    </w:rPr>
  </w:style>
  <w:style w:type="character" w:customStyle="1" w:styleId="AnnexNoChar">
    <w:name w:val="Annex_No Char"/>
    <w:basedOn w:val="DefaultParagraphFont"/>
    <w:link w:val="AnnexNo"/>
    <w:rsid w:val="0061086C"/>
    <w:rPr>
      <w:rFonts w:ascii="Times New Roman" w:hAnsi="Times New Roman"/>
      <w:caps/>
      <w:sz w:val="28"/>
      <w:lang w:val="fr-FR" w:eastAsia="en-US"/>
    </w:rPr>
  </w:style>
  <w:style w:type="character" w:customStyle="1" w:styleId="enumlev1Char">
    <w:name w:val="enumlev1 Char"/>
    <w:basedOn w:val="DefaultParagraphFont"/>
    <w:link w:val="enumlev1"/>
    <w:rsid w:val="0061086C"/>
    <w:rPr>
      <w:rFonts w:ascii="Times New Roman" w:hAnsi="Times New Roman"/>
      <w:sz w:val="24"/>
      <w:lang w:val="fr-FR" w:eastAsia="en-US"/>
    </w:rPr>
  </w:style>
  <w:style w:type="character" w:styleId="Hyperlink">
    <w:name w:val="Hyperlink"/>
    <w:basedOn w:val="DefaultParagraphFont"/>
    <w:unhideWhenUsed/>
    <w:rsid w:val="00CE0141"/>
    <w:rPr>
      <w:color w:val="0000FF" w:themeColor="hyperlink"/>
      <w:u w:val="single"/>
    </w:rPr>
  </w:style>
  <w:style w:type="character" w:styleId="UnresolvedMention">
    <w:name w:val="Unresolved Mention"/>
    <w:basedOn w:val="DefaultParagraphFont"/>
    <w:uiPriority w:val="99"/>
    <w:semiHidden/>
    <w:unhideWhenUsed/>
    <w:rsid w:val="00CE0141"/>
    <w:rPr>
      <w:color w:val="605E5C"/>
      <w:shd w:val="clear" w:color="auto" w:fill="E1DFDD"/>
    </w:rPr>
  </w:style>
  <w:style w:type="paragraph" w:styleId="Revision">
    <w:name w:val="Revision"/>
    <w:hidden/>
    <w:uiPriority w:val="99"/>
    <w:semiHidden/>
    <w:rsid w:val="0076018B"/>
    <w:rPr>
      <w:rFonts w:ascii="Times New Roman" w:hAnsi="Times New Roman"/>
      <w:sz w:val="24"/>
      <w:lang w:val="fr-FR" w:eastAsia="en-US"/>
    </w:rPr>
  </w:style>
  <w:style w:type="character" w:styleId="FollowedHyperlink">
    <w:name w:val="FollowedHyperlink"/>
    <w:basedOn w:val="DefaultParagraphFont"/>
    <w:semiHidden/>
    <w:unhideWhenUsed/>
    <w:rsid w:val="007601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pub/S-CONF-PLEN/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BR\PF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1D4E0-CAE8-437A-BC31-EE5ECD25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PF_WRC23.dotx</Template>
  <TotalTime>24</TotalTime>
  <Pages>4</Pages>
  <Words>828</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- 2023</dc:subject>
  <dc:creator>French</dc:creator>
  <cp:keywords>WRC-23</cp:keywords>
  <cp:lastModifiedBy>Gozel, Elsa</cp:lastModifiedBy>
  <cp:revision>4</cp:revision>
  <cp:lastPrinted>2003-06-05T19:34:00Z</cp:lastPrinted>
  <dcterms:created xsi:type="dcterms:W3CDTF">2023-09-25T07:00:00Z</dcterms:created>
  <dcterms:modified xsi:type="dcterms:W3CDTF">2023-09-25T08:10:00Z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