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BF1BD1" w14:paraId="2A23BF8D" w14:textId="77777777" w:rsidTr="00F320AA">
        <w:trPr>
          <w:cantSplit/>
        </w:trPr>
        <w:tc>
          <w:tcPr>
            <w:tcW w:w="1418" w:type="dxa"/>
            <w:vAlign w:val="center"/>
          </w:tcPr>
          <w:p w14:paraId="2193A48E" w14:textId="77777777" w:rsidR="00F320AA" w:rsidRPr="00BF1BD1" w:rsidRDefault="00F320AA" w:rsidP="00F320AA">
            <w:pPr>
              <w:spacing w:before="0"/>
              <w:rPr>
                <w:rFonts w:ascii="Verdana" w:hAnsi="Verdana"/>
                <w:position w:val="6"/>
              </w:rPr>
            </w:pPr>
            <w:r w:rsidRPr="00BF1BD1">
              <w:rPr>
                <w:noProof/>
              </w:rPr>
              <w:drawing>
                <wp:inline distT="0" distB="0" distL="0" distR="0" wp14:anchorId="3D897EF3" wp14:editId="5ED811E8">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381C93C8" w14:textId="77777777" w:rsidR="00F320AA" w:rsidRPr="00BF1BD1" w:rsidRDefault="00F320AA" w:rsidP="00F320AA">
            <w:pPr>
              <w:spacing w:before="400" w:after="48" w:line="240" w:lineRule="atLeast"/>
              <w:rPr>
                <w:rFonts w:ascii="Verdana" w:hAnsi="Verdana"/>
                <w:position w:val="6"/>
              </w:rPr>
            </w:pPr>
            <w:r w:rsidRPr="00BF1BD1">
              <w:rPr>
                <w:rFonts w:ascii="Verdana" w:hAnsi="Verdana" w:cs="Times"/>
                <w:b/>
                <w:position w:val="6"/>
                <w:sz w:val="22"/>
                <w:szCs w:val="22"/>
              </w:rPr>
              <w:t>World Radiocommunication Conference (WRC-23)</w:t>
            </w:r>
            <w:r w:rsidRPr="00BF1BD1">
              <w:rPr>
                <w:rFonts w:ascii="Verdana" w:hAnsi="Verdana" w:cs="Times"/>
                <w:b/>
                <w:position w:val="6"/>
                <w:sz w:val="26"/>
                <w:szCs w:val="26"/>
              </w:rPr>
              <w:br/>
            </w:r>
            <w:r w:rsidRPr="00BF1BD1">
              <w:rPr>
                <w:rFonts w:ascii="Verdana" w:hAnsi="Verdana"/>
                <w:b/>
                <w:bCs/>
                <w:position w:val="6"/>
                <w:sz w:val="18"/>
                <w:szCs w:val="18"/>
              </w:rPr>
              <w:t>Dubai, 20 November - 15 December 2023</w:t>
            </w:r>
          </w:p>
        </w:tc>
        <w:tc>
          <w:tcPr>
            <w:tcW w:w="1951" w:type="dxa"/>
            <w:vAlign w:val="center"/>
          </w:tcPr>
          <w:p w14:paraId="3B5E4256" w14:textId="77777777" w:rsidR="00F320AA" w:rsidRPr="00BF1BD1" w:rsidRDefault="00EB0812" w:rsidP="00F320AA">
            <w:pPr>
              <w:spacing w:before="0" w:line="240" w:lineRule="atLeast"/>
            </w:pPr>
            <w:r w:rsidRPr="00BF1BD1">
              <w:rPr>
                <w:noProof/>
              </w:rPr>
              <w:drawing>
                <wp:inline distT="0" distB="0" distL="0" distR="0" wp14:anchorId="2233E51F" wp14:editId="3BE9A90F">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BF1BD1" w14:paraId="66E69DEC" w14:textId="77777777">
        <w:trPr>
          <w:cantSplit/>
        </w:trPr>
        <w:tc>
          <w:tcPr>
            <w:tcW w:w="6911" w:type="dxa"/>
            <w:gridSpan w:val="2"/>
            <w:tcBorders>
              <w:bottom w:val="single" w:sz="12" w:space="0" w:color="auto"/>
            </w:tcBorders>
          </w:tcPr>
          <w:p w14:paraId="387843B0" w14:textId="77777777" w:rsidR="00A066F1" w:rsidRPr="00BF1BD1" w:rsidRDefault="00A066F1" w:rsidP="00A066F1">
            <w:pPr>
              <w:spacing w:before="0" w:after="48" w:line="240" w:lineRule="atLeast"/>
              <w:rPr>
                <w:rFonts w:ascii="Verdana" w:hAnsi="Verdana"/>
                <w:b/>
                <w:smallCaps/>
                <w:sz w:val="20"/>
              </w:rPr>
            </w:pPr>
            <w:bookmarkStart w:id="0" w:name="dhead"/>
          </w:p>
        </w:tc>
        <w:tc>
          <w:tcPr>
            <w:tcW w:w="3120" w:type="dxa"/>
            <w:gridSpan w:val="2"/>
            <w:tcBorders>
              <w:bottom w:val="single" w:sz="12" w:space="0" w:color="auto"/>
            </w:tcBorders>
          </w:tcPr>
          <w:p w14:paraId="78C98B01" w14:textId="77777777" w:rsidR="00A066F1" w:rsidRPr="00BF1BD1" w:rsidRDefault="00A066F1" w:rsidP="00A066F1">
            <w:pPr>
              <w:spacing w:before="0" w:line="240" w:lineRule="atLeast"/>
              <w:rPr>
                <w:rFonts w:ascii="Verdana" w:hAnsi="Verdana"/>
                <w:szCs w:val="24"/>
              </w:rPr>
            </w:pPr>
          </w:p>
        </w:tc>
      </w:tr>
      <w:tr w:rsidR="00A066F1" w:rsidRPr="00BF1BD1" w14:paraId="6A6934A3" w14:textId="77777777">
        <w:trPr>
          <w:cantSplit/>
        </w:trPr>
        <w:tc>
          <w:tcPr>
            <w:tcW w:w="6911" w:type="dxa"/>
            <w:gridSpan w:val="2"/>
            <w:tcBorders>
              <w:top w:val="single" w:sz="12" w:space="0" w:color="auto"/>
            </w:tcBorders>
          </w:tcPr>
          <w:p w14:paraId="38454A9D" w14:textId="77777777" w:rsidR="00A066F1" w:rsidRPr="00BF1BD1"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554C47BE" w14:textId="77777777" w:rsidR="00A066F1" w:rsidRPr="00BF1BD1" w:rsidRDefault="00A066F1" w:rsidP="00A066F1">
            <w:pPr>
              <w:spacing w:before="0" w:line="240" w:lineRule="atLeast"/>
              <w:rPr>
                <w:rFonts w:ascii="Verdana" w:hAnsi="Verdana"/>
                <w:sz w:val="20"/>
              </w:rPr>
            </w:pPr>
          </w:p>
        </w:tc>
      </w:tr>
      <w:tr w:rsidR="00A066F1" w:rsidRPr="00BF1BD1" w14:paraId="6D55B68E" w14:textId="77777777">
        <w:trPr>
          <w:cantSplit/>
          <w:trHeight w:val="23"/>
        </w:trPr>
        <w:tc>
          <w:tcPr>
            <w:tcW w:w="6911" w:type="dxa"/>
            <w:gridSpan w:val="2"/>
            <w:shd w:val="clear" w:color="auto" w:fill="auto"/>
          </w:tcPr>
          <w:p w14:paraId="611551A4" w14:textId="77777777" w:rsidR="00A066F1" w:rsidRPr="00BF1BD1"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BF1BD1">
              <w:rPr>
                <w:rFonts w:ascii="Verdana" w:hAnsi="Verdana"/>
                <w:sz w:val="20"/>
                <w:szCs w:val="20"/>
              </w:rPr>
              <w:t>PLENARY MEETING</w:t>
            </w:r>
          </w:p>
        </w:tc>
        <w:tc>
          <w:tcPr>
            <w:tcW w:w="3120" w:type="dxa"/>
            <w:gridSpan w:val="2"/>
          </w:tcPr>
          <w:p w14:paraId="09E9E729" w14:textId="77777777" w:rsidR="00A066F1" w:rsidRPr="00BF1BD1" w:rsidRDefault="00E55816" w:rsidP="00AA666F">
            <w:pPr>
              <w:tabs>
                <w:tab w:val="left" w:pos="851"/>
              </w:tabs>
              <w:spacing w:before="0" w:line="240" w:lineRule="atLeast"/>
              <w:rPr>
                <w:rFonts w:ascii="Verdana" w:hAnsi="Verdana"/>
                <w:sz w:val="20"/>
              </w:rPr>
            </w:pPr>
            <w:r w:rsidRPr="00BF1BD1">
              <w:rPr>
                <w:rFonts w:ascii="Verdana" w:hAnsi="Verdana"/>
                <w:b/>
                <w:sz w:val="20"/>
              </w:rPr>
              <w:t>Document 56</w:t>
            </w:r>
            <w:r w:rsidR="00A066F1" w:rsidRPr="00BF1BD1">
              <w:rPr>
                <w:rFonts w:ascii="Verdana" w:hAnsi="Verdana"/>
                <w:b/>
                <w:sz w:val="20"/>
              </w:rPr>
              <w:t>-</w:t>
            </w:r>
            <w:r w:rsidR="005E10C9" w:rsidRPr="00BF1BD1">
              <w:rPr>
                <w:rFonts w:ascii="Verdana" w:hAnsi="Verdana"/>
                <w:b/>
                <w:sz w:val="20"/>
              </w:rPr>
              <w:t>E</w:t>
            </w:r>
          </w:p>
        </w:tc>
      </w:tr>
      <w:tr w:rsidR="00A066F1" w:rsidRPr="00BF1BD1" w14:paraId="40D291A7" w14:textId="77777777">
        <w:trPr>
          <w:cantSplit/>
          <w:trHeight w:val="23"/>
        </w:trPr>
        <w:tc>
          <w:tcPr>
            <w:tcW w:w="6911" w:type="dxa"/>
            <w:gridSpan w:val="2"/>
            <w:shd w:val="clear" w:color="auto" w:fill="auto"/>
          </w:tcPr>
          <w:p w14:paraId="0C495B4D" w14:textId="77777777" w:rsidR="00A066F1" w:rsidRPr="00BF1BD1"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gridSpan w:val="2"/>
          </w:tcPr>
          <w:p w14:paraId="75405A3B" w14:textId="22CA4F65" w:rsidR="00A066F1" w:rsidRPr="00BF1BD1" w:rsidRDefault="00D71BE3" w:rsidP="00A066F1">
            <w:pPr>
              <w:tabs>
                <w:tab w:val="left" w:pos="993"/>
              </w:tabs>
              <w:spacing w:before="0"/>
              <w:rPr>
                <w:rFonts w:ascii="Verdana" w:hAnsi="Verdana"/>
                <w:sz w:val="20"/>
              </w:rPr>
            </w:pPr>
            <w:r w:rsidRPr="00BF1BD1">
              <w:rPr>
                <w:rFonts w:ascii="Verdana" w:hAnsi="Verdana"/>
                <w:b/>
                <w:sz w:val="20"/>
              </w:rPr>
              <w:t xml:space="preserve">21 </w:t>
            </w:r>
            <w:r w:rsidR="0062573D" w:rsidRPr="00BF1BD1">
              <w:rPr>
                <w:rFonts w:ascii="Verdana" w:hAnsi="Verdana"/>
                <w:b/>
                <w:sz w:val="20"/>
              </w:rPr>
              <w:t>September</w:t>
            </w:r>
            <w:r w:rsidR="00420873" w:rsidRPr="00BF1BD1">
              <w:rPr>
                <w:rFonts w:ascii="Verdana" w:hAnsi="Verdana"/>
                <w:b/>
                <w:sz w:val="20"/>
              </w:rPr>
              <w:t xml:space="preserve"> 2023</w:t>
            </w:r>
          </w:p>
        </w:tc>
      </w:tr>
      <w:tr w:rsidR="00A066F1" w:rsidRPr="00BF1BD1" w14:paraId="689C9D42" w14:textId="77777777">
        <w:trPr>
          <w:cantSplit/>
          <w:trHeight w:val="23"/>
        </w:trPr>
        <w:tc>
          <w:tcPr>
            <w:tcW w:w="6911" w:type="dxa"/>
            <w:gridSpan w:val="2"/>
            <w:shd w:val="clear" w:color="auto" w:fill="auto"/>
          </w:tcPr>
          <w:p w14:paraId="692A9632" w14:textId="77777777" w:rsidR="00A066F1" w:rsidRPr="00BF1BD1"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gridSpan w:val="2"/>
          </w:tcPr>
          <w:p w14:paraId="21D0F6E6" w14:textId="77777777" w:rsidR="00A066F1" w:rsidRPr="00BF1BD1" w:rsidRDefault="00E55816" w:rsidP="00A066F1">
            <w:pPr>
              <w:tabs>
                <w:tab w:val="left" w:pos="993"/>
              </w:tabs>
              <w:spacing w:before="0"/>
              <w:rPr>
                <w:rFonts w:ascii="Verdana" w:hAnsi="Verdana"/>
                <w:b/>
                <w:sz w:val="20"/>
              </w:rPr>
            </w:pPr>
            <w:r w:rsidRPr="00BF1BD1">
              <w:rPr>
                <w:rFonts w:ascii="Verdana" w:hAnsi="Verdana"/>
                <w:b/>
                <w:sz w:val="20"/>
              </w:rPr>
              <w:t>Original: English</w:t>
            </w:r>
          </w:p>
        </w:tc>
      </w:tr>
      <w:tr w:rsidR="00A066F1" w:rsidRPr="00BF1BD1" w14:paraId="3D22BAA2" w14:textId="77777777" w:rsidTr="00025864">
        <w:trPr>
          <w:cantSplit/>
          <w:trHeight w:val="23"/>
        </w:trPr>
        <w:tc>
          <w:tcPr>
            <w:tcW w:w="10031" w:type="dxa"/>
            <w:gridSpan w:val="4"/>
            <w:shd w:val="clear" w:color="auto" w:fill="auto"/>
          </w:tcPr>
          <w:p w14:paraId="5B49E6A9" w14:textId="77777777" w:rsidR="00A066F1" w:rsidRPr="00BF1BD1" w:rsidRDefault="00A066F1" w:rsidP="00A066F1">
            <w:pPr>
              <w:tabs>
                <w:tab w:val="left" w:pos="993"/>
              </w:tabs>
              <w:spacing w:before="0"/>
              <w:rPr>
                <w:rFonts w:ascii="Verdana" w:hAnsi="Verdana"/>
                <w:b/>
                <w:sz w:val="20"/>
              </w:rPr>
            </w:pPr>
          </w:p>
        </w:tc>
      </w:tr>
      <w:tr w:rsidR="00E55816" w:rsidRPr="00BF1BD1" w14:paraId="65E58BDB" w14:textId="77777777" w:rsidTr="00025864">
        <w:trPr>
          <w:cantSplit/>
          <w:trHeight w:val="23"/>
        </w:trPr>
        <w:tc>
          <w:tcPr>
            <w:tcW w:w="10031" w:type="dxa"/>
            <w:gridSpan w:val="4"/>
            <w:shd w:val="clear" w:color="auto" w:fill="auto"/>
          </w:tcPr>
          <w:p w14:paraId="785EBF80" w14:textId="18F4B86B" w:rsidR="00E55816" w:rsidRPr="00BF1BD1" w:rsidRDefault="00891CF6" w:rsidP="00E55816">
            <w:pPr>
              <w:pStyle w:val="Source"/>
            </w:pPr>
            <w:r w:rsidRPr="00BF1BD1">
              <w:t>Note by the Secretary-General</w:t>
            </w:r>
          </w:p>
        </w:tc>
      </w:tr>
      <w:tr w:rsidR="00E55816" w:rsidRPr="00BF1BD1" w14:paraId="73807399" w14:textId="77777777" w:rsidTr="00025864">
        <w:trPr>
          <w:cantSplit/>
          <w:trHeight w:val="23"/>
        </w:trPr>
        <w:tc>
          <w:tcPr>
            <w:tcW w:w="10031" w:type="dxa"/>
            <w:gridSpan w:val="4"/>
            <w:shd w:val="clear" w:color="auto" w:fill="auto"/>
          </w:tcPr>
          <w:p w14:paraId="3233423A" w14:textId="1BB2BB19" w:rsidR="00E55816" w:rsidRPr="00BF1BD1" w:rsidRDefault="007D5320" w:rsidP="00E55816">
            <w:pPr>
              <w:pStyle w:val="Title1"/>
            </w:pPr>
            <w:r w:rsidRPr="00BF1BD1">
              <w:t>participation of observers</w:t>
            </w:r>
            <w:r w:rsidR="0062573D" w:rsidRPr="00BF1BD1">
              <w:rPr>
                <w:rStyle w:val="FootnoteReference"/>
              </w:rPr>
              <w:footnoteReference w:id="1"/>
            </w:r>
          </w:p>
        </w:tc>
      </w:tr>
      <w:tr w:rsidR="00E55816" w:rsidRPr="00BF1BD1" w14:paraId="1D2A6026" w14:textId="77777777" w:rsidTr="00025864">
        <w:trPr>
          <w:cantSplit/>
          <w:trHeight w:val="23"/>
        </w:trPr>
        <w:tc>
          <w:tcPr>
            <w:tcW w:w="10031" w:type="dxa"/>
            <w:gridSpan w:val="4"/>
            <w:shd w:val="clear" w:color="auto" w:fill="auto"/>
          </w:tcPr>
          <w:p w14:paraId="21DFAE31" w14:textId="77777777" w:rsidR="00E55816" w:rsidRPr="00BF1BD1" w:rsidRDefault="00E55816" w:rsidP="00E55816">
            <w:pPr>
              <w:pStyle w:val="Title2"/>
            </w:pPr>
          </w:p>
        </w:tc>
      </w:tr>
      <w:tr w:rsidR="00A538A6" w:rsidRPr="00BF1BD1" w14:paraId="7E7EA392" w14:textId="77777777" w:rsidTr="00025864">
        <w:trPr>
          <w:cantSplit/>
          <w:trHeight w:val="23"/>
        </w:trPr>
        <w:tc>
          <w:tcPr>
            <w:tcW w:w="10031" w:type="dxa"/>
            <w:gridSpan w:val="4"/>
            <w:shd w:val="clear" w:color="auto" w:fill="auto"/>
          </w:tcPr>
          <w:p w14:paraId="7DB75D2E" w14:textId="77777777" w:rsidR="00A538A6" w:rsidRPr="00BF1BD1" w:rsidRDefault="00A538A6" w:rsidP="004B13CB">
            <w:pPr>
              <w:pStyle w:val="Agendaitem"/>
              <w:rPr>
                <w:lang w:val="en-GB"/>
              </w:rPr>
            </w:pPr>
          </w:p>
        </w:tc>
      </w:tr>
    </w:tbl>
    <w:bookmarkEnd w:id="5"/>
    <w:bookmarkEnd w:id="6"/>
    <w:p w14:paraId="268CF618" w14:textId="0C830675" w:rsidR="00A358B7" w:rsidRPr="00BF1BD1" w:rsidRDefault="0062573D" w:rsidP="00DC3F67">
      <w:r w:rsidRPr="00BF1BD1">
        <w:t xml:space="preserve">The participation of observers in </w:t>
      </w:r>
      <w:r w:rsidR="00D86C49" w:rsidRPr="00BF1BD1">
        <w:t>this Conference</w:t>
      </w:r>
      <w:r w:rsidRPr="00BF1BD1">
        <w:t xml:space="preserve"> is </w:t>
      </w:r>
      <w:r w:rsidR="00D86C49" w:rsidRPr="00BF1BD1">
        <w:t>governed by</w:t>
      </w:r>
      <w:r w:rsidRPr="00BF1BD1">
        <w:t xml:space="preserve"> </w:t>
      </w:r>
      <w:r w:rsidR="00215097" w:rsidRPr="00BF1BD1">
        <w:t xml:space="preserve">CV 276 and CV 278 to CV 280 </w:t>
      </w:r>
      <w:r w:rsidRPr="00BF1BD1">
        <w:t>(</w:t>
      </w:r>
      <w:r w:rsidR="00E26562" w:rsidRPr="00BF1BD1">
        <w:t>in terms of admission</w:t>
      </w:r>
      <w:r w:rsidRPr="00BF1BD1">
        <w:t xml:space="preserve">) and </w:t>
      </w:r>
      <w:r w:rsidR="002E53A6" w:rsidRPr="00BF1BD1">
        <w:t>by</w:t>
      </w:r>
      <w:r w:rsidR="001D5A0A" w:rsidRPr="00BF1BD1">
        <w:t xml:space="preserve"> Annexes 2 and 3 of</w:t>
      </w:r>
      <w:r w:rsidR="002E53A6" w:rsidRPr="00BF1BD1">
        <w:t xml:space="preserve"> </w:t>
      </w:r>
      <w:r w:rsidRPr="00BF1BD1">
        <w:t>Resolution 145 (Antalya, 2006) (</w:t>
      </w:r>
      <w:r w:rsidR="00E26562" w:rsidRPr="00BF1BD1">
        <w:t>in terms of participatory rights</w:t>
      </w:r>
      <w:r w:rsidRPr="00BF1BD1">
        <w:t xml:space="preserve">). </w:t>
      </w:r>
      <w:r w:rsidR="001D5A0A" w:rsidRPr="00BF1BD1">
        <w:t>The relevant</w:t>
      </w:r>
      <w:r w:rsidR="007A2281" w:rsidRPr="00BF1BD1">
        <w:t xml:space="preserve"> provisions are included in the ITU publication </w:t>
      </w:r>
      <w:r w:rsidR="00703E85" w:rsidRPr="00BF1BD1">
        <w:t>“</w:t>
      </w:r>
      <w:hyperlink r:id="rId14" w:history="1">
        <w:r w:rsidR="00220734" w:rsidRPr="00BF1BD1">
          <w:rPr>
            <w:rStyle w:val="Hyperlink"/>
          </w:rPr>
          <w:t>Collection of the basic texts of the International Telecommunication Union</w:t>
        </w:r>
        <w:r w:rsidR="00703E85" w:rsidRPr="00BF1BD1">
          <w:rPr>
            <w:rStyle w:val="Hyperlink"/>
          </w:rPr>
          <w:t>”</w:t>
        </w:r>
        <w:r w:rsidR="00220734" w:rsidRPr="00BF1BD1">
          <w:rPr>
            <w:rStyle w:val="Hyperlink"/>
          </w:rPr>
          <w:t xml:space="preserve"> (2023 Edition</w:t>
        </w:r>
      </w:hyperlink>
      <w:r w:rsidR="00220734" w:rsidRPr="00BF1BD1">
        <w:t>)</w:t>
      </w:r>
      <w:r w:rsidR="00703E85" w:rsidRPr="00BF1BD1">
        <w:t xml:space="preserve"> and are provided </w:t>
      </w:r>
      <w:r w:rsidR="00592EAC" w:rsidRPr="00BF1BD1">
        <w:t xml:space="preserve">in </w:t>
      </w:r>
      <w:r w:rsidR="00DC3F67" w:rsidRPr="00BF1BD1">
        <w:t xml:space="preserve">the </w:t>
      </w:r>
      <w:r w:rsidR="00592EAC" w:rsidRPr="00BF1BD1">
        <w:t>Annex</w:t>
      </w:r>
      <w:r w:rsidR="00F836CB" w:rsidRPr="00BF1BD1">
        <w:t>es</w:t>
      </w:r>
      <w:r w:rsidR="00592EAC" w:rsidRPr="00BF1BD1">
        <w:t xml:space="preserve"> to this document </w:t>
      </w:r>
      <w:r w:rsidR="00703E85" w:rsidRPr="00BF1BD1">
        <w:t>for convenience</w:t>
      </w:r>
      <w:r w:rsidR="00220734" w:rsidRPr="00BF1BD1">
        <w:t>.</w:t>
      </w:r>
    </w:p>
    <w:p w14:paraId="612ECF26" w14:textId="77777777" w:rsidR="0062573D" w:rsidRPr="00BF1BD1" w:rsidRDefault="0062573D" w:rsidP="00DC3F67"/>
    <w:p w14:paraId="7881D598" w14:textId="77777777" w:rsidR="0062573D" w:rsidRPr="00BF1BD1" w:rsidRDefault="0062573D" w:rsidP="00DC3F67">
      <w:bookmarkStart w:id="7" w:name="OpenAt"/>
      <w:bookmarkEnd w:id="7"/>
    </w:p>
    <w:p w14:paraId="0DDE5A23" w14:textId="77777777" w:rsidR="00F85BCD" w:rsidRPr="00BF1BD1" w:rsidRDefault="00F85BCD" w:rsidP="00DC3F67"/>
    <w:p w14:paraId="02B807D8" w14:textId="51427C01" w:rsidR="0062573D" w:rsidRPr="00BF1BD1" w:rsidRDefault="0062573D" w:rsidP="0062573D">
      <w:pPr>
        <w:tabs>
          <w:tab w:val="center" w:pos="7088"/>
        </w:tabs>
      </w:pPr>
      <w:r w:rsidRPr="00BF1BD1">
        <w:tab/>
      </w:r>
      <w:r w:rsidRPr="00BF1BD1">
        <w:tab/>
      </w:r>
      <w:r w:rsidRPr="00BF1BD1">
        <w:tab/>
      </w:r>
      <w:r w:rsidRPr="00BF1BD1">
        <w:tab/>
        <w:t>Doreen BOGDAN-MARTIN</w:t>
      </w:r>
      <w:r w:rsidRPr="00BF1BD1">
        <w:br/>
      </w:r>
      <w:r w:rsidRPr="00BF1BD1">
        <w:tab/>
      </w:r>
      <w:r w:rsidRPr="00BF1BD1">
        <w:tab/>
      </w:r>
      <w:r w:rsidRPr="00BF1BD1">
        <w:tab/>
      </w:r>
      <w:r w:rsidRPr="00BF1BD1">
        <w:tab/>
        <w:t>Secretary-General</w:t>
      </w:r>
    </w:p>
    <w:p w14:paraId="6911A81B" w14:textId="77777777" w:rsidR="0062573D" w:rsidRPr="00BF1BD1" w:rsidRDefault="0062573D" w:rsidP="0062573D"/>
    <w:p w14:paraId="0F54A6A3" w14:textId="43D58195" w:rsidR="00D71BE3" w:rsidRPr="00BF1BD1" w:rsidRDefault="00D71BE3" w:rsidP="00DC3F67">
      <w:pPr>
        <w:pStyle w:val="FootnoteText"/>
      </w:pPr>
      <w:r w:rsidRPr="00BF1BD1">
        <w:br w:type="page"/>
      </w:r>
    </w:p>
    <w:p w14:paraId="14903CE3" w14:textId="2EB8EB64" w:rsidR="002E2B21" w:rsidRPr="00BF1BD1" w:rsidRDefault="002E2B21" w:rsidP="0025770D">
      <w:pPr>
        <w:pStyle w:val="AnnexNo"/>
      </w:pPr>
      <w:r w:rsidRPr="00BF1BD1">
        <w:lastRenderedPageBreak/>
        <w:t>ANNEX 1</w:t>
      </w:r>
    </w:p>
    <w:p w14:paraId="76A9EFB2" w14:textId="60FDF3BF" w:rsidR="000974C8" w:rsidRPr="00BF1BD1" w:rsidRDefault="00A823D3" w:rsidP="0025770D">
      <w:pPr>
        <w:pStyle w:val="Annextitle"/>
      </w:pPr>
      <w:r w:rsidRPr="00BF1BD1">
        <w:t>C</w:t>
      </w:r>
      <w:r w:rsidR="0025770D" w:rsidRPr="00BF1BD1">
        <w:t>onvention of the International Telecommunication Union</w:t>
      </w:r>
    </w:p>
    <w:p w14:paraId="2A29C5DC" w14:textId="7E211D71" w:rsidR="00CE04B6" w:rsidRPr="00BF1BD1" w:rsidRDefault="00CE04B6" w:rsidP="00CE04B6">
      <w:pPr>
        <w:pStyle w:val="ChapNo"/>
      </w:pPr>
      <w:r w:rsidRPr="00BF1BD1">
        <w:t>chapter</w:t>
      </w:r>
      <w:r w:rsidRPr="00BF1BD1">
        <w:rPr>
          <w:caps w:val="0"/>
        </w:rPr>
        <w:t xml:space="preserve"> II</w:t>
      </w:r>
    </w:p>
    <w:p w14:paraId="1F985B0C" w14:textId="196CCDEA" w:rsidR="00CE04B6" w:rsidRPr="00BF1BD1" w:rsidRDefault="00CE04B6" w:rsidP="00CE04B6">
      <w:pPr>
        <w:pStyle w:val="Chaptitle"/>
      </w:pPr>
      <w:r w:rsidRPr="00BF1BD1">
        <w:t>Specific Provisions Regarding Conferences and Assemblies</w:t>
      </w:r>
    </w:p>
    <w:tbl>
      <w:tblPr>
        <w:tblW w:w="10173" w:type="dxa"/>
        <w:tblInd w:w="-168" w:type="dxa"/>
        <w:tblLayout w:type="fixed"/>
        <w:tblLook w:val="0000" w:firstRow="0" w:lastRow="0" w:firstColumn="0" w:lastColumn="0" w:noHBand="0" w:noVBand="0"/>
      </w:tblPr>
      <w:tblGrid>
        <w:gridCol w:w="2235"/>
        <w:gridCol w:w="7938"/>
      </w:tblGrid>
      <w:tr w:rsidR="00903BEA" w:rsidRPr="00BF1BD1" w14:paraId="633EBA21" w14:textId="77777777" w:rsidTr="00F62EB7">
        <w:trPr>
          <w:trHeight w:val="258"/>
        </w:trPr>
        <w:tc>
          <w:tcPr>
            <w:tcW w:w="2235" w:type="dxa"/>
          </w:tcPr>
          <w:p w14:paraId="419D328D" w14:textId="77777777" w:rsidR="00903BEA" w:rsidRPr="00BF1BD1" w:rsidRDefault="00903BEA" w:rsidP="00F62EB7">
            <w:pPr>
              <w:pStyle w:val="Pa19"/>
              <w:spacing w:before="160" w:after="180"/>
              <w:rPr>
                <w:rFonts w:asciiTheme="minorHAnsi" w:hAnsiTheme="minorHAnsi" w:cstheme="minorHAnsi"/>
                <w:b/>
                <w:bCs/>
                <w:color w:val="403F41"/>
                <w:sz w:val="20"/>
                <w:szCs w:val="20"/>
              </w:rPr>
            </w:pPr>
          </w:p>
        </w:tc>
        <w:tc>
          <w:tcPr>
            <w:tcW w:w="7938" w:type="dxa"/>
          </w:tcPr>
          <w:p w14:paraId="46A92D61" w14:textId="77777777" w:rsidR="00903BEA" w:rsidRPr="00BF1BD1" w:rsidRDefault="00903BEA" w:rsidP="00F62EB7">
            <w:pPr>
              <w:pStyle w:val="ArtNo"/>
              <w:rPr>
                <w:rFonts w:asciiTheme="minorHAnsi" w:hAnsiTheme="minorHAnsi" w:cstheme="minorHAnsi"/>
                <w:color w:val="0F5288"/>
                <w:sz w:val="23"/>
                <w:szCs w:val="23"/>
              </w:rPr>
            </w:pPr>
            <w:r w:rsidRPr="00BF1BD1">
              <w:t>ARTICLE 24</w:t>
            </w:r>
          </w:p>
        </w:tc>
      </w:tr>
      <w:tr w:rsidR="00903BEA" w:rsidRPr="00BF1BD1" w14:paraId="681262CB" w14:textId="77777777" w:rsidTr="00F62EB7">
        <w:trPr>
          <w:trHeight w:val="258"/>
        </w:trPr>
        <w:tc>
          <w:tcPr>
            <w:tcW w:w="2235" w:type="dxa"/>
          </w:tcPr>
          <w:p w14:paraId="7877604C" w14:textId="77777777" w:rsidR="00903BEA" w:rsidRPr="00BF1BD1" w:rsidRDefault="00903BEA" w:rsidP="00F62EB7">
            <w:pPr>
              <w:pStyle w:val="ArttitleS2"/>
              <w:rPr>
                <w:color w:val="403F41"/>
              </w:rPr>
            </w:pPr>
            <w:r w:rsidRPr="00BF1BD1">
              <w:t>PP-02</w:t>
            </w:r>
          </w:p>
        </w:tc>
        <w:tc>
          <w:tcPr>
            <w:tcW w:w="7938" w:type="dxa"/>
          </w:tcPr>
          <w:p w14:paraId="16B63B6C" w14:textId="77777777" w:rsidR="00903BEA" w:rsidRPr="00BF1BD1" w:rsidRDefault="00903BEA" w:rsidP="00F62EB7">
            <w:pPr>
              <w:pStyle w:val="Arttitle"/>
              <w:rPr>
                <w:color w:val="403F41"/>
                <w:sz w:val="20"/>
              </w:rPr>
            </w:pPr>
            <w:r w:rsidRPr="00BF1BD1">
              <w:t>Admission to Radiocommunication Conferences</w:t>
            </w:r>
          </w:p>
        </w:tc>
      </w:tr>
      <w:tr w:rsidR="00903BEA" w:rsidRPr="00BF1BD1" w14:paraId="7F587262" w14:textId="77777777" w:rsidTr="00F62EB7">
        <w:trPr>
          <w:trHeight w:val="258"/>
        </w:trPr>
        <w:tc>
          <w:tcPr>
            <w:tcW w:w="2235" w:type="dxa"/>
          </w:tcPr>
          <w:p w14:paraId="2464E74E" w14:textId="77777777" w:rsidR="00903BEA" w:rsidRPr="00BF1BD1" w:rsidRDefault="00903BEA" w:rsidP="00F62EB7">
            <w:pPr>
              <w:pStyle w:val="NormalaftertitleS2"/>
            </w:pPr>
            <w:r w:rsidRPr="00BF1BD1">
              <w:t>270 to 275</w:t>
            </w:r>
            <w:r w:rsidRPr="00BF1BD1">
              <w:br/>
              <w:t xml:space="preserve">PP-02 </w:t>
            </w:r>
          </w:p>
        </w:tc>
        <w:tc>
          <w:tcPr>
            <w:tcW w:w="7938" w:type="dxa"/>
          </w:tcPr>
          <w:p w14:paraId="4E0A61D8" w14:textId="2EA9D3E9" w:rsidR="00903BEA" w:rsidRPr="00BF1BD1" w:rsidRDefault="00D32B8B" w:rsidP="00F62EB7">
            <w:pPr>
              <w:pStyle w:val="Normalaftertitle"/>
            </w:pPr>
            <w:r>
              <w:tab/>
            </w:r>
            <w:r w:rsidR="00903BEA" w:rsidRPr="00BF1BD1">
              <w:t>(SUP)</w:t>
            </w:r>
          </w:p>
        </w:tc>
      </w:tr>
      <w:tr w:rsidR="00903BEA" w:rsidRPr="00BF1BD1" w14:paraId="520CE62E" w14:textId="77777777" w:rsidTr="00F62EB7">
        <w:trPr>
          <w:trHeight w:val="258"/>
        </w:trPr>
        <w:tc>
          <w:tcPr>
            <w:tcW w:w="2235" w:type="dxa"/>
          </w:tcPr>
          <w:p w14:paraId="7F290E69" w14:textId="77777777" w:rsidR="00903BEA" w:rsidRPr="00BF1BD1" w:rsidRDefault="00903BEA" w:rsidP="00903BEA">
            <w:pPr>
              <w:pStyle w:val="NormalS2"/>
            </w:pPr>
            <w:r w:rsidRPr="00BF1BD1">
              <w:t>276</w:t>
            </w:r>
            <w:r w:rsidRPr="00BF1BD1">
              <w:br/>
              <w:t>PP-02</w:t>
            </w:r>
          </w:p>
        </w:tc>
        <w:tc>
          <w:tcPr>
            <w:tcW w:w="7938" w:type="dxa"/>
          </w:tcPr>
          <w:p w14:paraId="651AD93D" w14:textId="2E2737AB" w:rsidR="00903BEA" w:rsidRPr="00BF1BD1" w:rsidRDefault="00903BEA" w:rsidP="00903BEA">
            <w:pPr>
              <w:tabs>
                <w:tab w:val="clear" w:pos="1871"/>
                <w:tab w:val="left" w:pos="567"/>
                <w:tab w:val="left" w:pos="1701"/>
                <w:tab w:val="left" w:pos="2835"/>
              </w:tabs>
              <w:rPr>
                <w:rFonts w:ascii="Calibri" w:hAnsi="Calibri"/>
              </w:rPr>
            </w:pPr>
            <w:r w:rsidRPr="00903BEA">
              <w:rPr>
                <w:rFonts w:ascii="Calibri" w:hAnsi="Calibri"/>
              </w:rPr>
              <w:t>1</w:t>
            </w:r>
            <w:r w:rsidRPr="00903BEA">
              <w:rPr>
                <w:rFonts w:ascii="Calibri" w:hAnsi="Calibri"/>
              </w:rPr>
              <w:tab/>
              <w:t>The following shall be admitted to radiocommunication conferences:</w:t>
            </w:r>
          </w:p>
        </w:tc>
      </w:tr>
      <w:tr w:rsidR="00903BEA" w:rsidRPr="00BF1BD1" w14:paraId="2A958E83" w14:textId="77777777" w:rsidTr="00F62EB7">
        <w:trPr>
          <w:trHeight w:val="138"/>
        </w:trPr>
        <w:tc>
          <w:tcPr>
            <w:tcW w:w="2235" w:type="dxa"/>
          </w:tcPr>
          <w:p w14:paraId="53E75790" w14:textId="77777777" w:rsidR="00903BEA" w:rsidRPr="00BF1BD1" w:rsidRDefault="00903BEA" w:rsidP="00903BEA">
            <w:pPr>
              <w:pStyle w:val="enumlev1S2"/>
            </w:pPr>
            <w:r w:rsidRPr="00BF1BD1">
              <w:t>277</w:t>
            </w:r>
          </w:p>
        </w:tc>
        <w:tc>
          <w:tcPr>
            <w:tcW w:w="7938" w:type="dxa"/>
          </w:tcPr>
          <w:p w14:paraId="6D171BE2" w14:textId="77777777" w:rsidR="00903BEA" w:rsidRPr="00BF1BD1" w:rsidRDefault="00903BEA" w:rsidP="00903BEA">
            <w:pPr>
              <w:pStyle w:val="enumlev1"/>
            </w:pPr>
            <w:r w:rsidRPr="00BF1BD1">
              <w:rPr>
                <w:i/>
                <w:iCs/>
              </w:rPr>
              <w:t>a)</w:t>
            </w:r>
            <w:r w:rsidRPr="00BF1BD1">
              <w:rPr>
                <w:i/>
                <w:iCs/>
              </w:rPr>
              <w:tab/>
            </w:r>
            <w:r w:rsidRPr="00BF1BD1">
              <w:t>delegations;</w:t>
            </w:r>
          </w:p>
        </w:tc>
      </w:tr>
      <w:tr w:rsidR="00903BEA" w:rsidRPr="00BF1BD1" w14:paraId="4E43CAC9" w14:textId="77777777" w:rsidTr="00F62EB7">
        <w:trPr>
          <w:trHeight w:val="378"/>
        </w:trPr>
        <w:tc>
          <w:tcPr>
            <w:tcW w:w="2235" w:type="dxa"/>
          </w:tcPr>
          <w:p w14:paraId="4688F029" w14:textId="77777777" w:rsidR="00903BEA" w:rsidRPr="00BF1BD1" w:rsidRDefault="00903BEA" w:rsidP="00903BEA">
            <w:pPr>
              <w:pStyle w:val="enumlev1S2"/>
            </w:pPr>
            <w:r w:rsidRPr="00BF1BD1">
              <w:t>278</w:t>
            </w:r>
            <w:r w:rsidRPr="00BF1BD1">
              <w:br/>
              <w:t xml:space="preserve">PP-02 </w:t>
            </w:r>
            <w:r w:rsidRPr="00BF1BD1">
              <w:br/>
              <w:t>PP-06</w:t>
            </w:r>
          </w:p>
        </w:tc>
        <w:tc>
          <w:tcPr>
            <w:tcW w:w="7938" w:type="dxa"/>
          </w:tcPr>
          <w:p w14:paraId="0E72340F" w14:textId="77777777" w:rsidR="00903BEA" w:rsidRPr="00BF1BD1" w:rsidRDefault="00903BEA" w:rsidP="00903BEA">
            <w:pPr>
              <w:pStyle w:val="enumlev1"/>
            </w:pPr>
            <w:r w:rsidRPr="00BF1BD1">
              <w:rPr>
                <w:i/>
                <w:iCs/>
              </w:rPr>
              <w:t>b)</w:t>
            </w:r>
            <w:r w:rsidRPr="00BF1BD1">
              <w:rPr>
                <w:i/>
                <w:iCs/>
              </w:rPr>
              <w:tab/>
            </w:r>
            <w:r w:rsidRPr="00BF1BD1">
              <w:t>observers of organizations and agencies referred to in Nos. 269A to 269D of this Convention, to participate in an advisory capacity;</w:t>
            </w:r>
          </w:p>
        </w:tc>
      </w:tr>
      <w:tr w:rsidR="00903BEA" w:rsidRPr="00BF1BD1" w14:paraId="0875D562" w14:textId="77777777" w:rsidTr="00F62EB7">
        <w:trPr>
          <w:trHeight w:val="378"/>
        </w:trPr>
        <w:tc>
          <w:tcPr>
            <w:tcW w:w="2235" w:type="dxa"/>
          </w:tcPr>
          <w:p w14:paraId="19C768B9" w14:textId="77777777" w:rsidR="00903BEA" w:rsidRPr="00BF1BD1" w:rsidRDefault="00903BEA" w:rsidP="00903BEA">
            <w:pPr>
              <w:pStyle w:val="enumlev1S2"/>
            </w:pPr>
            <w:r w:rsidRPr="00BF1BD1">
              <w:t>279</w:t>
            </w:r>
            <w:r w:rsidRPr="00BF1BD1">
              <w:br/>
              <w:t xml:space="preserve">PP-02 </w:t>
            </w:r>
            <w:r w:rsidRPr="00BF1BD1">
              <w:br/>
              <w:t>PP-06</w:t>
            </w:r>
          </w:p>
        </w:tc>
        <w:tc>
          <w:tcPr>
            <w:tcW w:w="7938" w:type="dxa"/>
          </w:tcPr>
          <w:p w14:paraId="120943AC" w14:textId="77777777" w:rsidR="00903BEA" w:rsidRPr="00BF1BD1" w:rsidRDefault="00903BEA" w:rsidP="00903BEA">
            <w:pPr>
              <w:pStyle w:val="enumlev1"/>
            </w:pPr>
            <w:r w:rsidRPr="00BF1BD1">
              <w:rPr>
                <w:i/>
                <w:iCs/>
              </w:rPr>
              <w:t>c)</w:t>
            </w:r>
            <w:r w:rsidRPr="00BF1BD1">
              <w:tab/>
              <w:t>observers of other international organizations invited in accordance with the relevant provisions of Chapter I of the General Rules of conferences, assemblies and meetings of the Union, to participate in an advisory capacity;</w:t>
            </w:r>
          </w:p>
        </w:tc>
      </w:tr>
      <w:tr w:rsidR="00903BEA" w:rsidRPr="00BF1BD1" w14:paraId="2068844F" w14:textId="77777777" w:rsidTr="00F62EB7">
        <w:trPr>
          <w:trHeight w:val="378"/>
        </w:trPr>
        <w:tc>
          <w:tcPr>
            <w:tcW w:w="2235" w:type="dxa"/>
          </w:tcPr>
          <w:p w14:paraId="155FA393" w14:textId="0F423F22" w:rsidR="00903BEA" w:rsidRPr="00BF1BD1" w:rsidRDefault="00903BEA" w:rsidP="009B3CE3">
            <w:pPr>
              <w:pStyle w:val="enumlev1S2"/>
            </w:pPr>
            <w:r w:rsidRPr="00BF1BD1">
              <w:t>280</w:t>
            </w:r>
            <w:r w:rsidRPr="00BF1BD1">
              <w:br/>
              <w:t>PP-98</w:t>
            </w:r>
            <w:r w:rsidRPr="00BF1BD1">
              <w:br/>
              <w:t>PP-06</w:t>
            </w:r>
          </w:p>
        </w:tc>
        <w:tc>
          <w:tcPr>
            <w:tcW w:w="7938" w:type="dxa"/>
          </w:tcPr>
          <w:p w14:paraId="1112FC5F" w14:textId="77777777" w:rsidR="00903BEA" w:rsidRPr="00BF1BD1" w:rsidRDefault="00903BEA" w:rsidP="00903BEA">
            <w:pPr>
              <w:pStyle w:val="enumlev1"/>
              <w:rPr>
                <w:i/>
                <w:iCs/>
              </w:rPr>
            </w:pPr>
            <w:r w:rsidRPr="00BF1BD1">
              <w:rPr>
                <w:i/>
                <w:iCs/>
              </w:rPr>
              <w:t>d)</w:t>
            </w:r>
            <w:r w:rsidRPr="00BF1BD1">
              <w:rPr>
                <w:i/>
                <w:iCs/>
              </w:rPr>
              <w:tab/>
            </w:r>
            <w:r w:rsidRPr="00BF1BD1">
              <w:t>observers from Sector Members of the Radiocommunication Sector;</w:t>
            </w:r>
          </w:p>
        </w:tc>
      </w:tr>
      <w:tr w:rsidR="00903BEA" w:rsidRPr="00BF1BD1" w14:paraId="14B3160D" w14:textId="77777777" w:rsidTr="00F62EB7">
        <w:trPr>
          <w:trHeight w:val="378"/>
        </w:trPr>
        <w:tc>
          <w:tcPr>
            <w:tcW w:w="2235" w:type="dxa"/>
          </w:tcPr>
          <w:p w14:paraId="64A87C3A" w14:textId="77777777" w:rsidR="00903BEA" w:rsidRPr="00BF1BD1" w:rsidRDefault="00903BEA" w:rsidP="00903BEA">
            <w:pPr>
              <w:pStyle w:val="Pa22"/>
              <w:spacing w:before="100" w:after="100"/>
              <w:rPr>
                <w:rFonts w:asciiTheme="minorHAnsi" w:hAnsiTheme="minorHAnsi" w:cstheme="minorHAnsi"/>
                <w:b/>
                <w:bCs/>
                <w:color w:val="000000" w:themeColor="text1"/>
                <w:sz w:val="20"/>
                <w:szCs w:val="20"/>
              </w:rPr>
            </w:pPr>
          </w:p>
        </w:tc>
        <w:tc>
          <w:tcPr>
            <w:tcW w:w="7938" w:type="dxa"/>
          </w:tcPr>
          <w:p w14:paraId="2EB29962" w14:textId="77777777" w:rsidR="00903BEA" w:rsidRPr="00BF1BD1" w:rsidRDefault="00903BEA" w:rsidP="00903BEA">
            <w:pPr>
              <w:rPr>
                <w:i/>
                <w:iCs/>
              </w:rPr>
            </w:pPr>
            <w:r w:rsidRPr="00BF1BD1">
              <w:rPr>
                <w:i/>
                <w:iCs/>
              </w:rPr>
              <w:t>[…]</w:t>
            </w:r>
          </w:p>
        </w:tc>
      </w:tr>
    </w:tbl>
    <w:p w14:paraId="246B98CD" w14:textId="77777777" w:rsidR="002E2B21" w:rsidRPr="00BF1BD1" w:rsidRDefault="002E2B21" w:rsidP="00CE04B6"/>
    <w:p w14:paraId="525409E6" w14:textId="77777777" w:rsidR="002E2B21" w:rsidRPr="00BF1BD1" w:rsidRDefault="002E2B21" w:rsidP="00CE04B6">
      <w:r w:rsidRPr="00BF1BD1">
        <w:br w:type="page"/>
      </w:r>
    </w:p>
    <w:p w14:paraId="26E4849F" w14:textId="699E9395" w:rsidR="0009564B" w:rsidRPr="00BF1BD1" w:rsidRDefault="0009564B" w:rsidP="00903BEA">
      <w:pPr>
        <w:pStyle w:val="AnnexNo"/>
      </w:pPr>
      <w:r w:rsidRPr="00BF1BD1">
        <w:lastRenderedPageBreak/>
        <w:t>ANNEX</w:t>
      </w:r>
      <w:r w:rsidR="002E2B21" w:rsidRPr="00BF1BD1">
        <w:t xml:space="preserve"> 2</w:t>
      </w:r>
    </w:p>
    <w:p w14:paraId="5A7D5381" w14:textId="5908CEC2" w:rsidR="00903BEA" w:rsidRPr="00BF1BD1" w:rsidRDefault="00903BEA" w:rsidP="00903BEA">
      <w:pPr>
        <w:pStyle w:val="ResNo"/>
      </w:pPr>
      <w:r w:rsidRPr="00BF1BD1">
        <w:t>RESOLUTION 145 (ANTALYA, 2006)</w:t>
      </w:r>
    </w:p>
    <w:p w14:paraId="14F96C55" w14:textId="64E4AA8A" w:rsidR="00903BEA" w:rsidRPr="00BF1BD1" w:rsidRDefault="00903BEA" w:rsidP="00903BEA">
      <w:pPr>
        <w:pStyle w:val="Restitle"/>
      </w:pPr>
      <w:r w:rsidRPr="00BF1BD1">
        <w:t xml:space="preserve">Participation of observers in conferences, assemblies </w:t>
      </w:r>
      <w:r w:rsidRPr="00BF1BD1">
        <w:br/>
        <w:t>and meetings of the Union</w:t>
      </w:r>
    </w:p>
    <w:p w14:paraId="02628247" w14:textId="53C65B48" w:rsidR="004E4BBD" w:rsidRPr="00BF1BD1" w:rsidRDefault="00D36AD2" w:rsidP="00D36AD2">
      <w:pPr>
        <w:tabs>
          <w:tab w:val="clear" w:pos="1871"/>
          <w:tab w:val="left" w:pos="567"/>
          <w:tab w:val="left" w:pos="1701"/>
          <w:tab w:val="left" w:pos="2835"/>
        </w:tabs>
        <w:spacing w:before="240" w:after="240"/>
        <w:rPr>
          <w:rFonts w:ascii="Calibri" w:hAnsi="Calibri"/>
          <w:bCs/>
          <w:szCs w:val="24"/>
        </w:rPr>
      </w:pPr>
      <w:r w:rsidRPr="00BF1BD1">
        <w:rPr>
          <w:rFonts w:ascii="Calibri" w:hAnsi="Calibri"/>
          <w:bCs/>
          <w:szCs w:val="24"/>
        </w:rPr>
        <w:t>[</w:t>
      </w:r>
      <w:r w:rsidR="004E4BBD" w:rsidRPr="00BF1BD1">
        <w:rPr>
          <w:rFonts w:ascii="Calibri" w:hAnsi="Calibri"/>
          <w:bCs/>
          <w:szCs w:val="24"/>
        </w:rPr>
        <w:t>…</w:t>
      </w:r>
      <w:r w:rsidRPr="00BF1BD1">
        <w:rPr>
          <w:rFonts w:ascii="Calibri" w:hAnsi="Calibri"/>
          <w:bCs/>
          <w:szCs w:val="24"/>
        </w:rPr>
        <w:t>]</w:t>
      </w:r>
    </w:p>
    <w:p w14:paraId="12C99AFA" w14:textId="77777777" w:rsidR="00903BEA" w:rsidRPr="00BF1BD1" w:rsidRDefault="00903BEA" w:rsidP="003D1D62">
      <w:pPr>
        <w:pStyle w:val="AnnexNo"/>
        <w:rPr>
          <w:rFonts w:asciiTheme="minorHAnsi" w:hAnsiTheme="minorHAnsi" w:cstheme="minorHAnsi"/>
        </w:rPr>
      </w:pPr>
      <w:r w:rsidRPr="00BF1BD1">
        <w:rPr>
          <w:rFonts w:asciiTheme="minorHAnsi" w:hAnsiTheme="minorHAnsi" w:cstheme="minorHAnsi"/>
        </w:rPr>
        <w:t>ANNEX 2 TO RESOLUTION 145 (ANTALYA, 2006)</w:t>
      </w:r>
    </w:p>
    <w:p w14:paraId="5B4B30AD" w14:textId="77777777" w:rsidR="00903BEA" w:rsidRPr="00BF1BD1" w:rsidRDefault="00903BEA" w:rsidP="003D1D62">
      <w:pPr>
        <w:pStyle w:val="Annextitle"/>
        <w:rPr>
          <w:rFonts w:asciiTheme="minorHAnsi" w:hAnsiTheme="minorHAnsi" w:cstheme="minorHAnsi"/>
        </w:rPr>
      </w:pPr>
      <w:r w:rsidRPr="00BF1BD1">
        <w:rPr>
          <w:rFonts w:asciiTheme="minorHAnsi" w:hAnsiTheme="minorHAnsi" w:cstheme="minorHAnsi"/>
        </w:rPr>
        <w:t>Observers which participate in an advisory capacity</w:t>
      </w:r>
    </w:p>
    <w:p w14:paraId="6E973E1A" w14:textId="77777777" w:rsidR="00903BEA" w:rsidRPr="00BF1BD1" w:rsidRDefault="00903BEA" w:rsidP="003D1D62">
      <w:pPr>
        <w:pStyle w:val="Normalaftertitle"/>
      </w:pPr>
      <w:r w:rsidRPr="00BF1BD1">
        <w:t>The following rights shall be conferred on the organizations, agencies and entities which are admitted to participate as observers in an advisory capacity in conferences, assemblies and meetings of the Union in accordance with relevant provisions of the ITU Convention:</w:t>
      </w:r>
    </w:p>
    <w:p w14:paraId="3B3662CF" w14:textId="7DA0AE55" w:rsidR="00903BEA" w:rsidRPr="00BF1BD1" w:rsidRDefault="00903BEA" w:rsidP="00D32B8B">
      <w:pPr>
        <w:pStyle w:val="Heading1"/>
        <w:tabs>
          <w:tab w:val="left" w:pos="567"/>
        </w:tabs>
        <w:ind w:left="567" w:hanging="567"/>
        <w:rPr>
          <w:rFonts w:asciiTheme="minorHAnsi" w:hAnsiTheme="minorHAnsi" w:cstheme="minorHAnsi"/>
        </w:rPr>
      </w:pPr>
      <w:r w:rsidRPr="00BF1BD1">
        <w:rPr>
          <w:rFonts w:asciiTheme="minorHAnsi" w:hAnsiTheme="minorHAnsi" w:cstheme="minorHAnsi"/>
        </w:rPr>
        <w:t>I</w:t>
      </w:r>
      <w:r w:rsidRPr="00BF1BD1">
        <w:rPr>
          <w:rFonts w:asciiTheme="minorHAnsi" w:hAnsiTheme="minorHAnsi" w:cstheme="minorHAnsi"/>
        </w:rPr>
        <w:tab/>
        <w:t>Plenipotentiary conferences (Article 23, Nos 269A to 269D), radiocommunication conferences (Article 24, Nos 278 and 279) and world conferences on international telecommunications (Article 3, No. 49; Article</w:t>
      </w:r>
      <w:r w:rsidR="00D32B8B">
        <w:rPr>
          <w:rFonts w:asciiTheme="minorHAnsi" w:hAnsiTheme="minorHAnsi" w:cstheme="minorHAnsi"/>
        </w:rPr>
        <w:t> </w:t>
      </w:r>
      <w:r w:rsidRPr="00BF1BD1">
        <w:rPr>
          <w:rFonts w:asciiTheme="minorHAnsi" w:hAnsiTheme="minorHAnsi" w:cstheme="minorHAnsi"/>
        </w:rPr>
        <w:t>24, Nos 278 and 279)</w:t>
      </w:r>
    </w:p>
    <w:p w14:paraId="30796050" w14:textId="77777777" w:rsidR="00903BEA" w:rsidRPr="00903BEA" w:rsidRDefault="00903BEA" w:rsidP="00903BEA">
      <w:pPr>
        <w:tabs>
          <w:tab w:val="clear" w:pos="1871"/>
          <w:tab w:val="left" w:pos="567"/>
          <w:tab w:val="left" w:pos="1701"/>
          <w:tab w:val="left" w:pos="2835"/>
        </w:tabs>
        <w:spacing w:before="86"/>
        <w:ind w:left="567" w:hanging="567"/>
        <w:rPr>
          <w:rFonts w:ascii="Calibri" w:hAnsi="Calibri"/>
        </w:rPr>
      </w:pPr>
      <w:r w:rsidRPr="00903BEA">
        <w:rPr>
          <w:rFonts w:ascii="Calibri" w:hAnsi="Calibri"/>
        </w:rPr>
        <w:t>Such observers:</w:t>
      </w:r>
    </w:p>
    <w:p w14:paraId="3B70B0FC" w14:textId="77777777" w:rsidR="00903BEA" w:rsidRPr="00BF1BD1" w:rsidRDefault="00903BEA" w:rsidP="003D1D62">
      <w:pPr>
        <w:pStyle w:val="enumlev1"/>
      </w:pPr>
      <w:r w:rsidRPr="00BF1BD1">
        <w:t>1)</w:t>
      </w:r>
      <w:r w:rsidRPr="00BF1BD1">
        <w:tab/>
        <w:t>are admitted to participate in plenary meetings;</w:t>
      </w:r>
    </w:p>
    <w:p w14:paraId="6D4277CE" w14:textId="77777777" w:rsidR="00903BEA" w:rsidRPr="00BF1BD1" w:rsidRDefault="00903BEA" w:rsidP="003D1D62">
      <w:pPr>
        <w:pStyle w:val="enumlev1"/>
      </w:pPr>
      <w:r w:rsidRPr="00BF1BD1">
        <w:t>2)</w:t>
      </w:r>
      <w:r w:rsidRPr="00BF1BD1">
        <w:tab/>
        <w:t>unless otherwise decided by the plenary meeting, may be admitted to participate in committees and their subsidiary groups, with the exception of the steering, budget control, credentials and editorial committees;</w:t>
      </w:r>
    </w:p>
    <w:p w14:paraId="29FB05E2" w14:textId="77777777" w:rsidR="00903BEA" w:rsidRPr="00BF1BD1" w:rsidRDefault="00903BEA" w:rsidP="003D1D62">
      <w:pPr>
        <w:pStyle w:val="enumlev1"/>
      </w:pPr>
      <w:r w:rsidRPr="00BF1BD1">
        <w:t>3)</w:t>
      </w:r>
      <w:r w:rsidRPr="00BF1BD1">
        <w:tab/>
        <w:t>are entitled to receive all conference documentation within any restrictions established for the number of copies distributed;</w:t>
      </w:r>
    </w:p>
    <w:p w14:paraId="1E1D863F" w14:textId="77777777" w:rsidR="00903BEA" w:rsidRPr="00BF1BD1" w:rsidRDefault="00903BEA" w:rsidP="003D1D62">
      <w:pPr>
        <w:pStyle w:val="enumlev1"/>
      </w:pPr>
      <w:r w:rsidRPr="00BF1BD1">
        <w:t>4)</w:t>
      </w:r>
      <w:r w:rsidRPr="00BF1BD1">
        <w:tab/>
        <w:t>may submit information documents via the Secretary-General, which shall be made available to the conference in the ITU official language(s) in which they are submitted; these documents shall be clearly referenced as information documents on the appropriate meeting agendas;</w:t>
      </w:r>
    </w:p>
    <w:p w14:paraId="6DB3DBE0" w14:textId="77777777" w:rsidR="00903BEA" w:rsidRPr="00BF1BD1" w:rsidRDefault="00903BEA" w:rsidP="003D1D62">
      <w:pPr>
        <w:pStyle w:val="enumlev1"/>
      </w:pPr>
      <w:r w:rsidRPr="00BF1BD1">
        <w:t>5)</w:t>
      </w:r>
      <w:r w:rsidRPr="00BF1BD1">
        <w:tab/>
        <w:t>may request the floor in order to provide advice or information on points relevant to their mandates; such advice shall not include or be treated as proposals;</w:t>
      </w:r>
    </w:p>
    <w:p w14:paraId="28071B09" w14:textId="77777777" w:rsidR="00903BEA" w:rsidRPr="00BF1BD1" w:rsidRDefault="00903BEA" w:rsidP="003D1D62">
      <w:pPr>
        <w:pStyle w:val="enumlev1"/>
      </w:pPr>
      <w:r w:rsidRPr="00BF1BD1">
        <w:t>6)</w:t>
      </w:r>
      <w:r w:rsidRPr="00BF1BD1">
        <w:tab/>
        <w:t>are to be given the floor by the chairman after the last Member State on the list of speakers;</w:t>
      </w:r>
    </w:p>
    <w:p w14:paraId="33A4E915" w14:textId="77777777" w:rsidR="00903BEA" w:rsidRPr="00BF1BD1" w:rsidRDefault="00903BEA" w:rsidP="003D1D62">
      <w:pPr>
        <w:pStyle w:val="enumlev1"/>
      </w:pPr>
      <w:r w:rsidRPr="00BF1BD1">
        <w:t>7)</w:t>
      </w:r>
      <w:r w:rsidRPr="00BF1BD1">
        <w:tab/>
        <w:t>may be asked by the chairman during the course of a meeting to make a statement or to provide relevant information in order to assist the proceedings;</w:t>
      </w:r>
    </w:p>
    <w:p w14:paraId="588EA90A" w14:textId="77777777" w:rsidR="00903BEA" w:rsidRPr="00BF1BD1" w:rsidRDefault="00903BEA" w:rsidP="003D1D62">
      <w:pPr>
        <w:pStyle w:val="enumlev1"/>
      </w:pPr>
      <w:r w:rsidRPr="00BF1BD1">
        <w:t>8)</w:t>
      </w:r>
      <w:r w:rsidRPr="00BF1BD1">
        <w:tab/>
        <w:t>are to be registered in such a manner as to be identifiable by conference participants as observers;</w:t>
      </w:r>
    </w:p>
    <w:p w14:paraId="73F7B960" w14:textId="77777777" w:rsidR="00903BEA" w:rsidRPr="00BF1BD1" w:rsidRDefault="00903BEA" w:rsidP="003D1D62">
      <w:pPr>
        <w:pStyle w:val="enumlev1"/>
      </w:pPr>
      <w:r w:rsidRPr="00BF1BD1">
        <w:t>9)</w:t>
      </w:r>
      <w:r w:rsidRPr="00BF1BD1">
        <w:tab/>
        <w:t>are to be seated in French alphabetical order after Member States and the observer pursuant to Resolution 99 (Rev. Antalya, 2006) of the Plenipotentiary Conference.</w:t>
      </w:r>
    </w:p>
    <w:p w14:paraId="018F826D" w14:textId="77777777" w:rsidR="00903BEA" w:rsidRPr="00903BEA" w:rsidRDefault="00903BEA" w:rsidP="00903BEA">
      <w:pPr>
        <w:tabs>
          <w:tab w:val="clear" w:pos="1871"/>
          <w:tab w:val="left" w:pos="567"/>
          <w:tab w:val="left" w:pos="1701"/>
          <w:tab w:val="left" w:pos="2835"/>
        </w:tabs>
        <w:rPr>
          <w:rFonts w:ascii="Calibri" w:hAnsi="Calibri"/>
        </w:rPr>
      </w:pPr>
      <w:r w:rsidRPr="00903BEA">
        <w:rPr>
          <w:rFonts w:ascii="Calibri" w:hAnsi="Calibri"/>
        </w:rPr>
        <w:lastRenderedPageBreak/>
        <w:t>In the case of a radiocommunication conference or a world conference on international telecommunications, participants from those organizations that have both the status of Sector Member and that of observer in an advisory capacity must register and participate in a single category.</w:t>
      </w:r>
    </w:p>
    <w:p w14:paraId="568860C4" w14:textId="77777777" w:rsidR="00CC299A" w:rsidRPr="00BF1BD1" w:rsidRDefault="00CC299A" w:rsidP="00CC299A">
      <w:pPr>
        <w:tabs>
          <w:tab w:val="clear" w:pos="1871"/>
          <w:tab w:val="left" w:pos="567"/>
          <w:tab w:val="left" w:pos="1701"/>
          <w:tab w:val="left" w:pos="2835"/>
        </w:tabs>
        <w:spacing w:before="240" w:after="240"/>
        <w:rPr>
          <w:rFonts w:ascii="Calibri" w:hAnsi="Calibri"/>
          <w:bCs/>
          <w:szCs w:val="24"/>
        </w:rPr>
      </w:pPr>
      <w:r w:rsidRPr="00BF1BD1">
        <w:rPr>
          <w:rFonts w:ascii="Calibri" w:hAnsi="Calibri"/>
          <w:bCs/>
          <w:szCs w:val="24"/>
        </w:rPr>
        <w:t>[…]</w:t>
      </w:r>
    </w:p>
    <w:p w14:paraId="6DC336C8" w14:textId="5FAE3410" w:rsidR="00137736" w:rsidRPr="00BF1BD1" w:rsidRDefault="00137736" w:rsidP="00137736">
      <w:pPr>
        <w:pStyle w:val="AnnexNo"/>
        <w:rPr>
          <w:rFonts w:asciiTheme="minorHAnsi" w:hAnsiTheme="minorHAnsi" w:cstheme="minorHAnsi"/>
        </w:rPr>
      </w:pPr>
      <w:r w:rsidRPr="00BF1BD1">
        <w:rPr>
          <w:rFonts w:asciiTheme="minorHAnsi" w:hAnsiTheme="minorHAnsi" w:cstheme="minorHAnsi"/>
        </w:rPr>
        <w:t>ANNEX 3 TO RESOLUTION 145 (ANTALYA, 2006)</w:t>
      </w:r>
    </w:p>
    <w:p w14:paraId="751989D1" w14:textId="0DE98432" w:rsidR="00137736" w:rsidRPr="00BF1BD1" w:rsidRDefault="00137736" w:rsidP="00137736">
      <w:pPr>
        <w:pStyle w:val="Annextitle"/>
        <w:rPr>
          <w:rFonts w:asciiTheme="minorHAnsi" w:hAnsiTheme="minorHAnsi" w:cstheme="minorHAnsi"/>
        </w:rPr>
      </w:pPr>
      <w:r w:rsidRPr="00BF1BD1">
        <w:rPr>
          <w:rFonts w:asciiTheme="minorHAnsi" w:hAnsiTheme="minorHAnsi" w:cstheme="minorHAnsi"/>
        </w:rPr>
        <w:t>Observers which</w:t>
      </w:r>
      <w:r w:rsidRPr="00BF1BD1">
        <w:t xml:space="preserve"> </w:t>
      </w:r>
      <w:r w:rsidRPr="00BF1BD1">
        <w:rPr>
          <w:rFonts w:asciiTheme="minorHAnsi" w:hAnsiTheme="minorHAnsi" w:cstheme="minorHAnsi"/>
        </w:rPr>
        <w:t>do not participate in an advisory capacity</w:t>
      </w:r>
    </w:p>
    <w:p w14:paraId="5A44E10E" w14:textId="77777777" w:rsidR="001B3693" w:rsidRPr="00BF1BD1" w:rsidRDefault="001B3693" w:rsidP="00137736">
      <w:pPr>
        <w:pStyle w:val="Normalaftertitle"/>
      </w:pPr>
      <w:r w:rsidRPr="00BF1BD1">
        <w:t>The following rights shall be conferred on the organizations and entities which are admitted to participate as observers in conferences, assemblies and meetings of the Union, in accordance with the relevant provisions of the ITU Convention:</w:t>
      </w:r>
    </w:p>
    <w:p w14:paraId="254BCBA9" w14:textId="77777777" w:rsidR="00CC299A" w:rsidRPr="00BF1BD1" w:rsidRDefault="00CC299A" w:rsidP="00CC299A">
      <w:pPr>
        <w:tabs>
          <w:tab w:val="clear" w:pos="1871"/>
          <w:tab w:val="left" w:pos="567"/>
          <w:tab w:val="left" w:pos="1701"/>
          <w:tab w:val="left" w:pos="2835"/>
        </w:tabs>
        <w:spacing w:before="240" w:after="240"/>
        <w:rPr>
          <w:rFonts w:ascii="Calibri" w:hAnsi="Calibri"/>
          <w:bCs/>
          <w:szCs w:val="24"/>
        </w:rPr>
      </w:pPr>
      <w:r w:rsidRPr="00BF1BD1">
        <w:rPr>
          <w:rFonts w:ascii="Calibri" w:hAnsi="Calibri"/>
          <w:bCs/>
          <w:szCs w:val="24"/>
        </w:rPr>
        <w:t>[…]</w:t>
      </w:r>
    </w:p>
    <w:p w14:paraId="5C69D295" w14:textId="77777777" w:rsidR="001B3693" w:rsidRPr="00BF1BD1" w:rsidRDefault="001B3693" w:rsidP="00D32B8B">
      <w:pPr>
        <w:pStyle w:val="Heading1"/>
        <w:tabs>
          <w:tab w:val="left" w:pos="567"/>
        </w:tabs>
        <w:ind w:left="567" w:hanging="567"/>
        <w:rPr>
          <w:rFonts w:asciiTheme="minorHAnsi" w:hAnsiTheme="minorHAnsi" w:cstheme="minorHAnsi"/>
        </w:rPr>
      </w:pPr>
      <w:r w:rsidRPr="00BF1BD1">
        <w:rPr>
          <w:rFonts w:asciiTheme="minorHAnsi" w:hAnsiTheme="minorHAnsi" w:cstheme="minorHAnsi"/>
        </w:rPr>
        <w:t>II</w:t>
      </w:r>
      <w:r w:rsidRPr="00BF1BD1">
        <w:rPr>
          <w:rFonts w:asciiTheme="minorHAnsi" w:hAnsiTheme="minorHAnsi" w:cstheme="minorHAnsi"/>
        </w:rPr>
        <w:tab/>
        <w:t>Radiocommunication conferences (Article 24, No. 280) and world conferences on international telecommunications (Article 3, No. 49; Article 24, No. 280; Article 33, No. 476)</w:t>
      </w:r>
    </w:p>
    <w:p w14:paraId="62C0780B" w14:textId="77777777" w:rsidR="001B3693" w:rsidRPr="00BF1BD1" w:rsidRDefault="001B3693" w:rsidP="001B3693">
      <w:pPr>
        <w:tabs>
          <w:tab w:val="clear" w:pos="1871"/>
          <w:tab w:val="left" w:pos="567"/>
          <w:tab w:val="left" w:pos="1701"/>
          <w:tab w:val="left" w:pos="2835"/>
        </w:tabs>
        <w:spacing w:before="86"/>
        <w:ind w:left="567" w:hanging="567"/>
        <w:jc w:val="both"/>
        <w:rPr>
          <w:rFonts w:ascii="Calibri" w:hAnsi="Calibri"/>
        </w:rPr>
      </w:pPr>
      <w:r w:rsidRPr="00BF1BD1">
        <w:rPr>
          <w:rFonts w:ascii="Calibri" w:hAnsi="Calibri"/>
        </w:rPr>
        <w:t>Such observers:</w:t>
      </w:r>
    </w:p>
    <w:p w14:paraId="0CCA16A4" w14:textId="77777777" w:rsidR="001B3693" w:rsidRPr="00BF1BD1" w:rsidRDefault="001B3693" w:rsidP="00137736">
      <w:pPr>
        <w:pStyle w:val="enumlev1"/>
      </w:pPr>
      <w:r w:rsidRPr="00BF1BD1">
        <w:t>1)</w:t>
      </w:r>
      <w:r w:rsidRPr="00BF1BD1">
        <w:tab/>
        <w:t>are admitted to attend plenary meetings;</w:t>
      </w:r>
    </w:p>
    <w:p w14:paraId="265DA3A6" w14:textId="77777777" w:rsidR="001B3693" w:rsidRPr="00BF1BD1" w:rsidRDefault="001B3693" w:rsidP="00137736">
      <w:pPr>
        <w:pStyle w:val="enumlev1"/>
      </w:pPr>
      <w:r w:rsidRPr="00BF1BD1">
        <w:t>2)</w:t>
      </w:r>
      <w:r w:rsidRPr="00BF1BD1">
        <w:tab/>
        <w:t>unless otherwise decided by the plenary meeting, may be admitted to attend committees and their subsidiary groups, with the exception of the steering, budget control, credentials and editorial committees;</w:t>
      </w:r>
    </w:p>
    <w:p w14:paraId="715BDF88" w14:textId="77777777" w:rsidR="001B3693" w:rsidRPr="00BF1BD1" w:rsidRDefault="001B3693" w:rsidP="00137736">
      <w:pPr>
        <w:pStyle w:val="enumlev1"/>
      </w:pPr>
      <w:r w:rsidRPr="00BF1BD1">
        <w:t>3)</w:t>
      </w:r>
      <w:r w:rsidRPr="00BF1BD1">
        <w:tab/>
        <w:t>are entitled to receive all conference documentation within any restrictions established for the number of copies distributed;</w:t>
      </w:r>
    </w:p>
    <w:p w14:paraId="6C9B6881" w14:textId="77777777" w:rsidR="001B3693" w:rsidRPr="00BF1BD1" w:rsidRDefault="001B3693" w:rsidP="00137736">
      <w:pPr>
        <w:pStyle w:val="enumlev1"/>
      </w:pPr>
      <w:r w:rsidRPr="00BF1BD1">
        <w:t>4)</w:t>
      </w:r>
      <w:r w:rsidRPr="00BF1BD1">
        <w:tab/>
        <w:t>may be asked by the chairman during the course of a meeting to provide relevant information in order to assist the proceedings or to make a statement but shall not be authorized to participate in the debates;</w:t>
      </w:r>
    </w:p>
    <w:p w14:paraId="2104FFB2" w14:textId="77777777" w:rsidR="001B3693" w:rsidRPr="00BF1BD1" w:rsidRDefault="001B3693" w:rsidP="00137736">
      <w:pPr>
        <w:pStyle w:val="enumlev1"/>
      </w:pPr>
      <w:r w:rsidRPr="00BF1BD1">
        <w:t>5)</w:t>
      </w:r>
      <w:r w:rsidRPr="00BF1BD1">
        <w:tab/>
        <w:t>are to be seated in French alphabetical order after other participants.</w:t>
      </w:r>
    </w:p>
    <w:p w14:paraId="38B33D58" w14:textId="77777777" w:rsidR="001B3693" w:rsidRPr="00BF1BD1" w:rsidRDefault="001B3693" w:rsidP="001B3693">
      <w:pPr>
        <w:tabs>
          <w:tab w:val="clear" w:pos="1871"/>
          <w:tab w:val="left" w:pos="567"/>
          <w:tab w:val="left" w:pos="1701"/>
          <w:tab w:val="left" w:pos="2835"/>
        </w:tabs>
        <w:jc w:val="both"/>
        <w:rPr>
          <w:rFonts w:ascii="Calibri" w:hAnsi="Calibri"/>
        </w:rPr>
      </w:pPr>
    </w:p>
    <w:p w14:paraId="65D6BC9F" w14:textId="77777777" w:rsidR="00137736" w:rsidRPr="00BF1BD1" w:rsidRDefault="00137736">
      <w:pPr>
        <w:jc w:val="center"/>
      </w:pPr>
      <w:r w:rsidRPr="00BF1BD1">
        <w:t>______________</w:t>
      </w:r>
    </w:p>
    <w:sectPr w:rsidR="00137736" w:rsidRPr="00BF1BD1" w:rsidSect="0039169B">
      <w:headerReference w:type="default" r:id="rId15"/>
      <w:footerReference w:type="even" r:id="rId16"/>
      <w:footerReference w:type="default" r:id="rId17"/>
      <w:footerReference w:type="first" r:id="rId18"/>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FF46E" w14:textId="77777777" w:rsidR="002621A8" w:rsidRDefault="002621A8">
      <w:r>
        <w:separator/>
      </w:r>
    </w:p>
  </w:endnote>
  <w:endnote w:type="continuationSeparator" w:id="0">
    <w:p w14:paraId="7B77AA22" w14:textId="77777777" w:rsidR="002621A8" w:rsidRDefault="00262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57D2D" w14:textId="77777777" w:rsidR="00E45D05" w:rsidRDefault="00E45D05">
    <w:pPr>
      <w:framePr w:wrap="around" w:vAnchor="text" w:hAnchor="margin" w:xAlign="right" w:y="1"/>
    </w:pPr>
    <w:r>
      <w:fldChar w:fldCharType="begin"/>
    </w:r>
    <w:r>
      <w:instrText xml:space="preserve">PAGE  </w:instrText>
    </w:r>
    <w:r>
      <w:fldChar w:fldCharType="end"/>
    </w:r>
  </w:p>
  <w:p w14:paraId="7AE00B13" w14:textId="403B8B47"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433D02">
      <w:rPr>
        <w:noProof/>
        <w:lang w:val="en-US"/>
      </w:rPr>
      <w:t>P:\ENG\ITU-R\CONF-R\CMR23\000\056E.docx</w:t>
    </w:r>
    <w:r>
      <w:fldChar w:fldCharType="end"/>
    </w:r>
    <w:r w:rsidRPr="0041348E">
      <w:rPr>
        <w:lang w:val="en-US"/>
      </w:rPr>
      <w:tab/>
    </w:r>
    <w:r>
      <w:fldChar w:fldCharType="begin"/>
    </w:r>
    <w:r>
      <w:instrText xml:space="preserve"> SAVEDATE \@ DD.MM.YY </w:instrText>
    </w:r>
    <w:r>
      <w:fldChar w:fldCharType="separate"/>
    </w:r>
    <w:r w:rsidR="00433D02">
      <w:rPr>
        <w:noProof/>
      </w:rPr>
      <w:t>21.09.23</w:t>
    </w:r>
    <w:r>
      <w:fldChar w:fldCharType="end"/>
    </w:r>
    <w:r w:rsidRPr="0041348E">
      <w:rPr>
        <w:lang w:val="en-US"/>
      </w:rPr>
      <w:tab/>
    </w:r>
    <w:r>
      <w:fldChar w:fldCharType="begin"/>
    </w:r>
    <w:r>
      <w:instrText xml:space="preserve"> PRINTDATE \@ DD.MM.YY </w:instrText>
    </w:r>
    <w:r>
      <w:fldChar w:fldCharType="separate"/>
    </w:r>
    <w:r w:rsidR="00433D02">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9CD07" w14:textId="05AC6648" w:rsidR="00DC3F67" w:rsidRDefault="00396E32" w:rsidP="00DC3F67">
    <w:pPr>
      <w:pStyle w:val="Footer"/>
    </w:pPr>
    <w:fldSimple w:instr=" FILENAME \p  \* MERGEFORMAT ">
      <w:r w:rsidR="00433D02">
        <w:t>P:\ENG\ITU-R\CONF-R\CMR23\000\056E.docx</w:t>
      </w:r>
    </w:fldSimple>
    <w:r w:rsidR="00DC3F67">
      <w:t xml:space="preserve"> (526992)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5D1F6" w14:textId="450AF5D8" w:rsidR="00DC3F67" w:rsidRDefault="00433D02" w:rsidP="00DC3F67">
    <w:pPr>
      <w:pStyle w:val="Footer"/>
    </w:pPr>
    <w:r>
      <w:fldChar w:fldCharType="begin"/>
    </w:r>
    <w:r>
      <w:instrText xml:space="preserve"> FILENAME \</w:instrText>
    </w:r>
    <w:r>
      <w:instrText xml:space="preserve">p  \* MERGEFORMAT </w:instrText>
    </w:r>
    <w:r>
      <w:fldChar w:fldCharType="separate"/>
    </w:r>
    <w:r>
      <w:t>P:\ENG\ITU-R\CONF-R\CMR23\000\056E.docx</w:t>
    </w:r>
    <w:r>
      <w:fldChar w:fldCharType="end"/>
    </w:r>
    <w:r w:rsidR="00DC3F67">
      <w:t xml:space="preserve"> (526992)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E89A6" w14:textId="77777777" w:rsidR="002621A8" w:rsidRDefault="002621A8">
      <w:r>
        <w:rPr>
          <w:b/>
        </w:rPr>
        <w:t>_______________</w:t>
      </w:r>
    </w:p>
  </w:footnote>
  <w:footnote w:type="continuationSeparator" w:id="0">
    <w:p w14:paraId="677F8872" w14:textId="77777777" w:rsidR="002621A8" w:rsidRDefault="002621A8">
      <w:r>
        <w:continuationSeparator/>
      </w:r>
    </w:p>
  </w:footnote>
  <w:footnote w:id="1">
    <w:p w14:paraId="169ADE14" w14:textId="4428A4A5" w:rsidR="0062573D" w:rsidRPr="00DC3F67" w:rsidRDefault="0062573D" w:rsidP="00D32B8B">
      <w:pPr>
        <w:pStyle w:val="FootnoteText"/>
      </w:pPr>
      <w:r w:rsidRPr="003A6305">
        <w:rPr>
          <w:rStyle w:val="FootnoteReference"/>
          <w:sz w:val="16"/>
          <w:szCs w:val="16"/>
        </w:rPr>
        <w:footnoteRef/>
      </w:r>
      <w:r w:rsidRPr="003A6305">
        <w:rPr>
          <w:sz w:val="16"/>
          <w:szCs w:val="16"/>
        </w:rPr>
        <w:t xml:space="preserve"> </w:t>
      </w:r>
      <w:r w:rsidRPr="00DC3F67">
        <w:tab/>
        <w:t>Other than the State of Palestine, the status of which (and the rights attached thereto) is defined in Resolution 99 (Rev. Dubai, 2018).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A84ED"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1A0A395D" w14:textId="77777777" w:rsidR="00A066F1" w:rsidRPr="00A066F1" w:rsidRDefault="00BC75DE" w:rsidP="00241FA2">
    <w:pPr>
      <w:pStyle w:val="Header"/>
    </w:pPr>
    <w:r>
      <w:t>WRC</w:t>
    </w:r>
    <w:r w:rsidR="006D70B0">
      <w:t>23</w:t>
    </w:r>
    <w:r w:rsidR="00A066F1">
      <w:t>/</w:t>
    </w:r>
    <w:bookmarkStart w:id="8" w:name="OLE_LINK1"/>
    <w:bookmarkStart w:id="9" w:name="OLE_LINK2"/>
    <w:bookmarkStart w:id="10" w:name="OLE_LINK3"/>
    <w:r w:rsidR="00EB55C6">
      <w:t>56</w:t>
    </w:r>
    <w:bookmarkEnd w:id="8"/>
    <w:bookmarkEnd w:id="9"/>
    <w:bookmarkEnd w:id="10"/>
    <w:r w:rsidR="00187BD9">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165823131">
    <w:abstractNumId w:val="0"/>
  </w:num>
  <w:num w:numId="2" w16cid:durableId="805315811">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420A6"/>
    <w:rsid w:val="00051E39"/>
    <w:rsid w:val="000705F2"/>
    <w:rsid w:val="00077239"/>
    <w:rsid w:val="0007795D"/>
    <w:rsid w:val="00086491"/>
    <w:rsid w:val="00091346"/>
    <w:rsid w:val="0009564B"/>
    <w:rsid w:val="0009706C"/>
    <w:rsid w:val="000974C8"/>
    <w:rsid w:val="000D154B"/>
    <w:rsid w:val="000D2DAF"/>
    <w:rsid w:val="000E463E"/>
    <w:rsid w:val="000F73FF"/>
    <w:rsid w:val="001137E6"/>
    <w:rsid w:val="00114CF7"/>
    <w:rsid w:val="00116C7A"/>
    <w:rsid w:val="00116EC4"/>
    <w:rsid w:val="00123B68"/>
    <w:rsid w:val="00126F2E"/>
    <w:rsid w:val="00137736"/>
    <w:rsid w:val="00146F6F"/>
    <w:rsid w:val="00156F53"/>
    <w:rsid w:val="00161F26"/>
    <w:rsid w:val="00184EB8"/>
    <w:rsid w:val="00187BD9"/>
    <w:rsid w:val="00190B55"/>
    <w:rsid w:val="001A4679"/>
    <w:rsid w:val="001B3670"/>
    <w:rsid w:val="001B3693"/>
    <w:rsid w:val="001C27EA"/>
    <w:rsid w:val="001C2CD5"/>
    <w:rsid w:val="001C3B5F"/>
    <w:rsid w:val="001D058F"/>
    <w:rsid w:val="001D5A0A"/>
    <w:rsid w:val="002009EA"/>
    <w:rsid w:val="00202756"/>
    <w:rsid w:val="00202CA0"/>
    <w:rsid w:val="00215097"/>
    <w:rsid w:val="00216B6D"/>
    <w:rsid w:val="00220734"/>
    <w:rsid w:val="0022757F"/>
    <w:rsid w:val="00241FA2"/>
    <w:rsid w:val="0025770D"/>
    <w:rsid w:val="002621A8"/>
    <w:rsid w:val="00271316"/>
    <w:rsid w:val="002B349C"/>
    <w:rsid w:val="002D58BE"/>
    <w:rsid w:val="002E2B21"/>
    <w:rsid w:val="002E53A6"/>
    <w:rsid w:val="002F4747"/>
    <w:rsid w:val="00302605"/>
    <w:rsid w:val="00361B37"/>
    <w:rsid w:val="00377BD3"/>
    <w:rsid w:val="00384088"/>
    <w:rsid w:val="003852CE"/>
    <w:rsid w:val="0039169B"/>
    <w:rsid w:val="00396E32"/>
    <w:rsid w:val="003A6305"/>
    <w:rsid w:val="003A7F8C"/>
    <w:rsid w:val="003B2284"/>
    <w:rsid w:val="003B532E"/>
    <w:rsid w:val="003D0F8B"/>
    <w:rsid w:val="003D1D62"/>
    <w:rsid w:val="003D642B"/>
    <w:rsid w:val="003E0DB6"/>
    <w:rsid w:val="003E79F4"/>
    <w:rsid w:val="0041348E"/>
    <w:rsid w:val="00420873"/>
    <w:rsid w:val="00433D02"/>
    <w:rsid w:val="00492075"/>
    <w:rsid w:val="004969AD"/>
    <w:rsid w:val="004A26C4"/>
    <w:rsid w:val="004B13CB"/>
    <w:rsid w:val="004D26EA"/>
    <w:rsid w:val="004D2BFB"/>
    <w:rsid w:val="004D5D5C"/>
    <w:rsid w:val="004E4BBD"/>
    <w:rsid w:val="004F3DC0"/>
    <w:rsid w:val="0050139F"/>
    <w:rsid w:val="0055140B"/>
    <w:rsid w:val="005861D7"/>
    <w:rsid w:val="00592EAC"/>
    <w:rsid w:val="005964AB"/>
    <w:rsid w:val="005B2B9B"/>
    <w:rsid w:val="005C099A"/>
    <w:rsid w:val="005C31A5"/>
    <w:rsid w:val="005E10C9"/>
    <w:rsid w:val="005E290B"/>
    <w:rsid w:val="005E61DD"/>
    <w:rsid w:val="005F04D8"/>
    <w:rsid w:val="006023DF"/>
    <w:rsid w:val="00614D2D"/>
    <w:rsid w:val="00615426"/>
    <w:rsid w:val="00616219"/>
    <w:rsid w:val="0062573D"/>
    <w:rsid w:val="0063782D"/>
    <w:rsid w:val="00645B7D"/>
    <w:rsid w:val="00646369"/>
    <w:rsid w:val="00657DE0"/>
    <w:rsid w:val="00664755"/>
    <w:rsid w:val="00685313"/>
    <w:rsid w:val="00692833"/>
    <w:rsid w:val="006A6E9B"/>
    <w:rsid w:val="006B3779"/>
    <w:rsid w:val="006B7C2A"/>
    <w:rsid w:val="006C23DA"/>
    <w:rsid w:val="006D70B0"/>
    <w:rsid w:val="006E134B"/>
    <w:rsid w:val="006E3D45"/>
    <w:rsid w:val="00703E85"/>
    <w:rsid w:val="0070607A"/>
    <w:rsid w:val="007149F9"/>
    <w:rsid w:val="00733A30"/>
    <w:rsid w:val="00745AEE"/>
    <w:rsid w:val="00750F10"/>
    <w:rsid w:val="007742CA"/>
    <w:rsid w:val="00790D70"/>
    <w:rsid w:val="007A2281"/>
    <w:rsid w:val="007A6F1F"/>
    <w:rsid w:val="007D5320"/>
    <w:rsid w:val="00800972"/>
    <w:rsid w:val="00804475"/>
    <w:rsid w:val="00811633"/>
    <w:rsid w:val="00814037"/>
    <w:rsid w:val="00841216"/>
    <w:rsid w:val="00842AF0"/>
    <w:rsid w:val="0086171E"/>
    <w:rsid w:val="00872FC8"/>
    <w:rsid w:val="008845D0"/>
    <w:rsid w:val="00884D60"/>
    <w:rsid w:val="00891CF6"/>
    <w:rsid w:val="00896E56"/>
    <w:rsid w:val="008B43F2"/>
    <w:rsid w:val="008B6CFF"/>
    <w:rsid w:val="008D126D"/>
    <w:rsid w:val="008F014B"/>
    <w:rsid w:val="00903BEA"/>
    <w:rsid w:val="009274B4"/>
    <w:rsid w:val="00934EA2"/>
    <w:rsid w:val="0093646E"/>
    <w:rsid w:val="00944A5C"/>
    <w:rsid w:val="00952A66"/>
    <w:rsid w:val="009B1EA1"/>
    <w:rsid w:val="009B29EC"/>
    <w:rsid w:val="009B3CE3"/>
    <w:rsid w:val="009B7C9A"/>
    <w:rsid w:val="009C56E5"/>
    <w:rsid w:val="009C7716"/>
    <w:rsid w:val="009E5FC8"/>
    <w:rsid w:val="009E687A"/>
    <w:rsid w:val="009F236F"/>
    <w:rsid w:val="00A023F2"/>
    <w:rsid w:val="00A066F1"/>
    <w:rsid w:val="00A141AF"/>
    <w:rsid w:val="00A16D29"/>
    <w:rsid w:val="00A30305"/>
    <w:rsid w:val="00A31D2D"/>
    <w:rsid w:val="00A358B7"/>
    <w:rsid w:val="00A4600A"/>
    <w:rsid w:val="00A538A6"/>
    <w:rsid w:val="00A545D2"/>
    <w:rsid w:val="00A54C25"/>
    <w:rsid w:val="00A5713F"/>
    <w:rsid w:val="00A65BB9"/>
    <w:rsid w:val="00A710E7"/>
    <w:rsid w:val="00A7372E"/>
    <w:rsid w:val="00A823D3"/>
    <w:rsid w:val="00A8284C"/>
    <w:rsid w:val="00A93B85"/>
    <w:rsid w:val="00AA0B18"/>
    <w:rsid w:val="00AA3C65"/>
    <w:rsid w:val="00AA666F"/>
    <w:rsid w:val="00AC126A"/>
    <w:rsid w:val="00AD7914"/>
    <w:rsid w:val="00AE514B"/>
    <w:rsid w:val="00B40888"/>
    <w:rsid w:val="00B639E9"/>
    <w:rsid w:val="00B674F0"/>
    <w:rsid w:val="00B817CD"/>
    <w:rsid w:val="00B81A7D"/>
    <w:rsid w:val="00B91EF7"/>
    <w:rsid w:val="00B94AD0"/>
    <w:rsid w:val="00BB0F26"/>
    <w:rsid w:val="00BB3A95"/>
    <w:rsid w:val="00BC0D98"/>
    <w:rsid w:val="00BC75DE"/>
    <w:rsid w:val="00BD6CCE"/>
    <w:rsid w:val="00BF1BD1"/>
    <w:rsid w:val="00C0018F"/>
    <w:rsid w:val="00C16A5A"/>
    <w:rsid w:val="00C20466"/>
    <w:rsid w:val="00C214ED"/>
    <w:rsid w:val="00C234E6"/>
    <w:rsid w:val="00C324A8"/>
    <w:rsid w:val="00C42FCE"/>
    <w:rsid w:val="00C54517"/>
    <w:rsid w:val="00C56F70"/>
    <w:rsid w:val="00C57B91"/>
    <w:rsid w:val="00C64CD8"/>
    <w:rsid w:val="00C82695"/>
    <w:rsid w:val="00C97C68"/>
    <w:rsid w:val="00CA1A47"/>
    <w:rsid w:val="00CA3DFC"/>
    <w:rsid w:val="00CB44E5"/>
    <w:rsid w:val="00CC247A"/>
    <w:rsid w:val="00CC299A"/>
    <w:rsid w:val="00CE04B6"/>
    <w:rsid w:val="00CE388F"/>
    <w:rsid w:val="00CE5E47"/>
    <w:rsid w:val="00CF020F"/>
    <w:rsid w:val="00CF2B5B"/>
    <w:rsid w:val="00D06A05"/>
    <w:rsid w:val="00D14CE0"/>
    <w:rsid w:val="00D255D4"/>
    <w:rsid w:val="00D268B3"/>
    <w:rsid w:val="00D32B8B"/>
    <w:rsid w:val="00D32BAA"/>
    <w:rsid w:val="00D36AD2"/>
    <w:rsid w:val="00D52FD6"/>
    <w:rsid w:val="00D54009"/>
    <w:rsid w:val="00D5651D"/>
    <w:rsid w:val="00D57A34"/>
    <w:rsid w:val="00D71BE3"/>
    <w:rsid w:val="00D74898"/>
    <w:rsid w:val="00D801ED"/>
    <w:rsid w:val="00D826E8"/>
    <w:rsid w:val="00D86C49"/>
    <w:rsid w:val="00D936BC"/>
    <w:rsid w:val="00D96530"/>
    <w:rsid w:val="00DA1CB1"/>
    <w:rsid w:val="00DC3F67"/>
    <w:rsid w:val="00DD44AF"/>
    <w:rsid w:val="00DE2AC3"/>
    <w:rsid w:val="00DE5692"/>
    <w:rsid w:val="00DE6300"/>
    <w:rsid w:val="00DF4BC6"/>
    <w:rsid w:val="00DF78E0"/>
    <w:rsid w:val="00E03C94"/>
    <w:rsid w:val="00E205BC"/>
    <w:rsid w:val="00E26226"/>
    <w:rsid w:val="00E26562"/>
    <w:rsid w:val="00E45D05"/>
    <w:rsid w:val="00E55816"/>
    <w:rsid w:val="00E55AEF"/>
    <w:rsid w:val="00E96C6E"/>
    <w:rsid w:val="00E976C1"/>
    <w:rsid w:val="00EA12E5"/>
    <w:rsid w:val="00EB0812"/>
    <w:rsid w:val="00EB54B2"/>
    <w:rsid w:val="00EB55C6"/>
    <w:rsid w:val="00EF1932"/>
    <w:rsid w:val="00EF71B6"/>
    <w:rsid w:val="00F009C7"/>
    <w:rsid w:val="00F02766"/>
    <w:rsid w:val="00F05BD4"/>
    <w:rsid w:val="00F06473"/>
    <w:rsid w:val="00F320AA"/>
    <w:rsid w:val="00F47F7A"/>
    <w:rsid w:val="00F6155B"/>
    <w:rsid w:val="00F65C19"/>
    <w:rsid w:val="00F822B0"/>
    <w:rsid w:val="00F836CB"/>
    <w:rsid w:val="00F85BCD"/>
    <w:rsid w:val="00FD08E2"/>
    <w:rsid w:val="00FD18DA"/>
    <w:rsid w:val="00FD2546"/>
    <w:rsid w:val="00FD7041"/>
    <w:rsid w:val="00FD772E"/>
    <w:rsid w:val="00FE03DB"/>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639CB3"/>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299A"/>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ChapNo">
    <w:name w:val="Chap_No"/>
    <w:basedOn w:val="Normal"/>
    <w:next w:val="Chaptitle"/>
    <w:rsid w:val="00CE04B6"/>
    <w:pPr>
      <w:tabs>
        <w:tab w:val="clear" w:pos="1134"/>
        <w:tab w:val="clear" w:pos="1871"/>
        <w:tab w:val="clear" w:pos="2268"/>
      </w:tabs>
      <w:spacing w:before="600"/>
      <w:jc w:val="center"/>
    </w:pPr>
    <w:rPr>
      <w:rFonts w:ascii="Calibri" w:hAnsi="Calibri"/>
      <w:caps/>
      <w:sz w:val="28"/>
    </w:r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haptitle">
    <w:name w:val="Chap_title"/>
    <w:basedOn w:val="Normal"/>
    <w:next w:val="Normal"/>
    <w:rsid w:val="00CE04B6"/>
    <w:pPr>
      <w:tabs>
        <w:tab w:val="clear" w:pos="1134"/>
        <w:tab w:val="clear" w:pos="1871"/>
        <w:tab w:val="clear" w:pos="2268"/>
      </w:tabs>
      <w:spacing w:before="240" w:after="240"/>
      <w:jc w:val="center"/>
    </w:pPr>
    <w:rPr>
      <w:rFonts w:ascii="Calibri" w:hAnsi="Calibri"/>
      <w:b/>
      <w:sz w:val="28"/>
    </w:rPr>
  </w:style>
  <w:style w:type="paragraph" w:customStyle="1" w:styleId="enumlev1">
    <w:name w:val="enumlev1"/>
    <w:basedOn w:val="Normal"/>
    <w:rsid w:val="00903BEA"/>
    <w:pPr>
      <w:tabs>
        <w:tab w:val="clear" w:pos="1871"/>
        <w:tab w:val="left" w:pos="567"/>
        <w:tab w:val="left" w:pos="1701"/>
        <w:tab w:val="left" w:pos="2835"/>
      </w:tabs>
      <w:spacing w:before="86"/>
      <w:ind w:left="567" w:hanging="567"/>
    </w:pPr>
    <w:rPr>
      <w:rFonts w:ascii="Calibri" w:hAnsi="Calibri"/>
    </w:rPr>
  </w:style>
  <w:style w:type="paragraph" w:customStyle="1" w:styleId="Normalaftertitle">
    <w:name w:val="Normal after title"/>
    <w:basedOn w:val="Normal"/>
    <w:next w:val="Normal"/>
    <w:rsid w:val="00903BEA"/>
    <w:pPr>
      <w:tabs>
        <w:tab w:val="clear" w:pos="1871"/>
        <w:tab w:val="left" w:pos="567"/>
        <w:tab w:val="left" w:pos="1701"/>
        <w:tab w:val="left" w:pos="2835"/>
      </w:tabs>
      <w:spacing w:before="240"/>
    </w:pPr>
    <w:rPr>
      <w:rFonts w:ascii="Calibri" w:hAnsi="Calibri"/>
    </w:rPr>
  </w:style>
  <w:style w:type="paragraph" w:customStyle="1" w:styleId="ArtNo">
    <w:name w:val="Art_No"/>
    <w:basedOn w:val="Normal"/>
    <w:next w:val="Arttitle"/>
    <w:rsid w:val="00903BEA"/>
    <w:pPr>
      <w:tabs>
        <w:tab w:val="clear" w:pos="1134"/>
        <w:tab w:val="clear" w:pos="1871"/>
        <w:tab w:val="clear" w:pos="2268"/>
      </w:tabs>
      <w:spacing w:before="600"/>
      <w:jc w:val="center"/>
    </w:pPr>
    <w:rPr>
      <w:rFonts w:ascii="Calibri" w:hAnsi="Calibri"/>
      <w:caps/>
      <w:sz w:val="28"/>
    </w:rPr>
  </w:style>
  <w:style w:type="paragraph" w:customStyle="1" w:styleId="Arttitle">
    <w:name w:val="Art_title"/>
    <w:basedOn w:val="Normal"/>
    <w:next w:val="Normal"/>
    <w:rsid w:val="00903BEA"/>
    <w:pPr>
      <w:tabs>
        <w:tab w:val="clear" w:pos="1134"/>
        <w:tab w:val="clear" w:pos="1871"/>
        <w:tab w:val="clear" w:pos="2268"/>
      </w:tabs>
      <w:spacing w:before="240" w:after="240"/>
      <w:jc w:val="center"/>
    </w:pPr>
    <w:rPr>
      <w:rFonts w:ascii="Calibri" w:hAnsi="Calibri"/>
      <w:b/>
      <w:sz w:val="28"/>
    </w:rPr>
  </w:style>
  <w:style w:type="paragraph" w:customStyle="1" w:styleId="ArttitleS2">
    <w:name w:val="Art_title_S2"/>
    <w:basedOn w:val="Arttitle"/>
    <w:next w:val="NormalS2"/>
    <w:rsid w:val="00903BEA"/>
    <w:pPr>
      <w:tabs>
        <w:tab w:val="left" w:pos="851"/>
      </w:tabs>
      <w:jc w:val="left"/>
    </w:pPr>
    <w:rPr>
      <w:sz w:val="24"/>
    </w:rPr>
  </w:style>
  <w:style w:type="paragraph" w:customStyle="1" w:styleId="enumlev1S2">
    <w:name w:val="enumlev1_S2"/>
    <w:basedOn w:val="enumlev1"/>
    <w:rsid w:val="00903BEA"/>
    <w:pPr>
      <w:tabs>
        <w:tab w:val="clear" w:pos="567"/>
        <w:tab w:val="clear" w:pos="1134"/>
        <w:tab w:val="clear" w:pos="1701"/>
        <w:tab w:val="clear" w:pos="2268"/>
        <w:tab w:val="clear" w:pos="2835"/>
        <w:tab w:val="left" w:pos="851"/>
      </w:tabs>
      <w:ind w:left="0" w:firstLine="0"/>
    </w:pPr>
    <w:rPr>
      <w:b/>
    </w:rPr>
  </w:style>
  <w:style w:type="paragraph" w:customStyle="1" w:styleId="NormalaftertitleS2">
    <w:name w:val="Normal after title_S2"/>
    <w:basedOn w:val="Normalaftertitle"/>
    <w:next w:val="NormalS2"/>
    <w:rsid w:val="00903BEA"/>
    <w:pPr>
      <w:keepNext/>
      <w:keepLines/>
      <w:tabs>
        <w:tab w:val="clear" w:pos="567"/>
        <w:tab w:val="clear" w:pos="1134"/>
        <w:tab w:val="clear" w:pos="1701"/>
        <w:tab w:val="clear" w:pos="2268"/>
        <w:tab w:val="clear" w:pos="2835"/>
        <w:tab w:val="left" w:pos="851"/>
      </w:tabs>
    </w:pPr>
    <w:rPr>
      <w:b/>
    </w:rPr>
  </w:style>
  <w:style w:type="paragraph" w:customStyle="1" w:styleId="NormalS2">
    <w:name w:val="Normal_S2"/>
    <w:basedOn w:val="Normal"/>
    <w:rsid w:val="00903BEA"/>
    <w:pPr>
      <w:tabs>
        <w:tab w:val="clear" w:pos="1134"/>
        <w:tab w:val="clear" w:pos="1871"/>
        <w:tab w:val="clear" w:pos="2268"/>
        <w:tab w:val="left" w:pos="851"/>
      </w:tabs>
    </w:pPr>
    <w:rPr>
      <w:rFonts w:ascii="Calibri" w:hAnsi="Calibri"/>
      <w:b/>
    </w:rPr>
  </w:style>
  <w:style w:type="paragraph" w:customStyle="1" w:styleId="Pa19">
    <w:name w:val="Pa19"/>
    <w:basedOn w:val="Normal"/>
    <w:next w:val="Normal"/>
    <w:uiPriority w:val="99"/>
    <w:rsid w:val="00903BEA"/>
    <w:pPr>
      <w:tabs>
        <w:tab w:val="clear" w:pos="1134"/>
        <w:tab w:val="clear" w:pos="1871"/>
        <w:tab w:val="clear" w:pos="2268"/>
      </w:tabs>
      <w:overflowPunct/>
      <w:spacing w:before="0" w:line="201" w:lineRule="atLeast"/>
      <w:textAlignment w:val="auto"/>
    </w:pPr>
    <w:rPr>
      <w:rFonts w:ascii="Calibri" w:hAnsi="Calibri" w:cs="Calibri"/>
      <w:szCs w:val="24"/>
      <w:lang w:eastAsia="zh-CN"/>
    </w:rPr>
  </w:style>
  <w:style w:type="paragraph" w:customStyle="1" w:styleId="Pa22">
    <w:name w:val="Pa22"/>
    <w:basedOn w:val="Normal"/>
    <w:next w:val="Normal"/>
    <w:uiPriority w:val="99"/>
    <w:rsid w:val="00903BEA"/>
    <w:pPr>
      <w:tabs>
        <w:tab w:val="clear" w:pos="1134"/>
        <w:tab w:val="clear" w:pos="1871"/>
        <w:tab w:val="clear" w:pos="2268"/>
      </w:tabs>
      <w:overflowPunct/>
      <w:spacing w:before="0" w:line="201" w:lineRule="atLeast"/>
      <w:textAlignment w:val="auto"/>
    </w:pPr>
    <w:rPr>
      <w:rFonts w:ascii="Calibri" w:hAnsi="Calibri" w:cs="Calibri"/>
      <w:szCs w:val="24"/>
      <w:lang w:eastAsia="zh-CN"/>
    </w:rPr>
  </w:style>
  <w:style w:type="paragraph" w:customStyle="1" w:styleId="ResNo">
    <w:name w:val="Res_No"/>
    <w:basedOn w:val="AnnexNo"/>
    <w:next w:val="Restitle"/>
    <w:rsid w:val="00903BEA"/>
    <w:pPr>
      <w:keepNext w:val="0"/>
      <w:keepLines w:val="0"/>
      <w:tabs>
        <w:tab w:val="clear" w:pos="1871"/>
        <w:tab w:val="left" w:pos="567"/>
        <w:tab w:val="left" w:pos="1701"/>
        <w:tab w:val="left" w:pos="2835"/>
      </w:tabs>
      <w:spacing w:before="720" w:after="0"/>
    </w:pPr>
    <w:rPr>
      <w:rFonts w:ascii="Calibri" w:hAnsi="Calibri"/>
    </w:rPr>
  </w:style>
  <w:style w:type="paragraph" w:customStyle="1" w:styleId="Restitle">
    <w:name w:val="Res_title"/>
    <w:basedOn w:val="Annextitle"/>
    <w:next w:val="Normal"/>
    <w:rsid w:val="00903BEA"/>
    <w:pPr>
      <w:keepNext w:val="0"/>
      <w:keepLines w:val="0"/>
      <w:tabs>
        <w:tab w:val="clear" w:pos="1871"/>
        <w:tab w:val="left" w:pos="567"/>
        <w:tab w:val="left" w:pos="1701"/>
        <w:tab w:val="left" w:pos="2835"/>
      </w:tabs>
      <w:spacing w:after="240"/>
    </w:pPr>
    <w:rPr>
      <w:rFonts w:ascii="Calibri" w:hAnsi="Calibri"/>
    </w:rPr>
  </w:style>
  <w:style w:type="paragraph" w:customStyle="1" w:styleId="Reasons">
    <w:name w:val="Reasons"/>
    <w:basedOn w:val="Normal"/>
    <w:qFormat/>
    <w:rsid w:val="00137736"/>
    <w:pPr>
      <w:tabs>
        <w:tab w:val="clear" w:pos="1134"/>
        <w:tab w:val="clear" w:pos="1871"/>
        <w:tab w:val="clear" w:pos="2268"/>
      </w:tabs>
      <w:overflowPunct/>
      <w:autoSpaceDE/>
      <w:autoSpaceDN/>
      <w:adjustRightInd/>
      <w:spacing w:before="0"/>
      <w:textAlignment w:val="auto"/>
    </w:pPr>
    <w:rPr>
      <w:lang w:val="en-US"/>
    </w:rPr>
  </w:style>
  <w:style w:type="character" w:styleId="EndnoteReference">
    <w:name w:val="endnote reference"/>
    <w:basedOn w:val="DefaultParagraphFont"/>
    <w:rsid w:val="00745AEE"/>
    <w:rPr>
      <w:vertAlign w:val="superscript"/>
    </w:rPr>
  </w:style>
  <w:style w:type="paragraph" w:styleId="NormalIndent">
    <w:name w:val="Normal Indent"/>
    <w:basedOn w:val="Normal"/>
    <w:rsid w:val="00190B55"/>
    <w:pPr>
      <w:ind w:left="1134"/>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ource">
    <w:name w:val="Source"/>
    <w:basedOn w:val="Normal"/>
    <w:next w:val="Normal"/>
    <w:rsid w:val="00190B55"/>
    <w:pPr>
      <w:spacing w:before="840"/>
      <w:jc w:val="center"/>
    </w:pPr>
    <w:rPr>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character" w:styleId="Hyperlink">
    <w:name w:val="Hyperlink"/>
    <w:basedOn w:val="DefaultParagraphFont"/>
    <w:unhideWhenUsed/>
    <w:rPr>
      <w:color w:val="0000FF" w:themeColor="hyperlink"/>
      <w:u w:val="single"/>
    </w:rPr>
  </w:style>
  <w:style w:type="character" w:styleId="UnresolvedMention">
    <w:name w:val="Unresolved Mention"/>
    <w:basedOn w:val="DefaultParagraphFont"/>
    <w:uiPriority w:val="99"/>
    <w:semiHidden/>
    <w:unhideWhenUsed/>
    <w:rsid w:val="0062573D"/>
    <w:rPr>
      <w:color w:val="605E5C"/>
      <w:shd w:val="clear" w:color="auto" w:fill="E1DFDD"/>
    </w:rPr>
  </w:style>
  <w:style w:type="paragraph" w:styleId="EndnoteText">
    <w:name w:val="endnote text"/>
    <w:basedOn w:val="Normal"/>
    <w:link w:val="EndnoteTextChar"/>
    <w:semiHidden/>
    <w:unhideWhenUsed/>
    <w:rsid w:val="0062573D"/>
    <w:pPr>
      <w:spacing w:before="0"/>
    </w:pPr>
    <w:rPr>
      <w:sz w:val="20"/>
    </w:rPr>
  </w:style>
  <w:style w:type="character" w:customStyle="1" w:styleId="EndnoteTextChar">
    <w:name w:val="Endnote Text Char"/>
    <w:basedOn w:val="DefaultParagraphFont"/>
    <w:link w:val="EndnoteText"/>
    <w:semiHidden/>
    <w:rsid w:val="0062573D"/>
    <w:rPr>
      <w:rFonts w:ascii="Times New Roman" w:hAnsi="Times New Roman"/>
      <w:lang w:val="en-GB" w:eastAsia="en-US"/>
    </w:rPr>
  </w:style>
  <w:style w:type="character" w:styleId="FollowedHyperlink">
    <w:name w:val="FollowedHyperlink"/>
    <w:basedOn w:val="DefaultParagraphFont"/>
    <w:semiHidden/>
    <w:unhideWhenUsed/>
    <w:rsid w:val="00A65BB9"/>
    <w:rPr>
      <w:color w:val="800080" w:themeColor="followedHyperlink"/>
      <w:u w:val="single"/>
    </w:rPr>
  </w:style>
  <w:style w:type="paragraph" w:styleId="Revision">
    <w:name w:val="Revision"/>
    <w:hidden/>
    <w:uiPriority w:val="99"/>
    <w:semiHidden/>
    <w:rsid w:val="00BC0D98"/>
    <w:rPr>
      <w:rFonts w:ascii="Times New Roman" w:hAnsi="Times New Roman"/>
      <w:sz w:val="24"/>
      <w:lang w:val="en-GB" w:eastAsia="en-US"/>
    </w:rPr>
  </w:style>
  <w:style w:type="character" w:styleId="CommentReference">
    <w:name w:val="annotation reference"/>
    <w:basedOn w:val="DefaultParagraphFont"/>
    <w:semiHidden/>
    <w:unhideWhenUsed/>
    <w:rsid w:val="003E79F4"/>
    <w:rPr>
      <w:sz w:val="16"/>
      <w:szCs w:val="16"/>
    </w:rPr>
  </w:style>
  <w:style w:type="paragraph" w:styleId="CommentText">
    <w:name w:val="annotation text"/>
    <w:basedOn w:val="Normal"/>
    <w:link w:val="CommentTextChar"/>
    <w:unhideWhenUsed/>
    <w:rsid w:val="003E79F4"/>
    <w:rPr>
      <w:sz w:val="20"/>
    </w:rPr>
  </w:style>
  <w:style w:type="character" w:customStyle="1" w:styleId="CommentTextChar">
    <w:name w:val="Comment Text Char"/>
    <w:basedOn w:val="DefaultParagraphFont"/>
    <w:link w:val="CommentText"/>
    <w:rsid w:val="003E79F4"/>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3E79F4"/>
    <w:rPr>
      <w:b/>
      <w:bCs/>
    </w:rPr>
  </w:style>
  <w:style w:type="character" w:customStyle="1" w:styleId="CommentSubjectChar">
    <w:name w:val="Comment Subject Char"/>
    <w:basedOn w:val="CommentTextChar"/>
    <w:link w:val="CommentSubject"/>
    <w:semiHidden/>
    <w:rsid w:val="003E79F4"/>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5846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pub/S-CONF-PL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12" ma:contentTypeDescription="Create a new document." ma:contentTypeScope="" ma:versionID="94285b97e88f2c839d498d2d7659fc4d">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5a9f648c1b52a11f05962b9faea6528c"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Author xmlns="76b7d054-b29f-418b-b414-6b742f999448" xsi:nil="true"/>
    <DPM_x0020_Version xmlns="76b7d054-b29f-418b-b414-6b742f999448" xsi:nil="true"/>
    <DPM_x0020_File_x0020_name xmlns="76b7d054-b29f-418b-b414-6b742f99944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F9110D-4D2F-421A-8DB2-46FD756EBA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7d054-b29f-418b-b414-6b742f999448"/>
    <ds:schemaRef ds:uri="b9f87034-1e33-420b-8ff9-da24a5290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395F06-24D1-421B-A229-FBEE1C522029}">
  <ds:schemaRefs>
    <ds:schemaRef ds:uri="http://schemas.microsoft.com/sharepoint/events"/>
  </ds:schemaRefs>
</ds:datastoreItem>
</file>

<file path=customXml/itemProps3.xml><?xml version="1.0" encoding="utf-8"?>
<ds:datastoreItem xmlns:ds="http://schemas.openxmlformats.org/officeDocument/2006/customXml" ds:itemID="{DFB2399A-0A9E-492F-A256-C95F9B7324E7}">
  <ds:schemaRefs>
    <ds:schemaRef ds:uri="http://www.w3.org/XML/1998/namespace"/>
    <ds:schemaRef ds:uri="http://schemas.microsoft.com/office/2006/documentManagement/types"/>
    <ds:schemaRef ds:uri="http://purl.org/dc/terms/"/>
    <ds:schemaRef ds:uri="http://purl.org/dc/elements/1.1/"/>
    <ds:schemaRef ds:uri="http://purl.org/dc/dcmitype/"/>
    <ds:schemaRef ds:uri="http://schemas.microsoft.com/office/2006/metadata/properties"/>
    <ds:schemaRef ds:uri="76b7d054-b29f-418b-b414-6b742f999448"/>
    <ds:schemaRef ds:uri="http://schemas.microsoft.com/office/infopath/2007/PartnerControls"/>
    <ds:schemaRef ds:uri="http://schemas.openxmlformats.org/package/2006/metadata/core-properties"/>
    <ds:schemaRef ds:uri="b9f87034-1e33-420b-8ff9-da24a529006f"/>
  </ds:schemaRefs>
</ds:datastoreItem>
</file>

<file path=customXml/itemProps4.xml><?xml version="1.0" encoding="utf-8"?>
<ds:datastoreItem xmlns:ds="http://schemas.openxmlformats.org/officeDocument/2006/customXml" ds:itemID="{B802F2DA-D6E4-4E9D-948D-78537A068AED}">
  <ds:schemaRefs>
    <ds:schemaRef ds:uri="http://schemas.microsoft.com/sharepoint/v3/contenttype/forms"/>
  </ds:schemaRefs>
</ds:datastoreItem>
</file>

<file path=customXml/itemProps5.xml><?xml version="1.0" encoding="utf-8"?>
<ds:datastoreItem xmlns:ds="http://schemas.openxmlformats.org/officeDocument/2006/customXml" ds:itemID="{4E47EF69-2BC5-4DA4-BF40-4708085C7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4</Pages>
  <Words>770</Words>
  <Characters>4418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R23-WRC23-C-0056!!MSW-E</vt:lpstr>
    </vt:vector>
  </TitlesOfParts>
  <Manager>General Secretariat - Pool</Manager>
  <Company>International Telecommunication Union (ITU)</Company>
  <LinksUpToDate>false</LinksUpToDate>
  <CharactersWithSpaces>5178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R23-WRC23-C-0056!!MSW-E</dc:title>
  <dc:subject>World Radiocommunication Conference - 2023</dc:subject>
  <dc:creator>Documents Proposals Manager (DPM)</dc:creator>
  <cp:keywords>DPM_v2023.8.1.1_prod</cp:keywords>
  <dc:description>Uploaded on 2015.07.06</dc:description>
  <cp:lastModifiedBy>TPU E kt</cp:lastModifiedBy>
  <cp:revision>7</cp:revision>
  <cp:lastPrinted>2017-02-10T08:23:00Z</cp:lastPrinted>
  <dcterms:created xsi:type="dcterms:W3CDTF">2023-09-21T10:16:00Z</dcterms:created>
  <dcterms:modified xsi:type="dcterms:W3CDTF">2023-09-21T14:28:00Z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0x0101008BFA528CE1D8294396E46BAD2517FBF6</vt:lpwstr>
  </property>
  <property fmtid="{D5CDD505-2E9C-101B-9397-08002B2CF9AE}" pid="10" name="_dlc_DocIdItemGuid">
    <vt:lpwstr>e3f51d54-8436-4404-bce8-bbffce89a1d7</vt:lpwstr>
  </property>
  <property fmtid="{D5CDD505-2E9C-101B-9397-08002B2CF9AE}" pid="11" name="MediaServiceImageTags">
    <vt:lpwstr/>
  </property>
</Properties>
</file>